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EXHIBIT G-9</w:t>
      </w:r>
    </w:p>
    <w:p>
      <w:r>
        <w:rPr>
          <w:b/>
          <w:sz w:val="28"/>
        </w:rPr>
        <w:t>GovGuard™ Security Architecture</w:t>
      </w:r>
    </w:p>
    <w:p>
      <w:r>
        <w:rPr>
          <w:b/>
          <w:sz w:val="22"/>
        </w:rPr>
        <w:t>FedRAMP Moderate Control Mapping and Implementation Evidence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t>Exhibit G-1 (System Architecture) summarizes GovGuard™'s security posture in a single overview table. This exhibit expands that summary into a control-by-control mapping, citing the specific source file implementing each control, consistent with the level of technical detail provided in Exhibit G-2 (Fraud Rule Library) and Exhibit G-3 (ML Model Documentation).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NIST 800-53 Control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Implementation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t>AC-2</w:t>
            </w:r>
          </w:p>
        </w:tc>
        <w:tc>
          <w:tcPr>
            <w:tcW w:type="dxa" w:w="2160"/>
          </w:tcPr>
          <w:p>
            <w:r>
              <w:t>Account Management</w:t>
            </w:r>
          </w:p>
        </w:tc>
        <w:tc>
          <w:tcPr>
            <w:tcW w:type="dxa" w:w="2160"/>
          </w:tcPr>
          <w:p>
            <w:r>
              <w:t>AWS Cognito User Pools + Identity Pools; JWT (RS256) validated against JWKS endpoint per request</w:t>
            </w:r>
          </w:p>
        </w:tc>
        <w:tc>
          <w:tcPr>
            <w:tcW w:type="dxa" w:w="2160"/>
          </w:tcPr>
          <w:p>
            <w:r>
              <w:t>core/auth.py</w:t>
            </w:r>
          </w:p>
        </w:tc>
      </w:tr>
      <w:tr>
        <w:tc>
          <w:tcPr>
            <w:tcW w:type="dxa" w:w="2160"/>
          </w:tcPr>
          <w:p>
            <w:r>
              <w:t>IA-5</w:t>
            </w:r>
          </w:p>
        </w:tc>
        <w:tc>
          <w:tcPr>
            <w:tcW w:type="dxa" w:w="2160"/>
          </w:tcPr>
          <w:p>
            <w:r>
              <w:t>Authenticator Management</w:t>
            </w:r>
          </w:p>
        </w:tc>
        <w:tc>
          <w:tcPr>
            <w:tcW w:type="dxa" w:w="2160"/>
          </w:tcPr>
          <w:p>
            <w:r>
              <w:t>Credential lifecycle managed by AWS Cognito; MFA enforcement for admin roles</w:t>
            </w:r>
          </w:p>
        </w:tc>
        <w:tc>
          <w:tcPr>
            <w:tcW w:type="dxa" w:w="2160"/>
          </w:tcPr>
          <w:p>
            <w:r>
              <w:t>core/auth.py</w:t>
            </w:r>
          </w:p>
        </w:tc>
      </w:tr>
      <w:tr>
        <w:tc>
          <w:tcPr>
            <w:tcW w:type="dxa" w:w="2160"/>
          </w:tcPr>
          <w:p>
            <w:r>
              <w:t>AC-3</w:t>
            </w:r>
          </w:p>
        </w:tc>
        <w:tc>
          <w:tcPr>
            <w:tcW w:type="dxa" w:w="2160"/>
          </w:tcPr>
          <w:p>
            <w:r>
              <w:t>Access Enforcement / Tenant Isolation</w:t>
            </w:r>
          </w:p>
        </w:tc>
        <w:tc>
          <w:tcPr>
            <w:tcW w:type="dxa" w:w="2160"/>
          </w:tcPr>
          <w:p>
            <w:r>
              <w:t>PostgreSQL Row-Level Security — SET LOCAL app.current_tenant per request; cross-tenant access blocked at the database layer regardless of application-layer defects</w:t>
            </w:r>
          </w:p>
        </w:tc>
        <w:tc>
          <w:tcPr>
            <w:tcW w:type="dxa" w:w="2160"/>
          </w:tcPr>
          <w:p>
            <w:r>
              <w:t>core/db.py, core/middleware.py</w:t>
            </w:r>
          </w:p>
        </w:tc>
      </w:tr>
      <w:tr>
        <w:tc>
          <w:tcPr>
            <w:tcW w:type="dxa" w:w="2160"/>
          </w:tcPr>
          <w:p>
            <w:r>
              <w:t>AC-17</w:t>
            </w:r>
          </w:p>
        </w:tc>
        <w:tc>
          <w:tcPr>
            <w:tcW w:type="dxa" w:w="2160"/>
          </w:tcPr>
          <w:p>
            <w:r>
              <w:t>Remote Access</w:t>
            </w:r>
          </w:p>
        </w:tc>
        <w:tc>
          <w:tcPr>
            <w:tcW w:type="dxa" w:w="2160"/>
          </w:tcPr>
          <w:p>
            <w:r>
              <w:t>TLS 1.2+ enforced on all connections; CORS allowlist configured per environment</w:t>
            </w:r>
          </w:p>
        </w:tc>
        <w:tc>
          <w:tcPr>
            <w:tcW w:type="dxa" w:w="2160"/>
          </w:tcPr>
          <w:p>
            <w:r>
              <w:t>core/middleware.py</w:t>
            </w:r>
          </w:p>
        </w:tc>
      </w:tr>
      <w:tr>
        <w:tc>
          <w:tcPr>
            <w:tcW w:type="dxa" w:w="2160"/>
          </w:tcPr>
          <w:p>
            <w:r>
              <w:t>AU-2</w:t>
            </w:r>
          </w:p>
        </w:tc>
        <w:tc>
          <w:tcPr>
            <w:tcW w:type="dxa" w:w="2160"/>
          </w:tcPr>
          <w:p>
            <w:r>
              <w:t>Audit Events</w:t>
            </w:r>
          </w:p>
        </w:tc>
        <w:tc>
          <w:tcPr>
            <w:tcW w:type="dxa" w:w="2160"/>
          </w:tcPr>
          <w:p>
            <w:r>
              <w:t>audit_events table records tenant_id, user_id, action, resource_type/id, IP address, and timestamp for every state-changing request</w:t>
            </w:r>
          </w:p>
        </w:tc>
        <w:tc>
          <w:tcPr>
            <w:tcW w:type="dxa" w:w="2160"/>
          </w:tcPr>
          <w:p>
            <w:r>
              <w:t>core/models.py (AuditEvent)</w:t>
            </w:r>
          </w:p>
        </w:tc>
      </w:tr>
      <w:tr>
        <w:tc>
          <w:tcPr>
            <w:tcW w:type="dxa" w:w="2160"/>
          </w:tcPr>
          <w:p>
            <w:r>
              <w:t>AU-9</w:t>
            </w:r>
          </w:p>
        </w:tc>
        <w:tc>
          <w:tcPr>
            <w:tcW w:type="dxa" w:w="2160"/>
          </w:tcPr>
          <w:p>
            <w:r>
              <w:t>Protection of Audit Information</w:t>
            </w:r>
          </w:p>
        </w:tc>
        <w:tc>
          <w:tcPr>
            <w:tcW w:type="dxa" w:w="2160"/>
          </w:tcPr>
          <w:p>
            <w:r>
              <w:t>Append-only audit_events table; each record stores a SHA-256 hash of the prior and new state, forming a hash chain that reveals tampering or deletion</w:t>
            </w:r>
          </w:p>
        </w:tc>
        <w:tc>
          <w:tcPr>
            <w:tcW w:type="dxa" w:w="2160"/>
          </w:tcPr>
          <w:p>
            <w:r>
              <w:t>core/models.py, core/middleware.py</w:t>
            </w:r>
          </w:p>
        </w:tc>
      </w:tr>
      <w:tr>
        <w:tc>
          <w:tcPr>
            <w:tcW w:type="dxa" w:w="2160"/>
          </w:tcPr>
          <w:p>
            <w:r>
              <w:t>SC-28</w:t>
            </w:r>
          </w:p>
        </w:tc>
        <w:tc>
          <w:tcPr>
            <w:tcW w:type="dxa" w:w="2160"/>
          </w:tcPr>
          <w:p>
            <w:r>
              <w:t>Protection of Information at Rest</w:t>
            </w:r>
          </w:p>
        </w:tc>
        <w:tc>
          <w:tcPr>
            <w:tcW w:type="dxa" w:w="2160"/>
          </w:tcPr>
          <w:p>
            <w:r>
              <w:t>S3 objects (evidence files, serialized ML models) encrypted at rest via AWS KMS (AES-256); PostgreSQL volumes encrypted at the AWS EBS layer</w:t>
            </w:r>
          </w:p>
        </w:tc>
        <w:tc>
          <w:tcPr>
            <w:tcW w:type="dxa" w:w="2160"/>
          </w:tcPr>
          <w:p>
            <w:r>
              <w:t>infrastructure / deployment configuration</w:t>
            </w:r>
          </w:p>
        </w:tc>
      </w:tr>
      <w:tr>
        <w:tc>
          <w:tcPr>
            <w:tcW w:type="dxa" w:w="2160"/>
          </w:tcPr>
          <w:p>
            <w:r>
              <w:t>SC-8</w:t>
            </w:r>
          </w:p>
        </w:tc>
        <w:tc>
          <w:tcPr>
            <w:tcW w:type="dxa" w:w="2160"/>
          </w:tcPr>
          <w:p>
            <w:r>
              <w:t>Transmission Confidentiality</w:t>
            </w:r>
          </w:p>
        </w:tc>
        <w:tc>
          <w:tcPr>
            <w:tcW w:type="dxa" w:w="2160"/>
          </w:tcPr>
          <w:p>
            <w:r>
              <w:t>TLS 1.2+ enforced for all client-server and service-to-service traffic</w:t>
            </w:r>
          </w:p>
        </w:tc>
        <w:tc>
          <w:tcPr>
            <w:tcW w:type="dxa" w:w="2160"/>
          </w:tcPr>
          <w:p>
            <w:r>
              <w:t>core/middleware.py</w:t>
            </w:r>
          </w:p>
        </w:tc>
      </w:tr>
      <w:tr>
        <w:tc>
          <w:tcPr>
            <w:tcW w:type="dxa" w:w="2160"/>
          </w:tcPr>
          <w:p>
            <w:r>
              <w:t>SI-10</w:t>
            </w:r>
          </w:p>
        </w:tc>
        <w:tc>
          <w:tcPr>
            <w:tcW w:type="dxa" w:w="2160"/>
          </w:tcPr>
          <w:p>
            <w:r>
              <w:t>Information Input Validation</w:t>
            </w:r>
          </w:p>
        </w:tc>
        <w:tc>
          <w:tcPr>
            <w:tcW w:type="dxa" w:w="2160"/>
          </w:tcPr>
          <w:p>
            <w:r>
              <w:t>Vendor and transaction identifiers (EIN, address) are one-way SHA-256 hashed before storage/comparison, used for entity-matching in the fraud graph engine without retaining the underlying plaintext identifier</w:t>
            </w:r>
          </w:p>
        </w:tc>
        <w:tc>
          <w:tcPr>
            <w:tcW w:type="dxa" w:w="2160"/>
          </w:tcPr>
          <w:p>
            <w:r>
              <w:t>core/models.py, services/entity_intelligence/graph.py</w:t>
            </w:r>
          </w:p>
        </w:tc>
      </w:tr>
    </w:tbl>
    <w:p/>
    <w:p>
      <w:r>
        <w:t>Correction to Exhibit G-1: Exhibit G-1's security summary describes PII fields as protected via “HMAC-SHA256” hashing. The current implementation applies one-way SHA-256 hashing (Python hashlib.sha256) to vendor EIN, address, and user email values for entity-matching and lookup purposes (core/auth.py, core/models.py); it does not use a keyed HMAC construction. This exhibit states the implementation as built. Upgrading to a keyed HMAC (with a securely managed secret) would further reduce exposure to offline dictionary attacks against these hashed identifiers and is noted here as a recommended hardening step rather than a completed control.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