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val="0"/>
          <w:sz w:val="22"/>
        </w:rPr>
        <w:t>PETITION FOR CLASSIFICATION AS MEMBER OF THE</w:t>
      </w:r>
    </w:p>
    <w:p>
      <w:pPr>
        <w:spacing w:after="40"/>
        <w:jc w:val="center"/>
      </w:pPr>
      <w:r>
        <w:rPr>
          <w:rFonts w:ascii="Times New Roman" w:hAnsi="Times New Roman"/>
          <w:sz w:val="22"/>
        </w:rPr>
        <w:t>PROFESSIONS HOLDING ADVANCED DEGREES</w:t>
      </w:r>
    </w:p>
    <w:p>
      <w:pPr>
        <w:spacing w:after="40"/>
        <w:jc w:val="center"/>
      </w:pPr>
      <w:r>
        <w:rPr>
          <w:rFonts w:ascii="Times New Roman" w:hAnsi="Times New Roman"/>
          <w:sz w:val="22"/>
        </w:rPr>
        <w:t>WITH NATIONAL INTEREST WAIVER</w:t>
      </w:r>
    </w:p>
    <w:p>
      <w:pPr>
        <w:spacing w:after="240"/>
        <w:jc w:val="center"/>
      </w:pPr>
      <w:r>
        <w:rPr>
          <w:rFonts w:ascii="Times New Roman" w:hAnsi="Times New Roman"/>
          <w:i/>
          <w:sz w:val="20"/>
        </w:rPr>
        <w:t>(Form I-140, EB-2 NIW — Matter of Dhanasar, 26 I&amp;N Dec. 884 (AAO 2016))</w:t>
      </w:r>
    </w:p>
    <w:p>
      <w:pPr>
        <w:spacing w:after="120"/>
      </w:pPr>
      <w:r>
        <w:rPr>
          <w:rFonts w:ascii="Times New Roman" w:hAnsi="Times New Roman"/>
          <w:sz w:val="18"/>
        </w:rPr>
        <w:t>──────────────────────────────────────────────────────────────────────────────────────────</w:t>
      </w:r>
    </w:p>
    <w:p>
      <w:pPr>
        <w:spacing w:before="120" w:after="80"/>
        <w:jc w:val="center"/>
      </w:pPr>
      <w:r>
        <w:rPr>
          <w:rFonts w:ascii="Times New Roman" w:hAnsi="Times New Roman"/>
          <w:b/>
          <w:color w:val="00236B"/>
          <w:sz w:val="32"/>
        </w:rPr>
        <w:t>Exhibit 28</w:t>
      </w:r>
    </w:p>
    <w:p>
      <w:pPr>
        <w:spacing w:after="80"/>
        <w:jc w:val="center"/>
      </w:pPr>
      <w:r>
        <w:rPr>
          <w:rFonts w:ascii="Times New Roman" w:hAnsi="Times New Roman"/>
          <w:b/>
          <w:sz w:val="28"/>
        </w:rPr>
        <w:t>GovGuard™ Platform:</w:t>
      </w:r>
    </w:p>
    <w:p>
      <w:pPr>
        <w:spacing w:after="120"/>
        <w:jc w:val="center"/>
      </w:pPr>
      <w:r>
        <w:rPr>
          <w:rFonts w:ascii="Times New Roman" w:hAnsi="Times New Roman"/>
          <w:b/>
          <w:sz w:val="26"/>
        </w:rPr>
        <w:t>Technical Architecture, MVP Development Status,</w:t>
        <w:br/>
        <w:t>National Importance, and Deployment Roadmap</w:t>
      </w:r>
    </w:p>
    <w:p>
      <w:pPr>
        <w:spacing w:after="240"/>
      </w:pPr>
      <w:r>
        <w:rPr>
          <w:rFonts w:ascii="Times New Roman" w:hAnsi="Times New Roman"/>
          <w:sz w:val="18"/>
        </w:rPr>
        <w:t>──────────────────────────────────────────────────────────────────────────────────────────</w:t>
      </w:r>
    </w:p>
    <w:p>
      <w:pPr>
        <w:spacing w:before="280" w:after="80"/>
      </w:pPr>
      <w:r>
        <w:rPr>
          <w:rFonts w:ascii="Times New Roman" w:hAnsi="Times New Roman"/>
          <w:b/>
          <w:color w:val="00236B"/>
          <w:sz w:val="28"/>
        </w:rPr>
        <w:t>PRELIMINARY STATEMENT</w:t>
      </w:r>
    </w:p>
    <w:p>
      <w:pPr>
        <w:spacing w:after="120"/>
        <w:ind w:left="0" w:firstLine="432"/>
        <w:jc w:val="both"/>
      </w:pPr>
      <w:r>
        <w:rPr>
          <w:rFonts w:ascii="Times New Roman" w:hAnsi="Times New Roman"/>
          <w:sz w:val="24"/>
        </w:rPr>
        <w:t>This Exhibit is submitted in support of the EB-2 National Interest Waiver (NIW) petition filed on behalf of Muhammad Bilal (hereinafter 'Petitioner'). It is intended to satisfy all three prongs of the Matter of Dhanasar analytical framework by: (1) demonstrating that the Petitioner's proposed endeavor — the GovGuard™ platform — is of substantial merit and national importance; (2) establishing that the Petitioner is well positioned to advance that endeavor; and (3) showing that, on balance, it would be beneficial to the United States to waive the job offer and labor certification requirements.</w:t>
      </w:r>
    </w:p>
    <w:p>
      <w:pPr>
        <w:spacing w:after="120"/>
        <w:ind w:left="0" w:firstLine="432"/>
        <w:jc w:val="both"/>
      </w:pPr>
      <w:r>
        <w:rPr>
          <w:rFonts w:ascii="Times New Roman" w:hAnsi="Times New Roman"/>
          <w:sz w:val="24"/>
        </w:rPr>
        <w:t xml:space="preserve">GovGuard™ is a production-ready, AI-augmented, multi-tenant Software-as-a-Service (SaaS) platform that integrates real-time federal grant compliance monitoring, 47-rule fraud detection, predictive risk scoring, and automated corrective-action enforcement into a single, continuously operable system. The platform is not a concept or prototype: it has been developed to the Minimum Viable Product (MVP) stage, with a fully functional FastAPI backend, a compiled and deployable Next.js 14 frontend, three trained machine-learning models in serialized production form, </w:t>
      </w:r>
      <w:r>
        <w:rPr>
          <w:rFonts w:ascii="Times New Roman" w:hAnsi="Times New Roman"/>
          <w:sz w:val="24"/>
        </w:rPr>
        <w:t>a validated PostgreSQL 17 schema with Row-Level Security (RLS)</w:t>
      </w:r>
      <w:r>
        <w:rPr>
          <w:rFonts w:ascii="Times New Roman" w:hAnsi="Times New Roman"/>
          <w:sz w:val="24"/>
        </w:rPr>
        <w:t>, AWS GovCloud-aligned infrastructure, and a 70-scenario GAO test dataset. It is ready for deployment to federal agencies, state and local governments, and nonprofit grantees immediately upon onboarding.</w:t>
      </w:r>
      <w:r>
        <w:rPr>
          <w:rFonts w:ascii="Times New Roman" w:hAnsi="Times New Roman"/>
          <w:sz w:val="24"/>
        </w:rPr>
      </w:r>
    </w:p>
    <w:p>
      <w:pPr>
        <w:spacing w:after="120"/>
        <w:ind w:left="0" w:firstLine="432"/>
        <w:jc w:val="both"/>
      </w:pPr>
      <w:r>
        <w:t>The platform is owned and will be commercialized and scaled through Quantio Global, a U.S.-registered company founded by the Petitioner, which provides the operational and legal vehicle for delivering GovGuard™ to government and institutional customers across the United States. GovGuard is made available under a dual-track model: a free Community Edition released under Creative Commons CC-BY 4.0 — providing core grant lifecycle management, compliance monitoring, and workflow capabilities to any adopting organization at zero cost — and a commercial Enterprise Edition that delivers the full multi-tenant architecture, a security posture targeting FedRAMP Moderate authorization (ATO not yet obtained; see Exhibit 28.G11 for the AWS GovCloud migration and authorization roadmap), ERP bidirectional integration, advanced AI risk forecasting, and dedicated implementation support documented in this exhibit. The dual-track model ensures that under-resourced grantees are never priced out of the platform while enabling the sustainable commercial operations necessary to maintain and scale federal-grade infrastructure.</w:t>
      </w:r>
    </w:p>
    <w:p>
      <w:pPr>
        <w:spacing w:before="280" w:after="80"/>
      </w:pPr>
      <w:r>
        <w:rPr>
          <w:rFonts w:ascii="Times New Roman" w:hAnsi="Times New Roman"/>
          <w:b/>
          <w:color w:val="00236B"/>
          <w:sz w:val="28"/>
        </w:rPr>
        <w:t>PART I: PRONG 1 — SUBSTANTIAL MERIT AND NATIONAL IMPORTANCE</w:t>
      </w:r>
    </w:p>
    <w:p>
      <w:pPr>
        <w:spacing w:before="200" w:after="80"/>
      </w:pPr>
      <w:r>
        <w:rPr>
          <w:rFonts w:ascii="Times New Roman" w:hAnsi="Times New Roman"/>
          <w:b/>
          <w:color w:val="1A3A5C"/>
          <w:sz w:val="24"/>
        </w:rPr>
        <w:t>A. The National Problem: Federal Grant and Payment Fraud at Crisis Scale</w:t>
      </w:r>
    </w:p>
    <w:p>
      <w:pPr>
        <w:spacing w:after="120"/>
        <w:ind w:left="0" w:firstLine="432"/>
        <w:jc w:val="both"/>
      </w:pPr>
      <w:r>
        <w:rPr>
          <w:rFonts w:ascii="Times New Roman" w:hAnsi="Times New Roman"/>
          <w:sz w:val="24"/>
        </w:rPr>
        <w:t>The United States federal government disburses more than $800 billion annually in grants to state and local governments, universities, nonprofit organizations, tribal entities, and private grantees. This figure does not include the additional hundreds of billions disbursed through entitlement programs, contracts, and direct-payment mechanisms. Despite the magnitude of these expenditures, the United States Government Accountability Office (GAO) has for more than three decades maintained a "High Risk List" — currently comprising approximately 37 program areas — representing cumulative programmatic exposure in the trillions of dollars.</w:t>
      </w:r>
    </w:p>
    <w:p>
      <w:pPr>
        <w:spacing w:after="120"/>
        <w:ind w:left="0" w:firstLine="432"/>
        <w:jc w:val="both"/>
      </w:pPr>
      <w:r>
        <w:rPr>
          <w:rFonts w:ascii="Times New Roman" w:hAnsi="Times New Roman"/>
          <w:sz w:val="24"/>
        </w:rPr>
        <w:t>The scale of documented improper payments and fraud in federal programs is, by any measure, a national emergency:</w:t>
      </w:r>
    </w:p>
    <w:p>
      <w:pPr>
        <w:pStyle w:val="ListBullet"/>
        <w:spacing w:after="60"/>
        <w:ind w:left="360"/>
      </w:pPr>
      <w:r>
        <w:rPr>
          <w:rFonts w:ascii="Times New Roman" w:hAnsi="Times New Roman"/>
          <w:sz w:val="24"/>
        </w:rPr>
        <w:t>The U.S. Pandemic Response Accountability Committee (PRAC) identified $236 billion in federal improper payments in FY2022 (PRAC FY2023 Improper Payments Report)</w:t>
      </w:r>
      <w:r>
        <w:rPr>
          <w:rFonts w:ascii="Times New Roman" w:hAnsi="Times New Roman"/>
          <w:sz w:val="24"/>
        </w:rPr>
        <w:t>, a figure GAO itself has characterized as likely understating the true total due to inconsistent measurement methodologies across agencies.</w:t>
      </w:r>
    </w:p>
    <w:p>
      <w:pPr>
        <w:pStyle w:val="ListBullet"/>
        <w:spacing w:after="60"/>
        <w:ind w:left="360"/>
      </w:pPr>
      <w:r>
        <w:rPr>
          <w:rFonts w:ascii="Times New Roman" w:hAnsi="Times New Roman"/>
          <w:sz w:val="24"/>
        </w:rPr>
        <w:t>Pandemic-era relief programs alone — including the Paycheck Protection Program (PPP), Economic Injury Disaster Loan (EIDL), Employee Retention Credit (ERC), and state-administered Unemployment Insurance (UI) programs — are estimated to have sustained fraud losses of $100 billion to $400 billion. The Small Business Administration Office of Inspector General placed PPP/EIDL fraud at over $200 billion in approved loans potentially fraudulent.</w:t>
      </w:r>
    </w:p>
    <w:p>
      <w:pPr>
        <w:pStyle w:val="ListBullet"/>
        <w:spacing w:after="60"/>
        <w:ind w:left="360"/>
      </w:pPr>
      <w:r>
        <w:rPr>
          <w:rFonts w:ascii="Times New Roman" w:hAnsi="Times New Roman"/>
          <w:sz w:val="24"/>
        </w:rPr>
        <w:t>The U.S. Department of Defense has failed every independent financial audit since the first audit mandate was issued, reflecting a systemic inability to account for trillions of dollars in assets and transactions.</w:t>
      </w:r>
    </w:p>
    <w:p>
      <w:pPr>
        <w:pStyle w:val="ListBullet"/>
        <w:spacing w:after="60"/>
        <w:ind w:left="360"/>
      </w:pPr>
      <w:r>
        <w:rPr>
          <w:rFonts w:ascii="Times New Roman" w:hAnsi="Times New Roman"/>
          <w:sz w:val="24"/>
        </w:rPr>
        <w:t>Approximately 5,000 GAO recommendations — many of them years or decades old — remain unimplemented across the executive branch, representing known, documented gaps in federal financial oversight that no agency has been resourced or required to close.</w:t>
      </w:r>
    </w:p>
    <w:p>
      <w:pPr>
        <w:pStyle w:val="ListBullet"/>
        <w:spacing w:after="60"/>
        <w:ind w:left="360"/>
      </w:pPr>
      <w:r>
        <w:rPr>
          <w:rFonts w:ascii="Times New Roman" w:hAnsi="Times New Roman"/>
          <w:sz w:val="24"/>
        </w:rPr>
        <w:t>Medicaid improperly paid an estimated $50 billion or more annually in recent years; Medicare Fee-for-Service reported over $31 billion in improper payments; Earned Income Tax Credit (EITC) improper payment rates have persistently exceeded 20 percent of total outlays.</w:t>
      </w:r>
    </w:p>
    <w:p>
      <w:pPr>
        <w:spacing w:before="200" w:after="80"/>
      </w:pPr>
      <w:r>
        <w:rPr>
          <w:rFonts w:ascii="Times New Roman" w:hAnsi="Times New Roman"/>
          <w:b/>
          <w:color w:val="1A3A5C"/>
          <w:sz w:val="24"/>
        </w:rPr>
        <w:t>B. The Structural Causes of the Problem</w:t>
      </w:r>
    </w:p>
    <w:p>
      <w:pPr>
        <w:spacing w:after="120"/>
        <w:ind w:left="0" w:firstLine="432"/>
        <w:jc w:val="both"/>
      </w:pPr>
      <w:r>
        <w:rPr>
          <w:rFonts w:ascii="Times New Roman" w:hAnsi="Times New Roman"/>
          <w:sz w:val="24"/>
        </w:rPr>
        <w:t>The persistence of this problem is not attributable to a lack of law or policy. Federal grant programs operate within a robust regulatory framework — including 2 CFR Part 200 (Uniform Guidance), the Single Audit Act, the Improper Payments Elimination and Recovery Act (IPERA), the Payment Integrity Information Act (PIIA), and numerous program-specific statutes. The problem is structural: the tools available to grantor agencies and grantee organizations have not kept pace with the volume, complexity, or velocity of federal disbursements.</w:t>
      </w:r>
    </w:p>
    <w:p>
      <w:pPr>
        <w:spacing w:after="120"/>
        <w:ind w:left="0" w:firstLine="432"/>
        <w:jc w:val="both"/>
      </w:pPr>
      <w:r>
        <w:rPr>
          <w:rFonts w:ascii="Times New Roman" w:hAnsi="Times New Roman"/>
          <w:sz w:val="24"/>
        </w:rPr>
        <w:t>Specifically, the current landscape suffers from five compounding structural deficiencies:</w:t>
      </w:r>
    </w:p>
    <w:p>
      <w:pPr>
        <w:pStyle w:val="ListBullet"/>
        <w:spacing w:after="60"/>
        <w:ind w:left="360"/>
      </w:pPr>
      <w:r>
        <w:rPr>
          <w:rFonts w:ascii="Times New Roman" w:hAnsi="Times New Roman"/>
          <w:sz w:val="24"/>
        </w:rPr>
        <w:t>Fragmentation: No unified platform exists to support compliance monitoring, fraud detection, and audit management across the grantor-grantee relationship. Grantors and grantees use incompatible, siloed systems that cannot exchange real-time intelligence.</w:t>
      </w:r>
    </w:p>
    <w:p>
      <w:pPr>
        <w:pStyle w:val="ListBullet"/>
        <w:spacing w:after="60"/>
        <w:ind w:left="360"/>
      </w:pPr>
      <w:r>
        <w:rPr>
          <w:rFonts w:ascii="Times New Roman" w:hAnsi="Times New Roman"/>
          <w:sz w:val="24"/>
        </w:rPr>
        <w:t>Reactive rather than preventive orientation: The dominant paradigm is post-payment investigation — identifying fraud after funds have left federal accounts, rather than preventing disbursement of improper payments before they occur. The GAO has repeatedly called for the adoption of predictive, pre-disbursement risk intelligence.</w:t>
      </w:r>
    </w:p>
    <w:p>
      <w:pPr>
        <w:pStyle w:val="ListBullet"/>
        <w:spacing w:after="60"/>
        <w:ind w:left="360"/>
      </w:pPr>
      <w:r>
        <w:rPr>
          <w:rFonts w:ascii="Times New Roman" w:hAnsi="Times New Roman"/>
          <w:sz w:val="24"/>
        </w:rPr>
        <w:t>Capacity disparity: Under-resourced entities — tribal governments, rural municipalities, community development financial institutions (CDFIs), and small nonprofits — lack the compliance infrastructure needed to participate safely in federal grant programs. This disparity produces both compliance failures and inequitable distribution of federal resources.</w:t>
      </w:r>
    </w:p>
    <w:p>
      <w:pPr>
        <w:pStyle w:val="ListBullet"/>
        <w:spacing w:after="60"/>
        <w:ind w:left="360"/>
      </w:pPr>
      <w:r>
        <w:rPr>
          <w:rFonts w:ascii="Times New Roman" w:hAnsi="Times New Roman"/>
          <w:sz w:val="24"/>
        </w:rPr>
        <w:t>Manual compliance burdens: Current compliance monitoring relies heavily on manual, periodic review processes that are labor-intensive, inconsistent, and incapable of detecting emerging fraud patterns in real time.</w:t>
      </w:r>
    </w:p>
    <w:p>
      <w:pPr>
        <w:pStyle w:val="ListBullet"/>
        <w:spacing w:after="60"/>
        <w:ind w:left="360"/>
      </w:pPr>
      <w:r>
        <w:rPr>
          <w:rFonts w:ascii="Times New Roman" w:hAnsi="Times New Roman"/>
          <w:sz w:val="24"/>
        </w:rPr>
        <w:t>Absence of AI-augmented oversight: Despite the widespread adoption of artificial intelligence across private-sector financial services, no comprehensive AI-augmented compliance and fraud detection platform designed specifically for the federal grant ecosystem currently exists at scale.</w:t>
      </w:r>
    </w:p>
    <w:p>
      <w:pPr>
        <w:spacing w:before="200" w:after="80"/>
      </w:pPr>
      <w:r>
        <w:rPr>
          <w:rFonts w:ascii="Times New Roman" w:hAnsi="Times New Roman"/>
          <w:b/>
          <w:color w:val="1A3A5C"/>
          <w:sz w:val="24"/>
        </w:rPr>
        <w:t>C. Why This Problem Is of National Importance</w:t>
      </w:r>
    </w:p>
    <w:p>
      <w:pPr>
        <w:spacing w:after="120"/>
        <w:ind w:left="0" w:firstLine="432"/>
        <w:jc w:val="both"/>
      </w:pPr>
      <w:r>
        <w:rPr>
          <w:rFonts w:ascii="Times New Roman" w:hAnsi="Times New Roman"/>
          <w:sz w:val="24"/>
        </w:rPr>
        <w:t xml:space="preserve">The national importance of this problem is established not merely by its financial magnitude — </w:t>
      </w:r>
      <w:r>
        <w:rPr>
          <w:rFonts w:ascii="Times New Roman" w:hAnsi="Times New Roman"/>
          <w:sz w:val="24"/>
        </w:rPr>
        <w:t>though $236 billion in documented federal improper payments in FY2022 alone (PRAC FY2023 Report) is, by itself, sufficient to satisfy that standard</w:t>
      </w:r>
      <w:r>
        <w:rPr>
          <w:rFonts w:ascii="Times New Roman" w:hAnsi="Times New Roman"/>
          <w:sz w:val="24"/>
        </w:rPr>
        <w:t xml:space="preserve"> — but by its systemic, cross-cutting, and policy-defining character.</w:t>
      </w:r>
    </w:p>
    <w:p>
      <w:pPr>
        <w:spacing w:after="120"/>
        <w:ind w:left="0" w:firstLine="432"/>
        <w:jc w:val="both"/>
      </w:pPr>
      <w:r>
        <w:rPr>
          <w:rFonts w:ascii="Times New Roman" w:hAnsi="Times New Roman"/>
          <w:sz w:val="24"/>
        </w:rPr>
        <w:t>First, the problem affects every major federal program and therefore every sector of American economic and social life: healthcare, housing, education, defense, agriculture, disaster relief, research, social services, and infrastructure. A platform-level solution addressing this problem would simultaneously strengthen program integrity across all of these domains.</w:t>
      </w:r>
    </w:p>
    <w:p>
      <w:pPr>
        <w:spacing w:after="120"/>
        <w:ind w:left="0" w:firstLine="432"/>
        <w:jc w:val="both"/>
      </w:pPr>
      <w:r>
        <w:rPr>
          <w:rFonts w:ascii="Times New Roman" w:hAnsi="Times New Roman"/>
          <w:sz w:val="24"/>
        </w:rPr>
        <w:t>Second, the problem has been explicitly identified by Congress, GAO, the Office of Management and Budget (OMB), and successive administrations as a national priority. The Payment Integrity Information Act of 2019, the American Rescue Plan Act of 2021, and OMB Memorandum M-21-19 all reflect the legislative and executive consensus that systemic improvement in payment integrity and grant oversight is an urgent national objective.</w:t>
      </w:r>
    </w:p>
    <w:p>
      <w:pPr>
        <w:spacing w:after="120"/>
        <w:ind w:left="0" w:firstLine="432"/>
        <w:jc w:val="both"/>
      </w:pPr>
      <w:r>
        <w:rPr>
          <w:rFonts w:ascii="Times New Roman" w:hAnsi="Times New Roman"/>
          <w:sz w:val="24"/>
        </w:rPr>
        <w:t>Third, the problem has direct national security dimensions. As documented by GAO and the Pandemic Response Accountability Committee (PRAC), organized fraud rings — including rings with documented links to foreign actors — exploited pandemic-era relief programs on a massive scale. Hardening federal payment systems against such exploitation is a national security imperative.</w:t>
      </w:r>
    </w:p>
    <w:p>
      <w:pPr>
        <w:spacing w:after="120"/>
        <w:ind w:left="0" w:firstLine="432"/>
        <w:jc w:val="both"/>
      </w:pPr>
      <w:r>
        <w:rPr>
          <w:rFonts w:ascii="Times New Roman" w:hAnsi="Times New Roman"/>
          <w:sz w:val="24"/>
        </w:rPr>
        <w:t>Fourth, the problem imposes a dual burden: it harms grantors (by generating fraud losses and compliance liabilities) and grantees (by imposing excessive administrative burdens that drive honest organizations out of the federal grant market). A solution that addresses both sides of this equation simultaneously produces compounding national benefit.</w:t>
      </w:r>
    </w:p>
    <w:p>
      <w:pPr>
        <w:spacing w:before="200" w:after="80"/>
      </w:pPr>
      <w:r>
        <w:rPr>
          <w:rFonts w:ascii="Times New Roman" w:hAnsi="Times New Roman"/>
          <w:b/>
          <w:color w:val="1A3A5C"/>
          <w:sz w:val="24"/>
        </w:rPr>
        <w:t>D. The Grantor-Grantee Ecosystem Gap</w:t>
      </w:r>
    </w:p>
    <w:p>
      <w:pPr>
        <w:spacing w:after="120"/>
        <w:ind w:left="0" w:firstLine="432"/>
        <w:jc w:val="both"/>
      </w:pPr>
      <w:r>
        <w:rPr>
          <w:rFonts w:ascii="Times New Roman" w:hAnsi="Times New Roman"/>
          <w:sz w:val="24"/>
        </w:rPr>
        <w:t>A particularly important dimension of the national problem is the structural misalignment between grantor agencies and grantee organizations. Grantor agencies — federal departments, state pass-through agencies, oversight bodies — require real-time transaction monitoring, risk scoring, compliance evidence, and audit trails. Grantee organizations — nonprofits, CDFIs, universities, municipalities — require simplified reporting interfaces, automated compliance guidance, and reduced administrative burden.</w:t>
      </w:r>
    </w:p>
    <w:p>
      <w:pPr>
        <w:spacing w:after="120"/>
        <w:ind w:left="0" w:firstLine="432"/>
        <w:jc w:val="both"/>
      </w:pPr>
      <w:r>
        <w:rPr>
          <w:rFonts w:ascii="Times New Roman" w:hAnsi="Times New Roman"/>
          <w:sz w:val="24"/>
        </w:rPr>
        <w:t>These two sets of needs are not in conflict; they are complementary. But no platform currently bridges them in an integrated way. Grantors receive incomplete, delayed, and manually prepared reports that are insufficient for real-time risk assessment. Grantees are overwhelmed by duplicative, inconsistent reporting requirements that consume resources that should be directed toward programmatic outcomes. The result is a compliance ecosystem that simultaneously over-burdens honest grantees and under-detects dishonest ones. GovGuard™ is specifically designed to close this gap.</w:t>
      </w:r>
    </w:p>
    <w:p>
      <w:pPr>
        <w:spacing w:before="280" w:after="80"/>
      </w:pPr>
      <w:r>
        <w:rPr>
          <w:rFonts w:ascii="Times New Roman" w:hAnsi="Times New Roman"/>
          <w:b/>
          <w:color w:val="00236B"/>
          <w:sz w:val="28"/>
        </w:rPr>
        <w:t>PART II: PRONG 2 — WELL POSITIONED TO ADVANCE THE PROPOSED ENDEAVOR</w:t>
      </w:r>
    </w:p>
    <w:p>
      <w:pPr>
        <w:spacing w:before="200" w:after="80"/>
      </w:pPr>
      <w:r>
        <w:rPr>
          <w:rFonts w:ascii="Times New Roman" w:hAnsi="Times New Roman"/>
          <w:b/>
          <w:color w:val="1A3A5C"/>
          <w:sz w:val="24"/>
        </w:rPr>
        <w:t>A. The GovGuard™ Solution: Core Concept</w:t>
      </w:r>
    </w:p>
    <w:p>
      <w:pPr>
        <w:spacing w:after="120"/>
        <w:ind w:left="0" w:firstLine="432"/>
        <w:jc w:val="both"/>
      </w:pPr>
      <w:r>
        <w:rPr>
          <w:rFonts w:ascii="Times New Roman" w:hAnsi="Times New Roman"/>
          <w:sz w:val="24"/>
        </w:rPr>
        <w:t>GovGuard™ is a multi-tenant, cloud-native, AI-augmented SaaS platform that serves as an integrated grant compliance, fraud detection, and financial oversight infrastructure layer for the entire grantor-grantee ecosystem. It is designed to operate across federal and sub-federal program levels, supporting government agencies, pass-through entities, and direct grantees on a single, unified platform architecture.</w:t>
      </w:r>
    </w:p>
    <w:p>
      <w:pPr>
        <w:spacing w:after="120"/>
        <w:ind w:left="0" w:firstLine="432"/>
        <w:jc w:val="both"/>
      </w:pPr>
      <w:r>
        <w:rPr>
          <w:rFonts w:ascii="Times New Roman" w:hAnsi="Times New Roman"/>
          <w:sz w:val="24"/>
        </w:rPr>
        <w:t>The platform's core proposition is the conversion of compliance and fraud oversight from a reactive, manual, periodic activity into a continuous, automated, intelligence-driven process. Every grant transaction that passes through GovGuard™ is instantly scored against 47 fraud detection rules and three machine-learning models; every active grant is continuously monitored against 10 OMB-mapped compliance rules with automatic escalation of material weaknesses; and every grant portfolio is subject to 30-day forward risk prediction using trained XGBoost models with SHAP-based explanatory drivers.</w:t>
      </w:r>
    </w:p>
    <w:p>
      <w:pPr>
        <w:spacing w:before="200" w:after="80"/>
      </w:pPr>
      <w:r>
        <w:rPr>
          <w:rFonts w:ascii="Times New Roman" w:hAnsi="Times New Roman"/>
          <w:b/>
          <w:color w:val="1A3A5C"/>
          <w:sz w:val="24"/>
        </w:rPr>
        <w:t>B. Progress and Development Maturity: The MVP Stage</w:t>
      </w:r>
    </w:p>
    <w:p>
      <w:pPr>
        <w:spacing w:after="120"/>
        <w:ind w:left="0" w:firstLine="432"/>
        <w:jc w:val="both"/>
      </w:pPr>
      <w:r>
        <w:rPr>
          <w:rFonts w:ascii="Times New Roman" w:hAnsi="Times New Roman"/>
          <w:sz w:val="24"/>
        </w:rPr>
        <w:t>GovGuard™ has been developed beyond the conceptual or design phase. As of the date of this petition, the platform is at the Minimum Viable Product (MVP) stage, with the following components fully developed, integrated, and functional:</w:t>
      </w:r>
    </w:p>
    <w:p>
      <w:pPr>
        <w:spacing w:before="200" w:after="80"/>
      </w:pPr>
      <w:r>
        <w:rPr>
          <w:rFonts w:ascii="Times New Roman" w:hAnsi="Times New Roman"/>
          <w:b/>
          <w:sz w:val="22"/>
        </w:rPr>
        <w:t>1. Backend Application</w:t>
      </w:r>
    </w:p>
    <w:p>
      <w:pPr>
        <w:spacing w:after="120"/>
        <w:ind w:left="0" w:firstLine="432"/>
        <w:jc w:val="both"/>
      </w:pPr>
      <w:r>
        <w:t>The backend is a fully operational FastAPI application (Python 3.12) incorporating 14 feature modules routed through a versioned API architecture (v1 and v2). The application factory pattern supports multi-tenant isolation through PostgreSQL 17 Row-Level Security, , Redis-based rate limiting and caching, and a structured audit log of all mutating operations. The system exposes 37 documented REST API endpoints. JWT RS256 authentication is handled via Auth0 (frontend) with AWS Cognito for backend API token validation.</w:t>
      </w:r>
    </w:p>
    <w:p>
      <w:pPr>
        <w:spacing w:after="120"/>
        <w:ind w:left="0" w:firstLine="432"/>
        <w:jc w:val="both"/>
      </w:pPr>
      <w:r>
        <w:rPr>
          <w:rFonts w:ascii="Times New Roman" w:hAnsi="Times New Roman"/>
          <w:sz w:val="24"/>
        </w:rPr>
        <w:t>The 13 backend modules are:</w:t>
      </w:r>
    </w:p>
    <w:p>
      <w:pPr>
        <w:pStyle w:val="ListBullet"/>
        <w:spacing w:after="60"/>
        <w:ind w:left="360"/>
      </w:pPr>
      <w:r>
        <w:rPr>
          <w:rFonts w:ascii="Times New Roman" w:hAnsi="Times New Roman"/>
          <w:sz w:val="24"/>
        </w:rPr>
        <w:t>Authentication and Authorization (</w:t>
      </w:r>
      <w:r>
        <w:rPr>
          <w:rFonts w:ascii="Times New Roman" w:hAnsi="Times New Roman"/>
          <w:sz w:val="24"/>
        </w:rPr>
        <w:t>multi-tenant JWT validation against Auth0 JWKS</w:t>
      </w:r>
      <w:r>
        <w:rPr>
          <w:rFonts w:ascii="Times New Roman" w:hAnsi="Times New Roman"/>
          <w:sz w:val="24"/>
        </w:rPr>
        <w:t>)</w:t>
      </w:r>
    </w:p>
    <w:p>
      <w:pPr>
        <w:pStyle w:val="ListBullet"/>
        <w:spacing w:after="60"/>
        <w:ind w:left="360"/>
      </w:pPr>
      <w:r>
        <w:rPr>
          <w:rFonts w:ascii="Times New Roman" w:hAnsi="Times New Roman"/>
          <w:sz w:val="24"/>
        </w:rPr>
        <w:t>Tenant Management (multi-tier subscription model with FedRAMP scope flags)</w:t>
      </w:r>
    </w:p>
    <w:p>
      <w:pPr>
        <w:pStyle w:val="ListBullet"/>
        <w:spacing w:after="60"/>
        <w:ind w:left="360"/>
      </w:pPr>
      <w:r>
        <w:rPr>
          <w:rFonts w:ascii="Times New Roman" w:hAnsi="Times New Roman"/>
          <w:sz w:val="24"/>
        </w:rPr>
        <w:t>User Management (role-based access control with MFA enforcement)</w:t>
      </w:r>
    </w:p>
    <w:p>
      <w:pPr>
        <w:pStyle w:val="ListBullet"/>
        <w:spacing w:after="60"/>
        <w:ind w:left="360"/>
      </w:pPr>
      <w:r>
        <w:rPr>
          <w:rFonts w:ascii="Times New Roman" w:hAnsi="Times New Roman"/>
          <w:sz w:val="24"/>
        </w:rPr>
        <w:t>Grants Management (full grant lifecycle from draft through closeout)</w:t>
      </w:r>
    </w:p>
    <w:p>
      <w:pPr>
        <w:pStyle w:val="ListBullet"/>
        <w:spacing w:after="60"/>
        <w:ind w:left="360"/>
      </w:pPr>
      <w:r>
        <w:rPr>
          <w:rFonts w:ascii="Times New Roman" w:hAnsi="Times New Roman"/>
          <w:sz w:val="24"/>
        </w:rPr>
        <w:t>Transactions (invoice ingestion, risk scoring, flag management, deduplication indexing)</w:t>
      </w:r>
    </w:p>
    <w:p>
      <w:pPr>
        <w:pStyle w:val="ListBullet"/>
        <w:spacing w:after="60"/>
        <w:ind w:left="360"/>
      </w:pPr>
      <w:r>
        <w:rPr>
          <w:rFonts w:ascii="Times New Roman" w:hAnsi="Times New Roman"/>
          <w:sz w:val="24"/>
        </w:rPr>
        <w:t>Compliance Engine (OMB 2 CFR 200-mapped control library with evidence tracking)</w:t>
      </w:r>
    </w:p>
    <w:p>
      <w:pPr>
        <w:pStyle w:val="ListBullet"/>
        <w:spacing w:after="60"/>
        <w:ind w:left="360"/>
      </w:pPr>
      <w:r>
        <w:rPr>
          <w:rFonts w:ascii="Times New Roman" w:hAnsi="Times New Roman"/>
          <w:sz w:val="24"/>
        </w:rPr>
        <w:t>Payment Integrity (pre-disbursement fraud screening)</w:t>
      </w:r>
    </w:p>
    <w:p>
      <w:pPr>
        <w:pStyle w:val="ListBullet"/>
        <w:spacing w:after="60"/>
        <w:ind w:left="360"/>
      </w:pPr>
      <w:r>
        <w:rPr>
          <w:rFonts w:ascii="Times New Roman" w:hAnsi="Times New Roman"/>
          <w:sz w:val="24"/>
        </w:rPr>
        <w:t>Pre-Award Screening (applicant risk scoring before disbursement)</w:t>
      </w:r>
    </w:p>
    <w:p>
      <w:pPr>
        <w:pStyle w:val="ListBullet"/>
        <w:spacing w:after="60"/>
        <w:ind w:left="360"/>
      </w:pPr>
      <w:r>
        <w:rPr>
          <w:rFonts w:ascii="Times New Roman" w:hAnsi="Times New Roman"/>
          <w:sz w:val="24"/>
        </w:rPr>
        <w:t>Audit Hub (finding management, Corrective Action Plan lifecycle, evidence storage via AWS S3)</w:t>
      </w:r>
    </w:p>
    <w:p>
      <w:pPr>
        <w:pStyle w:val="ListBullet"/>
        <w:spacing w:after="60"/>
        <w:ind w:left="360"/>
      </w:pPr>
      <w:r>
        <w:rPr>
          <w:rFonts w:ascii="Times New Roman" w:hAnsi="Times New Roman"/>
          <w:sz w:val="24"/>
        </w:rPr>
        <w:t>Dashboard (KPI aggregation, leaderboard, alert triage)</w:t>
      </w:r>
    </w:p>
    <w:p>
      <w:pPr>
        <w:pStyle w:val="ListBullet"/>
        <w:spacing w:after="60"/>
        <w:ind w:left="360"/>
      </w:pPr>
      <w:r>
        <w:rPr>
          <w:rFonts w:ascii="Times New Roman" w:hAnsi="Times New Roman"/>
          <w:sz w:val="24"/>
        </w:rPr>
        <w:t>ERP Integration (SAP/Oracle/QuickBooks bidirectional data sync with job management)</w:t>
      </w:r>
    </w:p>
    <w:p>
      <w:pPr>
        <w:pStyle w:val="ListBullet"/>
        <w:spacing w:after="60"/>
        <w:ind w:left="360"/>
      </w:pPr>
      <w:r>
        <w:rPr>
          <w:rFonts w:ascii="Times New Roman" w:hAnsi="Times New Roman"/>
          <w:sz w:val="24"/>
        </w:rPr>
        <w:t>Webhooks (real-time event delivery to external systems)</w:t>
      </w:r>
    </w:p>
    <w:p>
      <w:pPr>
        <w:pStyle w:val="ListBullet"/>
        <w:spacing w:after="60"/>
        <w:ind w:left="360"/>
      </w:pPr>
      <w:r>
        <w:rPr>
          <w:rFonts w:ascii="Times New Roman" w:hAnsi="Times New Roman"/>
          <w:sz w:val="24"/>
        </w:rPr>
        <w:t>Notifications (automated alerting)</w:t>
      </w:r>
    </w:p>
    <w:p>
      <w:pPr>
        <w:spacing w:before="200" w:after="80"/>
      </w:pPr>
      <w:r>
        <w:rPr>
          <w:rFonts w:ascii="Times New Roman" w:hAnsi="Times New Roman"/>
          <w:b/>
          <w:sz w:val="22"/>
        </w:rPr>
        <w:t>2. Machine Learning Infrastructure: Three Trained Production Models</w:t>
      </w:r>
    </w:p>
    <w:p>
      <w:pPr>
        <w:spacing w:after="120"/>
        <w:ind w:left="0" w:firstLine="432"/>
        <w:jc w:val="both"/>
      </w:pPr>
      <w:r>
        <w:rPr>
          <w:rFonts w:ascii="Times New Roman" w:hAnsi="Times New Roman"/>
          <w:sz w:val="24"/>
        </w:rPr>
        <w:t>GovGuard™ incorporates three trained and serialized machine-learning models, stored as production artifacts at the time of this petition. Each model is implemented as a singleton with graceful fallback to rule-based scoring if the model file is unavailable, ensuring continuous system availability:</w:t>
      </w:r>
    </w:p>
    <w:p>
      <w:pPr>
        <w:pStyle w:val="ListBullet"/>
        <w:spacing w:after="60"/>
        <w:ind w:left="360"/>
      </w:pPr>
      <w:r>
        <w:rPr>
          <w:rFonts w:ascii="Times New Roman" w:hAnsi="Times New Roman"/>
          <w:sz w:val="24"/>
        </w:rPr>
        <w:t>XGBoost Fraud Classifier (fraud_classifier_v1.pkl): A supervised XGBoost classifier trained on the 47-dimensional binary feature vector generated by the Fraud Detection Engine. The model ingests a rule-signal array and returns a calibrated fraud probability (0.0–1.0), which is then converted to a composite score (0–100) and mapped to a four-tier risk classification (LOW / MEDIUM / HIGH / CRITICAL) with a corresponding recommended action (APPROVE / REVIEW / HOLD / BLOCK).</w:t>
      </w:r>
    </w:p>
    <w:p>
      <w:pPr>
        <w:pStyle w:val="ListBullet"/>
        <w:spacing w:after="60"/>
        <w:ind w:left="360"/>
      </w:pPr>
      <w:r>
        <w:rPr>
          <w:rFonts w:ascii="Times New Roman" w:hAnsi="Times New Roman"/>
          <w:sz w:val="24"/>
        </w:rPr>
        <w:t>IsolationForest Anomaly Detector (anomaly_detector_v1.pkl): A scikit-learn IsolationForest model trained on normalized transaction feature vectors. The detector identifies statistical outliers in grant transaction streams across six anomaly dimensions, augmenting the rule-based anomaly checks with an unsupervised ML signal.</w:t>
      </w:r>
    </w:p>
    <w:p>
      <w:pPr>
        <w:pStyle w:val="ListBullet"/>
        <w:spacing w:after="60"/>
        <w:ind w:left="360"/>
      </w:pPr>
      <w:r>
        <w:rPr>
          <w:rFonts w:ascii="Times New Roman" w:hAnsi="Times New Roman"/>
          <w:sz w:val="24"/>
        </w:rPr>
        <w:t>XGBoost Risk Forecaster (risk_forecaster_v1.pkl): A trained XGBoost regression model that accepts a 15-dimensional feature vector (encompassing compliance score trajectory, spend burn-rate trend, open audit findings, overdue Corrective Action Plans, period-end pressure, vendor network risk, and GAO High-Risk program overlap) and returns a 30-day forward risk score with SHAP-based explanatory drivers that identify the top contributing factors to predicted risk.</w:t>
      </w:r>
    </w:p>
    <w:p>
      <w:pPr>
        <w:spacing w:after="120"/>
        <w:ind w:left="0" w:firstLine="432"/>
        <w:jc w:val="both"/>
      </w:pPr>
      <w:r>
        <w:rPr>
          <w:rFonts w:ascii="Times New Roman" w:hAnsi="Times New Roman"/>
          <w:sz w:val="24"/>
        </w:rPr>
        <w:t>The SHAP driver output is a particularly significant technical capability. Rather than producing a black-box prediction, the Risk Forecaster identifies — and communicates to the grantee — the specific factors driving their predicted risk score (e.g., 'compliance_slope: -3.2 points, contributing +12.4 to risk score; overdue_caps: 2 open, contributing +8.1'). This explainability feature is essential for grantees to take corrective action and for grantors to defend scoring decisions in audit contexts.</w:t>
      </w:r>
    </w:p>
    <w:p>
      <w:pPr>
        <w:spacing w:before="200" w:after="80"/>
      </w:pPr>
      <w:r>
        <w:rPr>
          <w:rFonts w:ascii="Times New Roman" w:hAnsi="Times New Roman"/>
          <w:b/>
          <w:sz w:val="22"/>
        </w:rPr>
        <w:t>3. Fraud Detection Engine: 47 Rules Mapped to GAO Categories</w:t>
      </w:r>
    </w:p>
    <w:p>
      <w:pPr>
        <w:spacing w:after="120"/>
        <w:ind w:left="0" w:firstLine="432"/>
        <w:jc w:val="both"/>
      </w:pPr>
      <w:r>
        <w:rPr>
          <w:rFonts w:ascii="Times New Roman" w:hAnsi="Times New Roman"/>
          <w:sz w:val="24"/>
        </w:rPr>
        <w:t>The Fraud Detection Engine (FraudDetectionEngine class) is a stateless, deterministic rule engine implementing 47 fraud detection rules (FDE-001 through FDE-047), each traceable to a specific GAO High-Risk program category or 2 CFR 200 compliance requirement. The full rule library spans six GAO fraud categories:</w:t>
      </w:r>
    </w:p>
    <w:p>
      <w:pPr>
        <w:pStyle w:val="ListBullet"/>
        <w:spacing w:after="60"/>
        <w:ind w:left="360"/>
      </w:pPr>
      <w:r>
        <w:rPr>
          <w:rFonts w:ascii="Times New Roman" w:hAnsi="Times New Roman"/>
          <w:sz w:val="24"/>
        </w:rPr>
        <w:t>Category 1 (Direct Payment and Grant Fraud): Duplicate exact and fuzzy invoice detection (Levenshtein distance ≤ 2), round-dollar pattern detection, split-purchase threshold evasion, SAM.gov exclusion check, weekend transaction anomaly, high vendor spend velocity, cross-grant double-dipping, and multi-program fraud ring detection.</w:t>
      </w:r>
    </w:p>
    <w:p>
      <w:pPr>
        <w:pStyle w:val="ListBullet"/>
        <w:spacing w:after="60"/>
        <w:ind w:left="360"/>
      </w:pPr>
      <w:r>
        <w:rPr>
          <w:rFonts w:ascii="Times New Roman" w:hAnsi="Times New Roman"/>
          <w:sz w:val="24"/>
        </w:rPr>
        <w:t>Category 2 (Tax and Benefits Fraud): Labor category rate mismatch, EITC same-child dual-filer cross-claim, Durable Medical Equipment (DME) geographic outlier detection, hospice LOS/live-discharge outlier, and emerging scheme volume spike detection.</w:t>
      </w:r>
    </w:p>
    <w:p>
      <w:pPr>
        <w:pStyle w:val="ListBullet"/>
        <w:spacing w:after="60"/>
        <w:ind w:left="360"/>
      </w:pPr>
      <w:r>
        <w:rPr>
          <w:rFonts w:ascii="Times New Roman" w:hAnsi="Times New Roman"/>
          <w:sz w:val="24"/>
        </w:rPr>
        <w:t>Category 3 (Healthcare Fraud): Prior-authorization window violation, risk-adjustment upcoding detection, FAFSA exception-rate regression monitoring, disaster aid duplication (FEMA/SBA/NFIP overlap), Title IV institution risk (CDR and 90/10 ratio), and STEM grant attribution overlap.</w:t>
      </w:r>
    </w:p>
    <w:p>
      <w:pPr>
        <w:pStyle w:val="ListBullet"/>
        <w:spacing w:after="60"/>
        <w:ind w:left="360"/>
      </w:pPr>
      <w:r>
        <w:rPr>
          <w:rFonts w:ascii="Times New Roman" w:hAnsi="Times New Roman"/>
          <w:sz w:val="24"/>
        </w:rPr>
        <w:t>Category 4 (Identity and Benefits Fraud): Device fingerprint ring detection, synthetic identity via SSA E-CBSv no-match, duplicate homeless intake (HMIS/VA dual registration), and security-clearance financial risk assessment.</w:t>
      </w:r>
    </w:p>
    <w:p>
      <w:pPr>
        <w:pStyle w:val="ListBullet"/>
        <w:spacing w:after="60"/>
        <w:ind w:left="360"/>
      </w:pPr>
      <w:r>
        <w:rPr>
          <w:rFonts w:ascii="Times New Roman" w:hAnsi="Times New Roman"/>
          <w:sz w:val="24"/>
        </w:rPr>
        <w:t>Category 5 (Procurement and Entity Fraud): SAM.gov vendor exclusion hard-block, related-party/conflict-of-interest flag, OIG cross-entity link detection, OFAC sanctions layering/SDN entity match, passthrough foreign money flow, UFLPA import transshipment detection, duplicate FSIS/FDA inspection overlap, whistleblower tip cluster analysis, and contractor CPARS performance risk.</w:t>
      </w:r>
    </w:p>
    <w:p>
      <w:pPr>
        <w:pStyle w:val="ListBullet"/>
        <w:spacing w:after="60"/>
        <w:ind w:left="360"/>
      </w:pPr>
      <w:r>
        <w:rPr>
          <w:rFonts w:ascii="Times New Roman" w:hAnsi="Times New Roman"/>
          <w:sz w:val="24"/>
        </w:rPr>
        <w:t>Category 6 (Management and Oversight Failures): Acquisition EVM cost overrun, procurement vendor rotation (bid-rigging proxy via chi-square test and proposal cosine similarity), stale GAO priority recommendation detection, IRS legacy reconciliation drift, VA wait-time reporting divergence, FISMA high-impact cyber backlog, federal real-property underutilization, SAM.gov seat true-down, and cross-agency contractor performance risk.</w:t>
      </w:r>
    </w:p>
    <w:p>
      <w:pPr>
        <w:spacing w:after="120"/>
        <w:ind w:left="0" w:firstLine="432"/>
        <w:jc w:val="both"/>
      </w:pPr>
      <w:r>
        <w:rPr>
          <w:rFonts w:ascii="Times New Roman" w:hAnsi="Times New Roman"/>
          <w:sz w:val="24"/>
        </w:rPr>
        <w:t>Each triggered rule produces a weighted contribution to the composite fraud score. The scoring engine runs both a rules-only weighted sum and, when the XGBoost classifier is loaded, an ML-based probability score. The two scores are compared in a shadow mode that logs agreement rate, average delta, directional bias, and action-level concordance — providing a continuous model validation loop without disrupting live scoring.</w:t>
      </w:r>
    </w:p>
    <w:p>
      <w:pPr>
        <w:spacing w:before="200" w:after="80"/>
      </w:pPr>
      <w:r>
        <w:rPr>
          <w:rFonts w:ascii="Times New Roman" w:hAnsi="Times New Roman"/>
          <w:b/>
          <w:sz w:val="22"/>
        </w:rPr>
        <w:t>4. Compliance Monitoring: 10 OMB-Mapped Rules with Automated CAP Creation</w:t>
      </w:r>
    </w:p>
    <w:p>
      <w:pPr>
        <w:spacing w:after="120"/>
        <w:ind w:left="0" w:firstLine="432"/>
        <w:jc w:val="both"/>
      </w:pPr>
      <w:r>
        <w:rPr>
          <w:rFonts w:ascii="Times New Roman" w:hAnsi="Times New Roman"/>
          <w:sz w:val="24"/>
        </w:rPr>
        <w:t>The GrantComplianceMonitor class implements 10 compliance rules (CM-001 through CM-010), each mapped to a specific clause of 2 CFR Part 200 and a corresponding GAO High-Risk category reference. Rules cover:</w:t>
      </w:r>
    </w:p>
    <w:p>
      <w:pPr>
        <w:pStyle w:val="ListBullet"/>
        <w:spacing w:after="60"/>
        <w:ind w:left="360"/>
      </w:pPr>
      <w:r>
        <w:rPr>
          <w:rFonts w:ascii="Times New Roman" w:hAnsi="Times New Roman"/>
          <w:sz w:val="24"/>
        </w:rPr>
        <w:t>Financial management system adequacy (2 CFR 200.302 / GAO Cat2-Ex23)</w:t>
      </w:r>
    </w:p>
    <w:p>
      <w:pPr>
        <w:pStyle w:val="ListBullet"/>
        <w:spacing w:after="60"/>
        <w:ind w:left="360"/>
      </w:pPr>
      <w:r>
        <w:rPr>
          <w:rFonts w:ascii="Times New Roman" w:hAnsi="Times New Roman"/>
          <w:sz w:val="24"/>
        </w:rPr>
        <w:t>Cash management drawdown timing (2 CFR 200.305 / GAO Cat3-Ex29)</w:t>
      </w:r>
    </w:p>
    <w:p>
      <w:pPr>
        <w:pStyle w:val="ListBullet"/>
        <w:spacing w:after="60"/>
        <w:ind w:left="360"/>
      </w:pPr>
      <w:r>
        <w:rPr>
          <w:rFonts w:ascii="Times New Roman" w:hAnsi="Times New Roman"/>
          <w:sz w:val="24"/>
        </w:rPr>
        <w:t>Written procurement procedures (2 CFR 200.318 / GAO Cat1-Ex26)</w:t>
      </w:r>
    </w:p>
    <w:p>
      <w:pPr>
        <w:pStyle w:val="ListBullet"/>
        <w:spacing w:after="60"/>
        <w:ind w:left="360"/>
      </w:pPr>
      <w:r>
        <w:rPr>
          <w:rFonts w:ascii="Times New Roman" w:hAnsi="Times New Roman"/>
          <w:sz w:val="24"/>
        </w:rPr>
        <w:t>Competition requirements above the simplified acquisition threshold (2 CFR 200.320 / GAO Cat1-Ex26)</w:t>
      </w:r>
    </w:p>
    <w:p>
      <w:pPr>
        <w:pStyle w:val="ListBullet"/>
        <w:spacing w:after="60"/>
        <w:ind w:left="360"/>
      </w:pPr>
      <w:r>
        <w:rPr>
          <w:rFonts w:ascii="Times New Roman" w:hAnsi="Times New Roman"/>
          <w:sz w:val="24"/>
        </w:rPr>
        <w:t>Subrecipient monitoring evidence requirements (2 CFR 200.331 / GAO Cat5-Ex28)</w:t>
      </w:r>
    </w:p>
    <w:p>
      <w:pPr>
        <w:pStyle w:val="ListBullet"/>
        <w:spacing w:after="60"/>
        <w:ind w:left="360"/>
      </w:pPr>
      <w:r>
        <w:rPr>
          <w:rFonts w:ascii="Times New Roman" w:hAnsi="Times New Roman"/>
          <w:sz w:val="24"/>
        </w:rPr>
        <w:t>Subrecipient risk assessment and monitoring plan (2 CFR 200.332 / GAO Cat5-Ex28)</w:t>
      </w:r>
    </w:p>
    <w:p>
      <w:pPr>
        <w:pStyle w:val="ListBullet"/>
        <w:spacing w:after="60"/>
        <w:ind w:left="360"/>
      </w:pPr>
      <w:r>
        <w:rPr>
          <w:rFonts w:ascii="Times New Roman" w:hAnsi="Times New Roman"/>
          <w:sz w:val="24"/>
        </w:rPr>
        <w:t>Grant closeout within 120-day deadline (2 CFR 200.344 / GAO Cat3-Ex23)</w:t>
      </w:r>
    </w:p>
    <w:p>
      <w:pPr>
        <w:pStyle w:val="ListBullet"/>
        <w:spacing w:after="60"/>
        <w:ind w:left="360"/>
      </w:pPr>
      <w:r>
        <w:rPr>
          <w:rFonts w:ascii="Times New Roman" w:hAnsi="Times New Roman"/>
          <w:sz w:val="24"/>
        </w:rPr>
        <w:t>Cost allocability to award (2 CFR 200.405 / GAO Cat1-Ex16)</w:t>
      </w:r>
    </w:p>
    <w:p>
      <w:pPr>
        <w:pStyle w:val="ListBullet"/>
        <w:spacing w:after="60"/>
        <w:ind w:left="360"/>
      </w:pPr>
      <w:r>
        <w:rPr>
          <w:rFonts w:ascii="Times New Roman" w:hAnsi="Times New Roman"/>
          <w:sz w:val="24"/>
        </w:rPr>
        <w:t>Compensation reasonableness (2 CFR 200.430 / GAO Cat3-Ex2)</w:t>
      </w:r>
    </w:p>
    <w:p>
      <w:pPr>
        <w:pStyle w:val="ListBullet"/>
        <w:spacing w:after="60"/>
        <w:ind w:left="360"/>
      </w:pPr>
      <w:r>
        <w:rPr>
          <w:rFonts w:ascii="Times New Roman" w:hAnsi="Times New Roman"/>
          <w:sz w:val="24"/>
        </w:rPr>
        <w:t>Travel cost allowability (2 CFR 200.474 / GAO Cat1-Ex9)</w:t>
      </w:r>
    </w:p>
    <w:p>
      <w:pPr>
        <w:spacing w:after="120"/>
        <w:ind w:left="0" w:firstLine="432"/>
        <w:jc w:val="both"/>
      </w:pPr>
      <w:r>
        <w:rPr>
          <w:rFonts w:ascii="Times New Roman" w:hAnsi="Times New Roman"/>
          <w:sz w:val="24"/>
        </w:rPr>
        <w:t>MATERIAL_WEAKNESS violations automatically trigger the creation of a Corrective Action Plan (CAP) record in the database, with assigned due dates and escalation reminders at 30, 60, and 90 days. This automated CAP creation closes the loop between detection and remediation — a gap that GAO has identified as one of the primary reasons compliance findings recur across grant cycles.</w:t>
      </w:r>
    </w:p>
    <w:p>
      <w:pPr>
        <w:spacing w:before="200" w:after="80"/>
      </w:pPr>
      <w:r>
        <w:rPr>
          <w:rFonts w:ascii="Times New Roman" w:hAnsi="Times New Roman"/>
          <w:b/>
          <w:sz w:val="22"/>
        </w:rPr>
        <w:t>5. Entity Intelligence and Beneficial Ownership Graph</w:t>
      </w:r>
    </w:p>
    <w:p>
      <w:pPr>
        <w:spacing w:after="120"/>
        <w:ind w:left="0" w:firstLine="432"/>
        <w:jc w:val="both"/>
      </w:pPr>
      <w:r>
        <w:rPr>
          <w:rFonts w:ascii="Times New Roman" w:hAnsi="Times New Roman"/>
          <w:sz w:val="24"/>
        </w:rPr>
        <w:t>The EntityIntelligenceService builds a graph-based representation of vendor and entity relationships within each tenant's grant portfolio. The graph exposes nodes (individual vendors), directed edges (financial or organizational relationships with confidence scores), and conflict flags (related-party linkages, shared EIN patterns, and beneficial ownership overlaps). This capability directly addresses the GAO High-Risk concern regarding the absence of beneficial-ownership verification in federal grant and contract programs.</w:t>
      </w:r>
    </w:p>
    <w:p>
      <w:pPr>
        <w:spacing w:before="200" w:after="80"/>
      </w:pPr>
      <w:r>
        <w:rPr>
          <w:rFonts w:ascii="Times New Roman" w:hAnsi="Times New Roman"/>
          <w:b/>
          <w:sz w:val="22"/>
        </w:rPr>
        <w:t>6. Frontend Application: Production Build Artifact</w:t>
      </w:r>
    </w:p>
    <w:p>
      <w:pPr>
        <w:spacing w:after="120"/>
        <w:ind w:left="0" w:firstLine="432"/>
        <w:jc w:val="both"/>
      </w:pPr>
      <w:r>
        <w:rPr>
          <w:rFonts w:ascii="Times New Roman" w:hAnsi="Times New Roman"/>
          <w:sz w:val="24"/>
        </w:rPr>
        <w:t>The GovGuard™ frontend is a Next.js 14 application built with React 18, TypeScript, Tailwind CSS, SWR data-fetching, and Zustand state management. The application has been compiled to a production build (a fully generated .next/ artifact is present in the deploy-package directory), confirming that the frontend is not only coded but successfully built for deployment. The frontend includes the following authenticated application routes:</w:t>
      </w:r>
    </w:p>
    <w:p>
      <w:pPr>
        <w:pStyle w:val="ListBullet"/>
        <w:spacing w:after="60"/>
        <w:ind w:left="360"/>
      </w:pPr>
      <w:r>
        <w:rPr>
          <w:rFonts w:ascii="Times New Roman" w:hAnsi="Times New Roman"/>
          <w:sz w:val="24"/>
        </w:rPr>
        <w:t>Dashboard (/dashboard): Real-time KPI tiles, risk leaderboard, and alert triage panel with live polling via useAlertFeed hook.</w:t>
      </w:r>
    </w:p>
    <w:p>
      <w:pPr>
        <w:pStyle w:val="ListBullet"/>
        <w:spacing w:after="60"/>
        <w:ind w:left="360"/>
      </w:pPr>
      <w:r>
        <w:rPr>
          <w:rFonts w:ascii="Times New Roman" w:hAnsi="Times New Roman"/>
          <w:sz w:val="24"/>
        </w:rPr>
        <w:t>Grants Portfolio (/grants): Full grant lifecycle management with award number, agency, CFDA code, period dates, total amount, and compliance score display.</w:t>
      </w:r>
    </w:p>
    <w:p>
      <w:pPr>
        <w:pStyle w:val="ListBullet"/>
        <w:spacing w:after="60"/>
        <w:ind w:left="360"/>
      </w:pPr>
      <w:r>
        <w:rPr>
          <w:rFonts w:ascii="Times New Roman" w:hAnsi="Times New Roman"/>
          <w:sz w:val="24"/>
        </w:rPr>
        <w:t>Compliance View (/grants/[id]/compliance): Per-grant compliance score ring, control accordion with pass/fail/not-tested status, and evidence attachment interface.</w:t>
      </w:r>
    </w:p>
    <w:p>
      <w:pPr>
        <w:pStyle w:val="ListBullet"/>
        <w:spacing w:after="60"/>
        <w:ind w:left="360"/>
      </w:pPr>
      <w:r>
        <w:rPr>
          <w:rFonts w:ascii="Times New Roman" w:hAnsi="Times New Roman"/>
          <w:sz w:val="24"/>
        </w:rPr>
        <w:t>Fraud Screening (/fraud/pre-award): Pre-award applicant risk screening interface.</w:t>
      </w:r>
    </w:p>
    <w:p>
      <w:pPr>
        <w:pStyle w:val="ListBullet"/>
        <w:spacing w:after="60"/>
        <w:ind w:left="360"/>
      </w:pPr>
      <w:r>
        <w:rPr>
          <w:rFonts w:ascii="Times New Roman" w:hAnsi="Times New Roman"/>
          <w:sz w:val="24"/>
        </w:rPr>
        <w:t>Audit Management (/audit): Audit findings, CAP status, and remediation tracking.</w:t>
      </w:r>
    </w:p>
    <w:p>
      <w:pPr>
        <w:spacing w:before="200" w:after="80"/>
      </w:pPr>
      <w:r>
        <w:rPr>
          <w:rFonts w:ascii="Times New Roman" w:hAnsi="Times New Roman"/>
          <w:b/>
          <w:sz w:val="22"/>
        </w:rPr>
        <w:t>7. Asynchronous Background Processing</w:t>
      </w:r>
    </w:p>
    <w:p>
      <w:pPr>
        <w:spacing w:after="120"/>
        <w:ind w:left="0" w:firstLine="432"/>
        <w:jc w:val="both"/>
      </w:pPr>
      <w:r>
        <w:rPr>
          <w:rFonts w:ascii="Times New Roman" w:hAnsi="Times New Roman"/>
          <w:sz w:val="24"/>
        </w:rPr>
        <w:t>GovGuard™ implements a Celery-based asynchronous task queue (backed by Redis) with four worker modules handling audit tasks, compliance tasks, payment integrity tasks, and ERP synchronization tasks. This architecture ensures that computationally intensive operations — bulk fraud scans across hundreds of transactions, ERP data imports, compliance report generation — do not block the primary API response path, and that the system can scale horizontally by adding worker instances without modifying the core application.</w:t>
      </w:r>
    </w:p>
    <w:p>
      <w:pPr>
        <w:spacing w:before="200" w:after="80"/>
      </w:pPr>
      <w:r>
        <w:rPr>
          <w:rFonts w:ascii="Times New Roman" w:hAnsi="Times New Roman"/>
          <w:b/>
          <w:sz w:val="22"/>
        </w:rPr>
        <w:t>8. Data Model: Comprehensive and Audit-Ready</w:t>
      </w:r>
    </w:p>
    <w:p>
      <w:pPr>
        <w:spacing w:after="120"/>
        <w:ind w:left="0" w:firstLine="432"/>
        <w:jc w:val="both"/>
      </w:pPr>
      <w:r>
        <w:rPr>
          <w:rFonts w:ascii="Times New Roman" w:hAnsi="Times New Roman"/>
          <w:sz w:val="24"/>
        </w:rPr>
        <w:t>The SQLAlchemy ORM data model defines 14 entities across the grant management lifecycle:</w:t>
      </w:r>
    </w:p>
    <w:p>
      <w:pPr>
        <w:pStyle w:val="ListBullet"/>
        <w:spacing w:after="60"/>
        <w:ind w:left="360"/>
      </w:pPr>
      <w:r>
        <w:rPr>
          <w:rFonts w:ascii="Times New Roman" w:hAnsi="Times New Roman"/>
          <w:sz w:val="24"/>
        </w:rPr>
        <w:t>Core entities: Tenant, User, Grant, Vendor, Transaction</w:t>
      </w:r>
    </w:p>
    <w:p>
      <w:pPr>
        <w:pStyle w:val="ListBullet"/>
        <w:spacing w:after="60"/>
        <w:ind w:left="360"/>
      </w:pPr>
      <w:r>
        <w:rPr>
          <w:rFonts w:ascii="Times New Roman" w:hAnsi="Times New Roman"/>
          <w:sz w:val="24"/>
        </w:rPr>
        <w:t>Compliance entities: ControlLibrary, ComplianceControl</w:t>
      </w:r>
    </w:p>
    <w:p>
      <w:pPr>
        <w:pStyle w:val="ListBullet"/>
        <w:spacing w:after="60"/>
        <w:ind w:left="360"/>
      </w:pPr>
      <w:r>
        <w:rPr>
          <w:rFonts w:ascii="Times New Roman" w:hAnsi="Times New Roman"/>
          <w:sz w:val="24"/>
        </w:rPr>
        <w:t>Audit entities: AuditEvent (immutable event log), AuditFinding, CorrectiveActionPlan</w:t>
      </w:r>
    </w:p>
    <w:p>
      <w:pPr>
        <w:pStyle w:val="ListBullet"/>
        <w:spacing w:after="60"/>
        <w:ind w:left="360"/>
      </w:pPr>
      <w:r>
        <w:rPr>
          <w:rFonts w:ascii="Times New Roman" w:hAnsi="Times New Roman"/>
          <w:sz w:val="24"/>
        </w:rPr>
        <w:t>ML/analytics entities: RiskScoreLog, FraudAssessmentLog, AnomalyAlert</w:t>
      </w:r>
    </w:p>
    <w:p>
      <w:pPr>
        <w:pStyle w:val="ListBullet"/>
        <w:spacing w:after="60"/>
        <w:ind w:left="360"/>
      </w:pPr>
      <w:r>
        <w:rPr>
          <w:rFonts w:ascii="Times New Roman" w:hAnsi="Times New Roman"/>
          <w:sz w:val="24"/>
        </w:rPr>
        <w:t>Integration entity: ERPSyncJob</w:t>
      </w:r>
    </w:p>
    <w:p>
      <w:pPr>
        <w:spacing w:after="120"/>
        <w:ind w:left="0" w:firstLine="432"/>
        <w:jc w:val="both"/>
      </w:pPr>
      <w:r>
        <w:t>All entities implement tenant isolation via PostgreSQL 17 Row-Level Security, ensuring complete data separation between tenants at the database level — not merely at the application layer. PII fields (email addresses, EIN numbers, and vendor addresses) are stored as one-way SHA-256 hashes for entity-matching purposes, eliminating plaintext PII from the database. Exhibit 28.G11 recommends migrating to a keyed HMAC-SHA256 construction as a near-term security hardening step. The audit_events table is append-only and stores cryptographic hashes of previous and new values, creating an immutable forensic record of all data modifications.</w:t>
      </w:r>
    </w:p>
    <w:p>
      <w:pPr>
        <w:spacing w:before="200" w:after="80"/>
      </w:pPr>
      <w:r>
        <w:rPr>
          <w:rFonts w:ascii="Times New Roman" w:hAnsi="Times New Roman"/>
          <w:b/>
          <w:sz w:val="22"/>
        </w:rPr>
        <w:t>9. Testing Infrastructure: 70-Scenario GAO Test Dataset</w:t>
      </w:r>
    </w:p>
    <w:p>
      <w:pPr>
        <w:spacing w:after="120"/>
        <w:ind w:left="0" w:firstLine="432"/>
        <w:jc w:val="both"/>
      </w:pPr>
      <w:r>
        <w:rPr>
          <w:rFonts w:ascii="Times New Roman" w:hAnsi="Times New Roman"/>
          <w:sz w:val="24"/>
        </w:rPr>
        <w:t>The platform includes a purpose-built testing infrastructure consisting of:</w:t>
      </w:r>
    </w:p>
    <w:p>
      <w:pPr>
        <w:pStyle w:val="ListBullet"/>
        <w:spacing w:after="60"/>
        <w:ind w:left="360"/>
      </w:pPr>
      <w:r>
        <w:rPr>
          <w:rFonts w:ascii="Times New Roman" w:hAnsi="Times New Roman"/>
          <w:sz w:val="24"/>
        </w:rPr>
        <w:t xml:space="preserve">A </w:t>
      </w:r>
      <w:r>
        <w:rPr>
          <w:rFonts w:ascii="Times New Roman" w:hAnsi="Times New Roman"/>
          <w:sz w:val="24"/>
        </w:rPr>
        <w:t>70-scenario GAO test dataset</w:t>
      </w:r>
      <w:r>
        <w:rPr>
          <w:rFonts w:ascii="Times New Roman" w:hAnsi="Times New Roman"/>
          <w:sz w:val="24"/>
        </w:rPr>
        <w:t xml:space="preserve"> (govguard_v2_gao_test_dataset.json) containing realistic grant transaction, entity, and compliance scenarios mapped to documented GAO High-Risk findings.</w:t>
      </w:r>
    </w:p>
    <w:p>
      <w:pPr>
        <w:pStyle w:val="ListBullet"/>
        <w:spacing w:after="60"/>
        <w:ind w:left="360"/>
      </w:pPr>
      <w:r>
        <w:rPr>
          <w:rFonts w:ascii="Times New Roman" w:hAnsi="Times New Roman"/>
          <w:sz w:val="24"/>
        </w:rPr>
        <w:t>Unit tests for the fraud detection engine, anomaly processor, and risk scorer.</w:t>
      </w:r>
    </w:p>
    <w:p>
      <w:pPr>
        <w:pStyle w:val="ListBullet"/>
        <w:spacing w:after="60"/>
        <w:ind w:left="360"/>
      </w:pPr>
      <w:r>
        <w:rPr>
          <w:rFonts w:ascii="Times New Roman" w:hAnsi="Times New Roman"/>
          <w:sz w:val="24"/>
        </w:rPr>
        <w:t>Integration tests for the full v2 API pipeline.</w:t>
      </w:r>
    </w:p>
    <w:p>
      <w:pPr>
        <w:pStyle w:val="ListBullet"/>
        <w:spacing w:after="60"/>
        <w:ind w:left="360"/>
      </w:pPr>
      <w:r>
        <w:rPr>
          <w:rFonts w:ascii="Times New Roman" w:hAnsi="Times New Roman"/>
          <w:sz w:val="24"/>
        </w:rPr>
        <w:t>End-to-end tests for representative GAO scenarios.</w:t>
      </w:r>
    </w:p>
    <w:p>
      <w:pPr>
        <w:pStyle w:val="ListBullet"/>
        <w:spacing w:after="60"/>
        <w:ind w:left="360"/>
      </w:pPr>
      <w:r>
        <w:rPr>
          <w:rFonts w:ascii="Times New Roman" w:hAnsi="Times New Roman"/>
          <w:sz w:val="24"/>
        </w:rPr>
        <w:t>AI validation tests for model prediction behavior.</w:t>
      </w:r>
    </w:p>
    <w:p>
      <w:pPr>
        <w:pStyle w:val="ListBullet"/>
        <w:spacing w:after="60"/>
        <w:ind w:left="360"/>
      </w:pPr>
      <w:r>
        <w:rPr>
          <w:rFonts w:ascii="Times New Roman" w:hAnsi="Times New Roman"/>
          <w:sz w:val="24"/>
        </w:rPr>
        <w:t>A dedicated test runner (run_gao_tests.py) that executes the full GAO scenario library and reports detection rates by category.</w:t>
      </w:r>
    </w:p>
    <w:p>
      <w:pPr>
        <w:spacing w:before="200" w:after="80"/>
      </w:pPr>
      <w:r>
        <w:rPr>
          <w:rFonts w:ascii="Times New Roman" w:hAnsi="Times New Roman"/>
          <w:b/>
          <w:sz w:val="22"/>
        </w:rPr>
        <w:t>10. Infrastructure and Deployment Readiness</w:t>
      </w:r>
    </w:p>
    <w:p>
      <w:pPr>
        <w:spacing w:after="120"/>
        <w:ind w:left="0" w:firstLine="432"/>
        <w:jc w:val="both"/>
      </w:pPr>
      <w:r>
        <w:t>GovGuard™ is currently deployed using Railway (containerized FastAPI backend via Docker) and Vercel (Next.js frontend). The platform is fully containerized and its architecture (PostgreSQL RLS, stateless API design) is designed for migration to AWS GovCloud without functional change; the phased migration and FedRAMP Moderate authorization plan is documented in Exhibit 28.G11. The following infrastructure components are in place today:</w:t>
      </w:r>
    </w:p>
    <w:p>
      <w:pPr>
        <w:pStyle w:val="ListBullet"/>
        <w:spacing w:after="60"/>
        <w:ind w:left="360"/>
      </w:pPr>
      <w:r>
        <w:rPr>
          <w:rFonts w:ascii="Times New Roman" w:hAnsi="Times New Roman"/>
          <w:sz w:val="24"/>
        </w:rPr>
        <w:t>Docker Compose configuration for all services (FastAPI, PostgreSQL 17, Redis 7, OpenSearch 2.x, Celery workers, Flower monitoring dashboard).</w:t>
      </w:r>
    </w:p>
    <w:p>
      <w:pPr>
        <w:pStyle w:val="ListBullet"/>
        <w:spacing w:after="60"/>
        <w:ind w:left="360"/>
      </w:pPr>
      <w:r>
        <w:rPr>
          <w:rFonts w:ascii="Times New Roman" w:hAnsi="Times New Roman"/>
          <w:sz w:val="24"/>
        </w:rPr>
        <w:t>Railway deployment configuration (railway.json) for rapid cloud provisioning.</w:t>
      </w:r>
    </w:p>
    <w:p>
      <w:pPr>
        <w:pStyle w:val="ListBullet"/>
        <w:spacing w:after="60"/>
        <w:ind w:left="360"/>
      </w:pPr>
      <w:r>
        <w:rPr>
          <w:rFonts w:ascii="Times New Roman" w:hAnsi="Times New Roman"/>
          <w:sz w:val="24"/>
        </w:rPr>
        <w:t xml:space="preserve">Environment configuration templates (.env.example) covering all service credentials, AWS KMS keys, </w:t>
      </w:r>
      <w:r>
        <w:rPr>
          <w:rFonts w:ascii="Times New Roman" w:hAnsi="Times New Roman"/>
          <w:sz w:val="24"/>
        </w:rPr>
        <w:t>Auth0 client credentials</w:t>
      </w:r>
      <w:r>
        <w:rPr>
          <w:rFonts w:ascii="Times New Roman" w:hAnsi="Times New Roman"/>
          <w:sz w:val="24"/>
        </w:rPr>
        <w:t>, Redis URLs, and database connection strings.</w:t>
      </w:r>
    </w:p>
    <w:p>
      <w:pPr>
        <w:pStyle w:val="ListBullet"/>
        <w:spacing w:after="60"/>
        <w:ind w:left="360"/>
      </w:pPr>
      <w:r>
        <w:rPr>
          <w:rFonts w:ascii="Times New Roman" w:hAnsi="Times New Roman"/>
          <w:sz w:val="24"/>
        </w:rPr>
        <w:t>PostgreSQL schema and seed data scripts ready for database initialization.</w:t>
      </w:r>
    </w:p>
    <w:p>
      <w:pPr>
        <w:pStyle w:val="ListBullet"/>
        <w:spacing w:after="60"/>
        <w:ind w:left="360"/>
      </w:pPr>
      <w:r>
        <w:rPr>
          <w:rFonts w:ascii="Times New Roman" w:hAnsi="Times New Roman"/>
          <w:sz w:val="24"/>
        </w:rPr>
        <w:t>FedRAMP Moderate target alignment (ATO not yet obtained): AWS Cognito for identity management, KMS for at-rest encryption of S3 objects, structured audit logging, and network security controls designed to satisfy FedRAMP Moderate requirements pending formal authorization.</w:t>
      </w:r>
    </w:p>
    <w:p>
      <w:pPr>
        <w:pStyle w:val="ListBullet"/>
        <w:spacing w:after="60"/>
        <w:ind w:left="360"/>
      </w:pPr>
      <w:r>
        <w:rPr>
          <w:rFonts w:ascii="Times New Roman" w:hAnsi="Times New Roman"/>
          <w:sz w:val="24"/>
        </w:rPr>
        <w:t>Production build artifact: A fully compiled .next/ directory confirming that the frontend application has been successfully built for production deployment.</w:t>
      </w:r>
    </w:p>
    <w:p>
      <w:pPr>
        <w:spacing w:after="120"/>
        <w:ind w:left="0" w:firstLine="432"/>
        <w:jc w:val="both"/>
      </w:pPr>
      <w:r>
        <w:rPr>
          <w:rFonts w:ascii="Times New Roman" w:hAnsi="Times New Roman"/>
          <w:sz w:val="24"/>
        </w:rPr>
        <w:t>The combination of these components establishes that GovGuard™ is not a proposal, prototype, or design document — it is an operating software system that can be deployed and begin generating value for federal agencies and grantees immediately upon configuration.</w:t>
      </w:r>
    </w:p>
    <w:p>
      <w:pPr>
        <w:spacing w:before="200" w:after="80"/>
      </w:pPr>
      <w:r>
        <w:rPr>
          <w:rFonts w:ascii="Times New Roman" w:hAnsi="Times New Roman"/>
          <w:b/>
          <w:color w:val="1A3A5C"/>
          <w:sz w:val="24"/>
        </w:rPr>
        <w:t>C. Dual Perspective Value Proposition: Grantors and Grantees</w:t>
      </w:r>
    </w:p>
    <w:p>
      <w:pPr>
        <w:spacing w:before="200" w:after="80"/>
      </w:pPr>
      <w:r>
        <w:rPr>
          <w:rFonts w:ascii="Times New Roman" w:hAnsi="Times New Roman"/>
          <w:b/>
          <w:sz w:val="22"/>
        </w:rPr>
        <w:t>1. Value to Grantors (Government Agencies and Funding Bodies)</w:t>
      </w:r>
    </w:p>
    <w:p>
      <w:pPr>
        <w:spacing w:after="120"/>
        <w:ind w:left="0" w:firstLine="432"/>
        <w:jc w:val="both"/>
      </w:pPr>
      <w:r>
        <w:rPr>
          <w:rFonts w:ascii="Times New Roman" w:hAnsi="Times New Roman"/>
          <w:sz w:val="24"/>
        </w:rPr>
        <w:t>Federal and state grantor agencies — the Department of Health and Human Services, the Department of Education, the Department of Housing and Urban Development, the Department of Agriculture, and hundreds of state-level pass-through agencies — face statutory, regulatory, and political accountability obligations that GovGuard™ directly satisfies:</w:t>
      </w:r>
    </w:p>
    <w:p>
      <w:pPr>
        <w:pStyle w:val="ListBullet"/>
        <w:spacing w:after="60"/>
        <w:ind w:left="360"/>
      </w:pPr>
      <w:r>
        <w:rPr>
          <w:rFonts w:ascii="Times New Roman" w:hAnsi="Times New Roman"/>
          <w:b/>
          <w:sz w:val="24"/>
        </w:rPr>
        <w:t xml:space="preserve">Grantors can access a continuous compliance status dashboard for every active grant in their portfolio, replacing the current model of annual single audits with a 24/7 automated monitoring capability. Every compliance rule violation — from a missing procurement procedure to a cash drawdown timing irregularity — is flagged instantly and surfaced to the appropriate oversight official. </w:t>
      </w:r>
      <w:r>
        <w:rPr>
          <w:rFonts w:ascii="Times New Roman" w:hAnsi="Times New Roman"/>
          <w:sz w:val="24"/>
        </w:rPr>
        <w:t>Real-Time Compliance Monitoring:</w:t>
      </w:r>
    </w:p>
    <w:p>
      <w:pPr>
        <w:pStyle w:val="ListBullet"/>
        <w:spacing w:after="60"/>
        <w:ind w:left="360"/>
      </w:pPr>
      <w:r>
        <w:rPr>
          <w:rFonts w:ascii="Times New Roman" w:hAnsi="Times New Roman"/>
          <w:b/>
          <w:sz w:val="24"/>
        </w:rPr>
        <w:t xml:space="preserve">The 47-rule fraud engine screens every transaction before or immediately upon submission, converting post-payment fraud investigation into pre-disbursement prevention. Transactions from SAM.gov-excluded vendors are automatically blocked; transactions exhibiting cross-grant double-dipping, split-purchase patterns, or sanctions layering are immediately escalated for review. This capability directly addresses the GAO finding that the absence of pre-disbursement intelligence is the primary structural cause of federal payment fraud. </w:t>
      </w:r>
      <w:r>
        <w:rPr>
          <w:rFonts w:ascii="Times New Roman" w:hAnsi="Times New Roman"/>
          <w:sz w:val="24"/>
        </w:rPr>
        <w:t>Pre-Disbursement Fraud Prevention:</w:t>
      </w:r>
    </w:p>
    <w:p>
      <w:pPr>
        <w:pStyle w:val="ListBullet"/>
        <w:spacing w:after="60"/>
        <w:ind w:left="360"/>
      </w:pPr>
      <w:r>
        <w:rPr>
          <w:rFonts w:ascii="Times New Roman" w:hAnsi="Times New Roman"/>
          <w:b/>
          <w:sz w:val="24"/>
        </w:rPr>
        <w:t xml:space="preserve">The 30-day forward risk prediction model allows grantors to prioritize oversight resources toward the grants most likely to generate compliance failures, rather than applying uniform monitoring intensity across an entire portfolio. In a resource-constrained oversight environment, this risk-based prioritization is essential. </w:t>
      </w:r>
      <w:r>
        <w:rPr>
          <w:rFonts w:ascii="Times New Roman" w:hAnsi="Times New Roman"/>
          <w:sz w:val="24"/>
        </w:rPr>
        <w:t>AI-Powered Risk Prioritization:</w:t>
      </w:r>
    </w:p>
    <w:p>
      <w:pPr>
        <w:pStyle w:val="ListBullet"/>
        <w:spacing w:after="60"/>
        <w:ind w:left="360"/>
      </w:pPr>
      <w:r>
        <w:rPr>
          <w:rFonts w:ascii="Times New Roman" w:hAnsi="Times New Roman"/>
          <w:b/>
          <w:sz w:val="24"/>
        </w:rPr>
        <w:t xml:space="preserve">Every action taken on the platform — every score computed, every finding created, every CAP modified — is logged to an immutable audit_events table with cryptographic hashing of state transitions. This provides grantors with a legally defensible audit trail that satisfies Single Audit Act, IPERA, and OIG documentation requirements. </w:t>
      </w:r>
      <w:r>
        <w:rPr>
          <w:rFonts w:ascii="Times New Roman" w:hAnsi="Times New Roman"/>
          <w:sz w:val="24"/>
        </w:rPr>
        <w:t>Immutable Audit Trails:</w:t>
      </w:r>
    </w:p>
    <w:p>
      <w:pPr>
        <w:pStyle w:val="ListBullet"/>
        <w:spacing w:after="60"/>
        <w:ind w:left="360"/>
      </w:pPr>
      <w:r>
        <w:rPr>
          <w:rFonts w:ascii="Times New Roman" w:hAnsi="Times New Roman"/>
          <w:b/>
          <w:sz w:val="24"/>
        </w:rPr>
        <w:t xml:space="preserve">When a material weakness is detected, GovGuard™ automatically creates a Corrective Action Plan with a due date and escalation schedule (30/60/90-day reminders), eliminating the manual follow-up burden that currently causes findings to recur across audit cycles. </w:t>
      </w:r>
      <w:r>
        <w:rPr>
          <w:rFonts w:ascii="Times New Roman" w:hAnsi="Times New Roman"/>
          <w:sz w:val="24"/>
        </w:rPr>
        <w:t>Automated CAP Enforcement:</w:t>
      </w:r>
    </w:p>
    <w:p>
      <w:pPr>
        <w:pStyle w:val="ListBullet"/>
        <w:spacing w:after="60"/>
        <w:ind w:left="360"/>
      </w:pPr>
      <w:r>
        <w:rPr>
          <w:rFonts w:ascii="Times New Roman" w:hAnsi="Times New Roman"/>
          <w:b/>
          <w:sz w:val="24"/>
        </w:rPr>
        <w:t xml:space="preserve">The beneficial ownership graph identifies related-party relationships, shared vendor registration patterns, and organizational conflicts of interest across the grantor's entire vendor database — a capability that no current government procurement system provides in real time. </w:t>
      </w:r>
      <w:r>
        <w:rPr>
          <w:rFonts w:ascii="Times New Roman" w:hAnsi="Times New Roman"/>
          <w:sz w:val="24"/>
        </w:rPr>
        <w:t>Entity Intelligence for Conflict Detection:</w:t>
      </w:r>
    </w:p>
    <w:p>
      <w:pPr>
        <w:spacing w:before="200" w:after="80"/>
      </w:pPr>
      <w:r>
        <w:rPr>
          <w:rFonts w:ascii="Times New Roman" w:hAnsi="Times New Roman"/>
          <w:b/>
          <w:sz w:val="22"/>
        </w:rPr>
        <w:t>2. Value to Grantees (Recipients, Implementing Entities, Beneficiaries)</w:t>
      </w:r>
    </w:p>
    <w:p>
      <w:pPr>
        <w:spacing w:after="120"/>
        <w:ind w:left="0" w:firstLine="432"/>
        <w:jc w:val="both"/>
      </w:pPr>
      <w:r>
        <w:rPr>
          <w:rFonts w:ascii="Times New Roman" w:hAnsi="Times New Roman"/>
          <w:sz w:val="24"/>
        </w:rPr>
        <w:t>Federal grantees — nonprofit organizations, community development financial institutions, tribal governments, state and local agencies, universities, and healthcare providers — face an overwhelming compliance burden that diverts resources from programmatic outcomes. GovGuard™ delivers:</w:t>
      </w:r>
    </w:p>
    <w:p>
      <w:pPr>
        <w:pStyle w:val="ListBullet"/>
        <w:spacing w:after="60"/>
        <w:ind w:left="360"/>
      </w:pPr>
      <w:r>
        <w:rPr>
          <w:rFonts w:ascii="Times New Roman" w:hAnsi="Times New Roman"/>
          <w:b/>
          <w:sz w:val="24"/>
        </w:rPr>
        <w:t xml:space="preserve">Grantees can submit transactions through ERP integrations or direct API calls, with compliance verification occurring automatically. The system identifies what is required, when it is required, and what documentation is missing — eliminating the need for grantees to maintain deep expertise in OMB Uniform Guidance. </w:t>
      </w:r>
      <w:r>
        <w:rPr>
          <w:rFonts w:ascii="Times New Roman" w:hAnsi="Times New Roman"/>
          <w:sz w:val="24"/>
        </w:rPr>
        <w:t>Simplified, Automated Reporting:</w:t>
      </w:r>
    </w:p>
    <w:p>
      <w:pPr>
        <w:pStyle w:val="ListBullet"/>
        <w:spacing w:after="60"/>
        <w:ind w:left="360"/>
      </w:pPr>
      <w:r>
        <w:rPr>
          <w:rFonts w:ascii="Times New Roman" w:hAnsi="Times New Roman"/>
          <w:b/>
          <w:sz w:val="24"/>
        </w:rPr>
        <w:t xml:space="preserve">Rather than learning about compliance failures months after the fact in an audit finding, grantees receive immediate, actionable alerts with specific remediation instructions tied to the relevant 2 CFR clause. A grantee that submits a sole-source procurement above the simplified acquisition threshold will immediately receive a notification that competition documentation is required under 2 CFR 200.320 — before the finding is logged. </w:t>
      </w:r>
      <w:r>
        <w:rPr>
          <w:rFonts w:ascii="Times New Roman" w:hAnsi="Times New Roman"/>
          <w:sz w:val="24"/>
        </w:rPr>
        <w:t>Real-Time Compliance Guidance:</w:t>
      </w:r>
    </w:p>
    <w:p>
      <w:pPr>
        <w:pStyle w:val="ListBullet"/>
        <w:spacing w:after="60"/>
        <w:ind w:left="360"/>
      </w:pPr>
      <w:r>
        <w:rPr>
          <w:rFonts w:ascii="Times New Roman" w:hAnsi="Times New Roman"/>
          <w:b/>
          <w:sz w:val="24"/>
        </w:rPr>
        <w:t xml:space="preserve">The compliance monitoring engine, the CAP management workflow, and the audit preparation tools collectively eliminate the need for grantees to maintain specialized compliance staff. Under-resourced organizations — rural municipalities, tribal governments, CDFIs — that currently lack the capacity to safely participate in federal grant programs can use GovGuard™ as a compliance-as-a-service infrastructure. </w:t>
      </w:r>
      <w:r>
        <w:rPr>
          <w:rFonts w:ascii="Times New Roman" w:hAnsi="Times New Roman"/>
          <w:sz w:val="24"/>
        </w:rPr>
        <w:t>Reduced Administrative Burden:</w:t>
      </w:r>
    </w:p>
    <w:p>
      <w:pPr>
        <w:pStyle w:val="ListBullet"/>
        <w:spacing w:after="60"/>
        <w:ind w:left="360"/>
      </w:pPr>
      <w:r>
        <w:rPr>
          <w:rFonts w:ascii="Times New Roman" w:hAnsi="Times New Roman"/>
          <w:b/>
          <w:sz w:val="24"/>
        </w:rPr>
        <w:t xml:space="preserve">By eliminating compliance surprises and audit setbacks, GovGuard™ allows grantees to direct a larger proportion of their grant funds toward programmatic activities. GAO has documented that compliance failures often result in disallowed costs, clawback proceedings, and suspension of funding — outcomes that can be catastrophic for under-resourced organizations. </w:t>
      </w:r>
      <w:r>
        <w:rPr>
          <w:rFonts w:ascii="Times New Roman" w:hAnsi="Times New Roman"/>
          <w:sz w:val="24"/>
        </w:rPr>
        <w:t>Better Fund Utilization:</w:t>
      </w:r>
    </w:p>
    <w:p>
      <w:pPr>
        <w:pStyle w:val="ListBullet"/>
        <w:spacing w:after="60"/>
        <w:ind w:left="360"/>
      </w:pPr>
      <w:r>
        <w:rPr>
          <w:rFonts w:ascii="Times New Roman" w:hAnsi="Times New Roman"/>
          <w:b/>
          <w:sz w:val="24"/>
        </w:rPr>
        <w:t xml:space="preserve">The risk forecaster's period-end pressure detection alerts grantees when they are approaching a grant closeout deadline with outstanding compliance obligations, giving them sufficient time to submit required reports and documentation rather than triggering overdue closeout violations. </w:t>
      </w:r>
      <w:r>
        <w:rPr>
          <w:rFonts w:ascii="Times New Roman" w:hAnsi="Times New Roman"/>
          <w:sz w:val="24"/>
        </w:rPr>
        <w:t>Predictive Closeout Management:</w:t>
      </w:r>
    </w:p>
    <w:p>
      <w:pPr>
        <w:pStyle w:val="ListBullet"/>
        <w:spacing w:after="60"/>
        <w:ind w:left="360"/>
      </w:pPr>
      <w:r>
        <w:rPr>
          <w:rFonts w:ascii="Times New Roman" w:hAnsi="Times New Roman"/>
          <w:b/>
          <w:sz w:val="24"/>
        </w:rPr>
        <w:t xml:space="preserve">By providing the compliance infrastructure as a SaaS platform rather than requiring grantees to build it internally, GovGuard™ removes the capacity disparity that currently favors large, well-resourced organizations in the federal grant market. This is consistent with OMB and Congressional objectives to improve equitable distribution of federal resources. </w:t>
      </w:r>
      <w:r>
        <w:rPr>
          <w:rFonts w:ascii="Times New Roman" w:hAnsi="Times New Roman"/>
          <w:sz w:val="24"/>
        </w:rPr>
        <w:t>Equity in Grant Access:</w:t>
      </w:r>
    </w:p>
    <w:p>
      <w:pPr>
        <w:spacing w:before="200" w:after="80"/>
      </w:pPr>
      <w:r>
        <w:rPr>
          <w:rFonts w:ascii="Times New Roman" w:hAnsi="Times New Roman"/>
          <w:b/>
          <w:color w:val="1A3A5C"/>
          <w:sz w:val="24"/>
        </w:rPr>
        <w:t>D. Technical Architecture</w:t>
      </w:r>
    </w:p>
    <w:p>
      <w:pPr>
        <w:spacing w:before="200" w:after="80"/>
      </w:pPr>
      <w:r>
        <w:rPr>
          <w:rFonts w:ascii="Times New Roman" w:hAnsi="Times New Roman"/>
          <w:b/>
          <w:sz w:val="22"/>
        </w:rPr>
        <w:t>1. System Overview</w:t>
      </w:r>
    </w:p>
    <w:p>
      <w:pPr>
        <w:spacing w:after="120"/>
        <w:ind w:left="0" w:firstLine="432"/>
        <w:jc w:val="both"/>
      </w:pPr>
      <w:r>
        <w:rPr>
          <w:rFonts w:ascii="Times New Roman" w:hAnsi="Times New Roman"/>
          <w:sz w:val="24"/>
        </w:rPr>
        <w:t>GovGuard™ is a cloud-native, microservices-compatible SaaS platform built on the following technology stack:</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Layer</w:t>
            </w:r>
          </w:p>
        </w:tc>
        <w:tc>
          <w:tcPr>
            <w:tcW w:type="dxa" w:w="4320"/>
          </w:tcPr>
          <w:p>
            <w:r>
              <w:rPr>
                <w:rFonts w:ascii="Times New Roman" w:hAnsi="Times New Roman"/>
                <w:b/>
                <w:sz w:val="22"/>
              </w:rPr>
              <w:t>Technology</w:t>
            </w:r>
          </w:p>
        </w:tc>
      </w:tr>
      <w:tr>
        <w:tc>
          <w:tcPr>
            <w:tcW w:type="dxa" w:w="4320"/>
          </w:tcPr>
          <w:p>
            <w:r>
              <w:rPr>
                <w:rFonts w:ascii="Times New Roman" w:hAnsi="Times New Roman"/>
                <w:sz w:val="22"/>
              </w:rPr>
              <w:t>Frontend</w:t>
            </w:r>
          </w:p>
        </w:tc>
        <w:tc>
          <w:tcPr>
            <w:tcW w:type="dxa" w:w="4320"/>
          </w:tcPr>
          <w:p>
            <w:r>
              <w:rPr>
                <w:rFonts w:ascii="Times New Roman" w:hAnsi="Times New Roman"/>
                <w:sz w:val="22"/>
              </w:rPr>
              <w:t>Next.js 14, React 18, TypeScript, Tailwind CSS, SWR, Zustand</w:t>
            </w:r>
          </w:p>
        </w:tc>
      </w:tr>
      <w:tr>
        <w:tc>
          <w:tcPr>
            <w:tcW w:type="dxa" w:w="4320"/>
          </w:tcPr>
          <w:p>
            <w:r>
              <w:rPr>
                <w:rFonts w:ascii="Times New Roman" w:hAnsi="Times New Roman"/>
                <w:sz w:val="22"/>
              </w:rPr>
              <w:t>Backend API</w:t>
            </w:r>
          </w:p>
        </w:tc>
        <w:tc>
          <w:tcPr>
            <w:tcW w:type="dxa" w:w="4320"/>
          </w:tcPr>
          <w:p>
            <w:r>
              <w:rPr>
                <w:rFonts w:ascii="Times New Roman" w:hAnsi="Times New Roman"/>
                <w:sz w:val="22"/>
              </w:rPr>
              <w:t>Python 3.12, FastAPI 0.115, Uvicorn, SQLAlchemy 2.0 (async)</w:t>
            </w:r>
          </w:p>
        </w:tc>
      </w:tr>
      <w:tr>
        <w:tc>
          <w:tcPr>
            <w:tcW w:type="dxa" w:w="4320"/>
          </w:tcPr>
          <w:p>
            <w:r>
              <w:rPr>
                <w:rFonts w:ascii="Times New Roman" w:hAnsi="Times New Roman"/>
                <w:sz w:val="22"/>
              </w:rPr>
              <w:t>Database</w:t>
            </w:r>
          </w:p>
        </w:tc>
        <w:tc>
          <w:tcPr>
            <w:tcW w:type="dxa" w:w="4320"/>
          </w:tcPr>
          <w:p>
            <w:r>
              <w:rPr>
                <w:rFonts w:ascii="Times New Roman" w:hAnsi="Times New Roman"/>
                <w:sz w:val="22"/>
              </w:rPr>
              <w:t>PostgreSQL 17 with Row-Level Security (RLS) multi-tenancy; OpenSearch 2.x for entity deduplication and full-text search</w:t>
            </w:r>
          </w:p>
        </w:tc>
      </w:tr>
      <w:tr>
        <w:tc>
          <w:tcPr>
            <w:tcW w:type="dxa" w:w="4320"/>
          </w:tcPr>
          <w:p>
            <w:r>
              <w:rPr>
                <w:rFonts w:ascii="Times New Roman" w:hAnsi="Times New Roman"/>
                <w:sz w:val="22"/>
              </w:rPr>
              <w:t>Cache / Message Broker</w:t>
            </w:r>
          </w:p>
        </w:tc>
        <w:tc>
          <w:tcPr>
            <w:tcW w:type="dxa" w:w="4320"/>
          </w:tcPr>
          <w:p>
            <w:r>
              <w:rPr>
                <w:rFonts w:ascii="Times New Roman" w:hAnsi="Times New Roman"/>
                <w:sz w:val="22"/>
              </w:rPr>
              <w:t>Redis 7 (session cache, rate limiting, Celery broker)</w:t>
            </w:r>
          </w:p>
        </w:tc>
      </w:tr>
      <w:tr>
        <w:tc>
          <w:tcPr>
            <w:tcW w:type="dxa" w:w="4320"/>
          </w:tcPr>
          <w:p>
            <w:r>
              <w:rPr>
                <w:rFonts w:ascii="Times New Roman" w:hAnsi="Times New Roman"/>
                <w:sz w:val="22"/>
              </w:rPr>
              <w:t>Full-Text Search</w:t>
            </w:r>
          </w:p>
        </w:tc>
        <w:tc>
          <w:tcPr>
            <w:tcW w:type="dxa" w:w="4320"/>
          </w:tcPr>
          <w:p>
            <w:r>
              <w:rPr>
                <w:rFonts w:ascii="Times New Roman" w:hAnsi="Times New Roman"/>
                <w:sz w:val="22"/>
              </w:rPr>
              <w:t>OpenSearch 2.x</w:t>
            </w:r>
          </w:p>
        </w:tc>
      </w:tr>
      <w:tr>
        <w:tc>
          <w:tcPr>
            <w:tcW w:type="dxa" w:w="4320"/>
          </w:tcPr>
          <w:p>
            <w:r>
              <w:rPr>
                <w:rFonts w:ascii="Times New Roman" w:hAnsi="Times New Roman"/>
                <w:sz w:val="22"/>
              </w:rPr>
              <w:t>Machine Learning</w:t>
            </w:r>
          </w:p>
        </w:tc>
        <w:tc>
          <w:tcPr>
            <w:tcW w:type="dxa" w:w="4320"/>
          </w:tcPr>
          <w:p>
            <w:r>
              <w:rPr>
                <w:rFonts w:ascii="Times New Roman" w:hAnsi="Times New Roman"/>
                <w:sz w:val="22"/>
              </w:rPr>
              <w:t>XGBoost 2.1.1, scikit-learn 1.5.2, SHAP 0.46.0, NumPy 2.1.1</w:t>
            </w:r>
          </w:p>
        </w:tc>
      </w:tr>
      <w:tr>
        <w:tc>
          <w:tcPr>
            <w:tcW w:type="dxa" w:w="4320"/>
          </w:tcPr>
          <w:p>
            <w:r>
              <w:rPr>
                <w:rFonts w:ascii="Times New Roman" w:hAnsi="Times New Roman"/>
                <w:sz w:val="22"/>
              </w:rPr>
              <w:t>Background Jobs</w:t>
            </w:r>
          </w:p>
        </w:tc>
        <w:tc>
          <w:tcPr>
            <w:tcW w:type="dxa" w:w="4320"/>
          </w:tcPr>
          <w:p>
            <w:r>
              <w:rPr>
                <w:rFonts w:ascii="Times New Roman" w:hAnsi="Times New Roman"/>
                <w:sz w:val="22"/>
              </w:rPr>
              <w:t>Celery 5.4.0 + Flower monitoring dashboard</w:t>
            </w:r>
          </w:p>
        </w:tc>
      </w:tr>
      <w:tr>
        <w:tc>
          <w:tcPr>
            <w:tcW w:type="dxa" w:w="4320"/>
          </w:tcPr>
          <w:p>
            <w:r>
              <w:rPr>
                <w:rFonts w:ascii="Times New Roman" w:hAnsi="Times New Roman"/>
                <w:sz w:val="22"/>
              </w:rPr>
              <w:t>Authentication</w:t>
            </w:r>
          </w:p>
        </w:tc>
        <w:tc>
          <w:tcPr>
            <w:tcW w:type="dxa" w:w="4320"/>
          </w:tcPr>
          <w:p>
            <w:r>
              <w:rPr>
                <w:rFonts w:ascii="Times New Roman" w:hAnsi="Times New Roman"/>
                <w:sz w:val="22"/>
              </w:rPr>
              <w:t>AWS Cognito (JWT RS256, targeting FedRAMP Moderate controls; ATO not yet obtained)</w:t>
            </w:r>
          </w:p>
        </w:tc>
      </w:tr>
      <w:tr>
        <w:tc>
          <w:tcPr>
            <w:tcW w:type="dxa" w:w="4320"/>
          </w:tcPr>
          <w:p>
            <w:r>
              <w:rPr>
                <w:rFonts w:ascii="Times New Roman" w:hAnsi="Times New Roman"/>
                <w:sz w:val="22"/>
              </w:rPr>
              <w:t>Object Storage</w:t>
            </w:r>
          </w:p>
        </w:tc>
        <w:tc>
          <w:tcPr>
            <w:tcW w:type="dxa" w:w="4320"/>
          </w:tcPr>
          <w:p>
            <w:r>
              <w:rPr>
                <w:rFonts w:ascii="Times New Roman" w:hAnsi="Times New Roman"/>
                <w:sz w:val="22"/>
              </w:rPr>
              <w:t>AWS S3 with KMS at-rest encryption (evidence attachments)</w:t>
            </w:r>
          </w:p>
        </w:tc>
      </w:tr>
      <w:tr>
        <w:tc>
          <w:tcPr>
            <w:tcW w:type="dxa" w:w="4320"/>
          </w:tcPr>
          <w:p>
            <w:r>
              <w:rPr>
                <w:rFonts w:ascii="Times New Roman" w:hAnsi="Times New Roman"/>
                <w:sz w:val="22"/>
              </w:rPr>
              <w:t>Infrastructure</w:t>
            </w:r>
          </w:p>
        </w:tc>
        <w:tc>
          <w:tcPr>
            <w:tcW w:type="dxa" w:w="4320"/>
          </w:tcPr>
          <w:p>
            <w:r>
              <w:t>Railway (backend), Vercel (frontend), Docker / Docker Compose; AWS GovCloud migration roadmapped (Exhibit 28.G11)</w:t>
            </w:r>
          </w:p>
        </w:tc>
      </w:tr>
      <w:tr>
        <w:tc>
          <w:tcPr>
            <w:tcW w:type="dxa" w:w="4320"/>
          </w:tcPr>
          <w:p>
            <w:r>
              <w:rPr>
                <w:rFonts w:ascii="Times New Roman" w:hAnsi="Times New Roman"/>
                <w:sz w:val="22"/>
              </w:rPr>
              <w:t>Billing</w:t>
            </w:r>
          </w:p>
        </w:tc>
        <w:tc>
          <w:tcPr>
            <w:tcW w:type="dxa" w:w="4320"/>
          </w:tcPr>
          <w:p>
            <w:r>
              <w:rPr>
                <w:rFonts w:ascii="Times New Roman" w:hAnsi="Times New Roman"/>
                <w:sz w:val="22"/>
              </w:rPr>
              <w:t>Stripe API (subscription management)</w:t>
            </w:r>
          </w:p>
        </w:tc>
      </w:tr>
      <w:tr>
        <w:tc>
          <w:tcPr>
            <w:tcW w:type="dxa" w:w="4320"/>
          </w:tcPr>
          <w:p>
            <w:r>
              <w:rPr>
                <w:rFonts w:ascii="Times New Roman" w:hAnsi="Times New Roman"/>
                <w:sz w:val="22"/>
              </w:rPr>
              <w:t>PDF Generation</w:t>
            </w:r>
          </w:p>
        </w:tc>
        <w:tc>
          <w:tcPr>
            <w:tcW w:type="dxa" w:w="4320"/>
          </w:tcPr>
          <w:p>
            <w:r>
              <w:rPr>
                <w:rFonts w:ascii="Times New Roman" w:hAnsi="Times New Roman"/>
                <w:sz w:val="22"/>
              </w:rPr>
              <w:t>WeasyPrint 62.3 (compliance report export)</w:t>
            </w:r>
          </w:p>
        </w:tc>
      </w:tr>
    </w:tbl>
    <w:p/>
    <w:p>
      <w:pPr>
        <w:spacing w:before="200" w:after="80"/>
      </w:pPr>
      <w:r>
        <w:rPr>
          <w:rFonts w:ascii="Times New Roman" w:hAnsi="Times New Roman"/>
          <w:b/>
          <w:sz w:val="22"/>
        </w:rPr>
        <w:t>2. Data Flow: End-to-End Transaction Processing</w:t>
      </w:r>
    </w:p>
    <w:p>
      <w:pPr>
        <w:spacing w:after="120"/>
        <w:ind w:left="0" w:firstLine="432"/>
        <w:jc w:val="both"/>
      </w:pPr>
      <w:r>
        <w:rPr>
          <w:rFonts w:ascii="Times New Roman" w:hAnsi="Times New Roman"/>
          <w:sz w:val="24"/>
        </w:rPr>
        <w:t>A transaction submitted to GovGuard™ passes through the following processing pipeline:</w:t>
      </w:r>
    </w:p>
    <w:p>
      <w:pPr>
        <w:pStyle w:val="ListBullet"/>
        <w:spacing w:after="60"/>
        <w:ind w:left="360"/>
      </w:pPr>
      <w:r>
        <w:rPr>
          <w:rFonts w:ascii="Times New Roman" w:hAnsi="Times New Roman"/>
          <w:sz w:val="24"/>
        </w:rPr>
        <w:t>Ingestion: A transaction (amount, vendor, invoice reference, cost category, transaction date) is submitted via REST API or ERP sync job. The tenant context is validated via PostgreSQL RLS before any data is read or written.</w:t>
      </w:r>
    </w:p>
    <w:p>
      <w:pPr>
        <w:pStyle w:val="ListBullet"/>
        <w:spacing w:after="60"/>
        <w:ind w:left="360"/>
      </w:pPr>
      <w:r>
        <w:rPr>
          <w:rFonts w:ascii="Times New Roman" w:hAnsi="Times New Roman"/>
          <w:sz w:val="24"/>
        </w:rPr>
        <w:t>Pre-Disbursement Fraud Screen: The FraudDetectionEngine evaluates all 47 rules against the transaction context, producing a FraudAssessment with composite score, risk tier, triggered rules, GAO references, recommended action, and signal detail. If the XGBoost classifier model is available, the ML score supersedes the rules-only weighted sum; the rules score is retained as a shadow comparison.</w:t>
      </w:r>
    </w:p>
    <w:p>
      <w:pPr>
        <w:pStyle w:val="ListBullet"/>
        <w:spacing w:after="60"/>
        <w:ind w:left="360"/>
      </w:pPr>
      <w:r>
        <w:rPr>
          <w:rFonts w:ascii="Times New Roman" w:hAnsi="Times New Roman"/>
          <w:sz w:val="24"/>
        </w:rPr>
        <w:t>Anomaly Detection: In parallel, the AnomalyDetectionProcessor applies six statistical anomaly detectors (spend velocity, budget overrun, round-amount pattern, weekend frequency, duplicate detection, ML outlier) to the transaction in the context of the grant's historical transaction stream.</w:t>
      </w:r>
    </w:p>
    <w:p>
      <w:pPr>
        <w:pStyle w:val="ListBullet"/>
        <w:spacing w:after="60"/>
        <w:ind w:left="360"/>
      </w:pPr>
      <w:r>
        <w:rPr>
          <w:rFonts w:ascii="Times New Roman" w:hAnsi="Times New Roman"/>
          <w:sz w:val="24"/>
        </w:rPr>
        <w:t>Compliance Monitor: The GrantComplianceMonitor evaluates all 10 compliance rules against the grant's current state, generating ComplianceViolation events for any rules that are breached. MATERIAL_WEAKNESS violations automatically trigger CAP creation.</w:t>
      </w:r>
    </w:p>
    <w:p>
      <w:pPr>
        <w:pStyle w:val="ListBullet"/>
        <w:spacing w:after="60"/>
        <w:ind w:left="360"/>
      </w:pPr>
      <w:r>
        <w:rPr>
          <w:rFonts w:ascii="Times New Roman" w:hAnsi="Times New Roman"/>
          <w:sz w:val="24"/>
        </w:rPr>
        <w:t>Risk Score Update: The PredictiveRiskScorer is called with updated grant state data, producing a refreshed 30-day forward risk prediction with SHAP drivers. The risk score is written back to the Grant record.</w:t>
      </w:r>
    </w:p>
    <w:p>
      <w:pPr>
        <w:pStyle w:val="ListBullet"/>
        <w:spacing w:after="60"/>
        <w:ind w:left="360"/>
      </w:pPr>
      <w:r>
        <w:rPr>
          <w:rFonts w:ascii="Times New Roman" w:hAnsi="Times New Roman"/>
          <w:sz w:val="24"/>
        </w:rPr>
        <w:t>Automated Controls Execution: The InternalControlsAutomation service processes fraud, anomaly, and compliance outputs, executing programmatic responses (payment holds, payment blocks, flag status updates, CAP creation) without requiring human intervention for well-defined trigger conditions.</w:t>
      </w:r>
    </w:p>
    <w:p>
      <w:pPr>
        <w:pStyle w:val="ListBullet"/>
        <w:spacing w:after="60"/>
        <w:ind w:left="360"/>
      </w:pPr>
      <w:r>
        <w:rPr>
          <w:rFonts w:ascii="Times New Roman" w:hAnsi="Times New Roman"/>
          <w:sz w:val="24"/>
        </w:rPr>
        <w:t>Audit Logging: All state changes — transaction flag updates, risk score updates, CAP creation, entity graph changes — are written to the immutable audit_events table with timestamps, user identifiers, and cryptographic state hashes.</w:t>
      </w:r>
    </w:p>
    <w:p>
      <w:pPr>
        <w:pStyle w:val="ListBullet"/>
        <w:spacing w:after="60"/>
        <w:ind w:left="360"/>
      </w:pPr>
      <w:r>
        <w:rPr>
          <w:rFonts w:ascii="Times New Roman" w:hAnsi="Times New Roman"/>
          <w:sz w:val="24"/>
        </w:rPr>
        <w:t>Dashboard Update: KPI tiles, risk leaderboards, and alert triage queues are updated in real time via SWR polling hooks, surfacing the results of all processing steps to authorized users on the frontend.</w:t>
      </w:r>
    </w:p>
    <w:p>
      <w:pPr>
        <w:spacing w:before="200" w:after="80"/>
      </w:pPr>
      <w:r>
        <w:rPr>
          <w:rFonts w:ascii="Times New Roman" w:hAnsi="Times New Roman"/>
          <w:b/>
          <w:sz w:val="22"/>
        </w:rPr>
        <w:t>3. Multi-Tenancy and Security Architecture</w:t>
      </w:r>
    </w:p>
    <w:p>
      <w:pPr>
        <w:spacing w:after="120"/>
        <w:ind w:left="0" w:firstLine="432"/>
        <w:jc w:val="both"/>
      </w:pPr>
      <w:r>
        <w:rPr>
          <w:rFonts w:ascii="Times New Roman" w:hAnsi="Times New Roman"/>
          <w:sz w:val="24"/>
        </w:rPr>
        <w:t>GovGuard™ implements a defense-in-depth security architecture appropriate for the sensitivity of federal financial data:</w:t>
      </w:r>
    </w:p>
    <w:p>
      <w:pPr>
        <w:pStyle w:val="ListBullet"/>
        <w:spacing w:after="60"/>
        <w:ind w:left="360"/>
      </w:pPr>
      <w:r>
        <w:rPr>
          <w:rFonts w:ascii="Times New Roman" w:hAnsi="Times New Roman"/>
          <w:sz w:val="24"/>
        </w:rPr>
        <w:t>Row-Level Security: All database tables include tenant_id as a mandatory column with RLS policies enforced at the PostgreSQL level. Even in the event of an application-layer authorization failure, no cross-tenant data access is possible.</w:t>
      </w:r>
    </w:p>
    <w:p>
      <w:pPr>
        <w:pStyle w:val="ListBullet"/>
        <w:spacing w:after="60"/>
        <w:ind w:left="360"/>
      </w:pPr>
      <w:r>
        <w:rPr>
          <w:rFonts w:ascii="Times New Roman" w:hAnsi="Times New Roman"/>
          <w:sz w:val="24"/>
        </w:rPr>
        <w:t xml:space="preserve">JWT RS256 Authentication: All API endpoints (except the health check) require a valid JWT token signed with the RS256 algorithm, </w:t>
      </w:r>
      <w:r>
        <w:rPr>
          <w:rFonts w:ascii="Times New Roman" w:hAnsi="Times New Roman"/>
          <w:sz w:val="24"/>
        </w:rPr>
        <w:t>validated against the Auth0 JWKS endpoint at each request</w:t>
      </w:r>
      <w:r>
        <w:rPr>
          <w:rFonts w:ascii="Times New Roman" w:hAnsi="Times New Roman"/>
          <w:sz w:val="24"/>
        </w:rPr>
        <w:t>. Tokens are short-lived and scoped to the authenticated tenant.</w:t>
      </w:r>
    </w:p>
    <w:p>
      <w:pPr>
        <w:pStyle w:val="ListBullet"/>
        <w:spacing w:after="60"/>
        <w:ind w:left="360"/>
      </w:pPr>
      <w:r>
        <w:t>PII Tokenization: Email addresses, EIN numbers, and vendor addresses are stored only as one-way SHA-256 hashes (keyed HMAC-SHA256 migration recommended in Exhibit 28.G11). The system can perform equality matching on hashed values without storing plaintext PII, eliminating the most common class of data breach risk.</w:t>
      </w:r>
    </w:p>
    <w:p>
      <w:pPr>
        <w:pStyle w:val="ListBullet"/>
        <w:spacing w:after="60"/>
        <w:ind w:left="360"/>
      </w:pPr>
      <w:r>
        <w:t>Immutable Audit Log: The audit_events table stores the one-way SHA-256 hash of old_value and new_value for every mutating operation, creating a cryptographically verifiable change history that cannot be altered without detection.</w:t>
      </w:r>
    </w:p>
    <w:p>
      <w:pPr>
        <w:pStyle w:val="ListBullet"/>
        <w:spacing w:after="60"/>
        <w:ind w:left="360"/>
      </w:pPr>
      <w:r>
        <w:rPr>
          <w:rFonts w:ascii="Times New Roman" w:hAnsi="Times New Roman"/>
          <w:sz w:val="24"/>
        </w:rPr>
        <w:t>KMS Encryption: AWS Key Management Service (KMS) keys are used for at-rest encryption of all S3 objects (audit evidence, compliance reports, model artifacts).</w:t>
      </w:r>
    </w:p>
    <w:p>
      <w:pPr>
        <w:pStyle w:val="ListBullet"/>
        <w:spacing w:after="60"/>
        <w:ind w:left="360"/>
      </w:pPr>
      <w:r>
        <w:rPr>
          <w:rFonts w:ascii="Times New Roman" w:hAnsi="Times New Roman"/>
          <w:sz w:val="24"/>
        </w:rPr>
        <w:t>Rate Limiting: Redis-backed rate limiting middleware prevents API abuse and credential-stuffing attacks.</w:t>
      </w:r>
    </w:p>
    <w:p>
      <w:pPr>
        <w:pStyle w:val="ListBullet"/>
        <w:spacing w:after="60"/>
        <w:ind w:left="360"/>
      </w:pPr>
      <w:r>
        <w:t>FedRAMP Moderate Target Alignment: The use of AWS Cognito for identity management and the security controls described above are designed to be consistent with FedRAMP Moderate authorization requirements. Compute and storage currently run on Railway and Vercel; migration to AWS GovCloud is Phase 2 of the roadmap documented in Exhibit 28.G11, a prerequisite to any FedRAMP Moderate authorization determination. An Authorization to Operate (ATO) has not yet been obtained; formal authorization via a Third-Party Assessment Organization (3PAO) is planned as part of the commercial deployment roadmap.</w:t>
      </w:r>
    </w:p>
    <w:p>
      <w:pPr>
        <w:spacing w:before="200" w:after="80"/>
      </w:pPr>
      <w:r>
        <w:rPr>
          <w:rFonts w:ascii="Times New Roman" w:hAnsi="Times New Roman"/>
          <w:b/>
          <w:sz w:val="22"/>
        </w:rPr>
        <w:t>4. Scalability and Modular Design</w:t>
      </w:r>
    </w:p>
    <w:p>
      <w:pPr>
        <w:spacing w:after="120"/>
        <w:ind w:left="0" w:firstLine="432"/>
        <w:jc w:val="both"/>
      </w:pPr>
      <w:r>
        <w:rPr>
          <w:rFonts w:ascii="Times New Roman" w:hAnsi="Times New Roman"/>
          <w:sz w:val="24"/>
        </w:rPr>
        <w:t>GovGuard™ is designed for horizontal scalability and modular extensibility:</w:t>
      </w:r>
    </w:p>
    <w:p>
      <w:pPr>
        <w:pStyle w:val="ListBullet"/>
        <w:spacing w:after="60"/>
        <w:ind w:left="360"/>
      </w:pPr>
      <w:r>
        <w:rPr>
          <w:rFonts w:ascii="Times New Roman" w:hAnsi="Times New Roman"/>
          <w:sz w:val="24"/>
        </w:rPr>
        <w:t>The FastAPI backend is stateless and can be scaled horizontally behind any load balancer. All shared state (sessions, rate limit counters, task queues) is stored in Redis rather than in application memory.</w:t>
      </w:r>
    </w:p>
    <w:p>
      <w:pPr>
        <w:pStyle w:val="ListBullet"/>
        <w:spacing w:after="60"/>
        <w:ind w:left="360"/>
      </w:pPr>
      <w:r>
        <w:rPr>
          <w:rFonts w:ascii="Times New Roman" w:hAnsi="Times New Roman"/>
          <w:sz w:val="24"/>
        </w:rPr>
        <w:t>The Celery worker pool can be scaled independently of the API layer, allowing high-volume batch processing workloads to be handled without affecting real-time API response times.</w:t>
      </w:r>
    </w:p>
    <w:p>
      <w:pPr>
        <w:pStyle w:val="ListBullet"/>
        <w:spacing w:after="60"/>
        <w:ind w:left="360"/>
      </w:pPr>
      <w:r>
        <w:rPr>
          <w:rFonts w:ascii="Times New Roman" w:hAnsi="Times New Roman"/>
          <w:sz w:val="24"/>
        </w:rPr>
        <w:t>The module architecture (13 independently routed feature modules) allows new capabilities to be added without modifying existing modules. The v2 API prefix allows iterative capability expansion while maintaining backward compatibility with v1 consumers.</w:t>
      </w:r>
    </w:p>
    <w:p>
      <w:pPr>
        <w:pStyle w:val="ListBullet"/>
        <w:spacing w:after="60"/>
        <w:ind w:left="360"/>
      </w:pPr>
      <w:r>
        <w:rPr>
          <w:rFonts w:ascii="Times New Roman" w:hAnsi="Times New Roman"/>
          <w:sz w:val="24"/>
        </w:rPr>
        <w:t>The ML model architecture uses a singleton pattern with graceful fallback, allowing model upgrades to be deployed by replacing a single serialized file without modifying application code.</w:t>
      </w:r>
    </w:p>
    <w:p>
      <w:pPr>
        <w:pStyle w:val="ListBullet"/>
        <w:spacing w:after="60"/>
        <w:ind w:left="360"/>
      </w:pPr>
      <w:r>
        <w:rPr>
          <w:rFonts w:ascii="Times New Roman" w:hAnsi="Times New Roman"/>
          <w:sz w:val="24"/>
        </w:rPr>
        <w:t>The multi-tenant data model allows GovGuard™ to serve hundreds of separate agencies and grantee organizations on a single platform instance, with complete data isolation between tenants, achieving significant cost efficiency compared to single-tenant deployments.</w:t>
      </w:r>
    </w:p>
    <w:p>
      <w:pPr>
        <w:pStyle w:val="ListBullet"/>
        <w:spacing w:after="60"/>
        <w:ind w:left="360"/>
      </w:pPr>
      <w:r>
        <w:rPr>
          <w:rFonts w:ascii="Times New Roman" w:hAnsi="Times New Roman"/>
          <w:sz w:val="24"/>
        </w:rPr>
        <w:t>The feedback loop architecture (fraud label endpoint, drift monitoring via Population Stability Index, automated retraining pipeline) allows the ML models to continuously improve as labeled outcomes are collected, without requiring engineering intervention for routine model updates.</w:t>
      </w:r>
    </w:p>
    <w:p>
      <w:pPr>
        <w:spacing w:before="200" w:after="80"/>
      </w:pPr>
      <w:r>
        <w:rPr>
          <w:rFonts w:ascii="Times New Roman" w:hAnsi="Times New Roman"/>
          <w:b/>
          <w:color w:val="1A3A5C"/>
          <w:sz w:val="24"/>
        </w:rPr>
        <w:t>E. Founder and Execution Capability: Muhammad Bilal</w:t>
      </w:r>
    </w:p>
    <w:p>
      <w:pPr>
        <w:spacing w:after="120"/>
        <w:ind w:left="0" w:firstLine="432"/>
        <w:jc w:val="both"/>
      </w:pPr>
      <w:r>
        <w:t>Muhammad Bilal brings more than 20 years of senior executive experience across finance, technology, governance, and large-scale program management to the GovGuard™ endeavor. His professional background is uniquely and directly relevant to the national problem that GovGuard™ addresses. PETITIONER'S SPECIFIC TECHNICAL CONTRIBUTIONS TO GOVGUARD™: The following key design decisions are directly and personally attributable to Muhammad Bilal: (1) The 47 fraud detection rules (FDE-001–FDE-047) were personally designed by the Petitioner, each mapped to a specific GAO High-Risk program category based on his direct review of GAO High-Risk reports and PRAC FY2023 audit findings — a mapping task requiring simultaneous regulatory and domain expertise that a software engineer alone cannot perform. (2) The 10 OMB compliance rules (CM-001–CM-010) and the automated Corrective Action Plan (CAP) lifecycle — with 30/60/90-day escalation reminders and MATERIAL_WEAKNESS auto-detection — were designed by the Petitioner based on operational experience directing Single Audit preparation and responding to audit findings at EMAAR Economic City and Red Sea Global. (3) The three-ML-model architecture selection (XGBoost Fraud Classifier for supervised classification, IsolationForest for unsupervised anomaly detection, XGBoost Risk Forecaster with SHAP explainability for 30-day forward predictions) was determined by the Petitioner based on his evaluation of the feature structure of federal grant transaction data — structured, tabular, low-fraud-base-rate — against the empirical literature on ML algorithm performance on this data type. (4) The multi-tenant PostgreSQL 17 Row-Level Security schema, with one-way SHA-256 PII field hashing (keyed HMAC-SHA256 migration recommended in Exhibit 28.G11) and append-only audit_events table, was designed by the Petitioner to satisfy FedRAMP Moderate data handling requirements derived from his review of FISMA and FedRAMP security control documentation. (5) The shadow validation mode — logging agreement rate, average delta, and action-level concordance between rule-based and ML scores — was designed by the Petitioner as a continuous model monitoring mechanism reflecting his operational experience with the risk of model drift in production financial systems.</w:t>
      </w:r>
    </w:p>
    <w:p>
      <w:pPr>
        <w:pStyle w:val="ListBullet"/>
        <w:spacing w:after="60"/>
        <w:ind w:left="360"/>
      </w:pPr>
      <w:r>
        <w:rPr>
          <w:rFonts w:ascii="Times New Roman" w:hAnsi="Times New Roman"/>
          <w:sz w:val="24"/>
        </w:rPr>
        <w:t>Leadership in Giga-Scale Projects: The Petitioner has held executive leadership roles in some of the most complex and capital-intensive infrastructure and development programs in the world — programs characterized by the same multi-stakeholder governance, financial accountability, and compliance oversight challenges that define the federal grant ecosystem. This experience provides direct operational insight into the systems failures that GovGuard™ is designed to prevent.</w:t>
      </w:r>
    </w:p>
    <w:p>
      <w:pPr>
        <w:pStyle w:val="ListBullet"/>
        <w:spacing w:after="60"/>
        <w:ind w:left="360"/>
      </w:pPr>
      <w:r>
        <w:rPr>
          <w:rFonts w:ascii="Times New Roman" w:hAnsi="Times New Roman"/>
          <w:sz w:val="24"/>
        </w:rPr>
        <w:t>Finance and Governance Expertise: The Petitioner's background encompasses senior financial management, internal controls design, and governance frameworks in organizations operating across multiple regulatory jurisdictions. He has direct experience with the financial audit processes, compliance monitoring requirements, and oversight reporting obligations that GovGuard™ automates.</w:t>
      </w:r>
    </w:p>
    <w:p>
      <w:pPr>
        <w:pStyle w:val="ListBullet"/>
        <w:spacing w:after="60"/>
        <w:ind w:left="360"/>
      </w:pPr>
      <w:r>
        <w:rPr>
          <w:rFonts w:ascii="Times New Roman" w:hAnsi="Times New Roman"/>
          <w:sz w:val="24"/>
        </w:rPr>
        <w:t>Technology and Systems Integration: The Petitioner's executive experience includes the oversight of large-scale technology and systems integration programs, providing the technical leadership context necessary to guide the development and deployment of an enterprise SaaS platform of GovGuard™'s complexity.</w:t>
      </w:r>
    </w:p>
    <w:p>
      <w:pPr>
        <w:pStyle w:val="ListBullet"/>
        <w:spacing w:after="60"/>
        <w:ind w:left="360"/>
      </w:pPr>
      <w:r>
        <w:rPr>
          <w:rFonts w:ascii="Times New Roman" w:hAnsi="Times New Roman"/>
          <w:sz w:val="24"/>
        </w:rPr>
        <w:t>Experience with Listed and Regulated Organizations: The Petitioner has served in senior roles at organizations subject to rigorous financial reporting, regulatory compliance, and governance standards — directly analogous to the federal regulatory environment in which GovGuard™ operates.</w:t>
      </w:r>
    </w:p>
    <w:p>
      <w:pPr>
        <w:spacing w:after="120"/>
        <w:ind w:left="0" w:firstLine="432"/>
        <w:jc w:val="both"/>
      </w:pPr>
      <w:r>
        <w:rPr>
          <w:rFonts w:ascii="Times New Roman" w:hAnsi="Times New Roman"/>
          <w:sz w:val="24"/>
        </w:rPr>
        <w:t>The Petitioner's combination of executive finance experience, technology program leadership, and governance expertise is precisely the combination required to execute GovGuard™ at scale. The platform's architecture — integrating ML-driven fraud detection with OMB Uniform Guidance compliance monitoring, ERP integrations, and FedRAMP-aligned security controls — demands a founder who understands both the technical infrastructure and the regulatory compliance landscape in equal depth. The Petitioner is uniquely positioned to provide that leadership.</w:t>
      </w:r>
    </w:p>
    <w:p>
      <w:pPr>
        <w:spacing w:before="200" w:after="80"/>
      </w:pPr>
      <w:r>
        <w:rPr>
          <w:rFonts w:ascii="Times New Roman" w:hAnsi="Times New Roman"/>
          <w:b/>
          <w:color w:val="1A3A5C"/>
          <w:sz w:val="24"/>
        </w:rPr>
        <w:t>F. Corporate Vehicle: Quantio Global</w:t>
      </w:r>
    </w:p>
    <w:p>
      <w:pPr>
        <w:spacing w:after="120"/>
        <w:ind w:left="0" w:firstLine="432"/>
        <w:jc w:val="both"/>
      </w:pPr>
      <w:r>
        <w:rPr>
          <w:rFonts w:ascii="Times New Roman" w:hAnsi="Times New Roman"/>
          <w:sz w:val="24"/>
        </w:rPr>
        <w:t>GovGuard™ is owned and will be commercialized through Quantio Global, a company registered in the United States by Muhammad Bilal. Quantio Global serves as the legal and operational vehicle through which the Petitioner executes the GovGuard™ national mission. Its establishment as a U.S.-incorporated entity provides several critical advantages:</w:t>
      </w:r>
    </w:p>
    <w:p>
      <w:pPr>
        <w:pStyle w:val="ListBullet"/>
        <w:spacing w:after="60"/>
        <w:ind w:left="360"/>
      </w:pPr>
      <w:r>
        <w:rPr>
          <w:rFonts w:ascii="Times New Roman" w:hAnsi="Times New Roman"/>
          <w:sz w:val="24"/>
        </w:rPr>
        <w:t>Legal Standing for Government Contracts: U.S. government agencies, state agencies, and federal grantees require their technology vendors to be U.S.-incorporated entities. Quantio Global provides the legal standing necessary to enter into contracts, data sharing agreements, and authority-to-operate agreements with federal customers.</w:t>
      </w:r>
    </w:p>
    <w:p>
      <w:pPr>
        <w:pStyle w:val="ListBullet"/>
        <w:spacing w:after="60"/>
        <w:ind w:left="360"/>
      </w:pPr>
      <w:r>
        <w:rPr>
          <w:rFonts w:ascii="Times New Roman" w:hAnsi="Times New Roman"/>
          <w:sz w:val="24"/>
        </w:rPr>
        <w:t>Commercialization and Revenue Generation: Quantio Global's tiered subscription model (with a free Community Edition (CC-BY 4.0) for under-resourced grantees and a commercial Enterprise Edition for agencies and larger organizations requiring federal-grade cloud infrastructure and dedicated support) creates a sustainable revenue base that funds ongoing platform development and support, eliminating reliance on grant or charitable funding.</w:t>
      </w:r>
    </w:p>
    <w:p>
      <w:pPr>
        <w:pStyle w:val="ListBullet"/>
        <w:spacing w:after="60"/>
        <w:ind w:left="360"/>
      </w:pPr>
      <w:r>
        <w:rPr>
          <w:rFonts w:ascii="Times New Roman" w:hAnsi="Times New Roman"/>
          <w:sz w:val="24"/>
        </w:rPr>
        <w:t>Investor Attractiveness and Capital Access: A U.S.-incorporated company in the GovCon technology sector can access U.S. venture capital, strategic investment, and government-backed funding programs unavailable to foreign entities. Quantio Global is positioned to raise institutional capital to accelerate platform deployment at federal scale.</w:t>
      </w:r>
    </w:p>
    <w:p>
      <w:pPr>
        <w:pStyle w:val="ListBullet"/>
        <w:spacing w:after="60"/>
        <w:ind w:left="360"/>
      </w:pPr>
      <w:r>
        <w:rPr>
          <w:rFonts w:ascii="Times New Roman" w:hAnsi="Times New Roman"/>
          <w:sz w:val="24"/>
        </w:rPr>
        <w:t>Credibility and Trust: Federal agencies and oversight bodies are more likely to adopt a compliance and fraud detection platform from a U.S.-incorporated entity with a verifiable U.S. legal presence than from a foreign-based provider.</w:t>
      </w:r>
    </w:p>
    <w:p>
      <w:pPr>
        <w:pStyle w:val="ListBullet"/>
        <w:spacing w:after="60"/>
        <w:ind w:left="360"/>
      </w:pPr>
      <w:r>
        <w:rPr>
          <w:rFonts w:ascii="Times New Roman" w:hAnsi="Times New Roman"/>
          <w:sz w:val="24"/>
        </w:rPr>
        <w:t>Public-Private Partnership Potential: Quantio Global's U.S. incorporation enables partnership structures with federal agencies, state technology offices, and quasi-governmental entities under existing statutory frameworks for public-private collaboration in government technology.</w:t>
      </w:r>
    </w:p>
    <w:p>
      <w:pPr>
        <w:spacing w:before="200" w:after="80"/>
      </w:pPr>
      <w:r>
        <w:rPr>
          <w:rFonts w:ascii="Times New Roman" w:hAnsi="Times New Roman"/>
          <w:b/>
          <w:color w:val="1A3A5C"/>
          <w:sz w:val="24"/>
        </w:rPr>
        <w:t>G. GovGuard™ External Resources</w:t>
      </w:r>
    </w:p>
    <w:p>
      <w:pPr>
        <w:spacing w:after="120"/>
        <w:ind w:left="0" w:firstLine="432"/>
        <w:jc w:val="both"/>
      </w:pPr>
      <w:r>
        <w:rPr>
          <w:rFonts w:ascii="Times New Roman" w:hAnsi="Times New Roman"/>
          <w:sz w:val="24"/>
        </w:rPr>
        <w:t>The following resources are available for USCIS review:</w:t>
      </w:r>
    </w:p>
    <w:p>
      <w:pPr>
        <w:pStyle w:val="ListBullet"/>
        <w:spacing w:after="60"/>
        <w:ind w:left="360"/>
      </w:pPr>
      <w:r>
        <w:rPr>
          <w:rFonts w:ascii="Times New Roman" w:hAnsi="Times New Roman"/>
          <w:b/>
          <w:sz w:val="24"/>
        </w:rPr>
        <w:t xml:space="preserve">GovGuard™ Platform Website: </w:t>
      </w:r>
      <w:r>
        <w:rPr>
          <w:rFonts w:ascii="Times New Roman" w:hAnsi="Times New Roman"/>
          <w:sz w:val="24"/>
        </w:rPr>
        <w:t>[Insert Website Link Here]</w:t>
      </w:r>
    </w:p>
    <w:p>
      <w:pPr>
        <w:pStyle w:val="ListBullet"/>
        <w:spacing w:after="60"/>
        <w:ind w:left="360"/>
      </w:pPr>
      <w:r>
        <w:rPr>
          <w:rFonts w:ascii="Times New Roman" w:hAnsi="Times New Roman"/>
          <w:b/>
          <w:sz w:val="24"/>
        </w:rPr>
        <w:t xml:space="preserve">GitHub Repository (Public): </w:t>
      </w:r>
      <w:r>
        <w:rPr>
          <w:rFonts w:ascii="Times New Roman" w:hAnsi="Times New Roman"/>
          <w:sz w:val="24"/>
        </w:rPr>
        <w:t>https://github.com/FounderQuantio/Grant-Management-SAAS</w:t>
      </w:r>
    </w:p>
    <w:p>
      <w:pPr>
        <w:spacing w:before="80" w:after="160"/>
        <w:jc w:val="center"/>
      </w:pPr>
      <w:r>
        <w:rPr>
          <w:rFonts w:ascii="Times New Roman" w:hAnsi="Times New Roman"/>
          <w:i/>
          <w:color w:val="555555"/>
          <w:sz w:val="20"/>
        </w:rPr>
        <w:t xml:space="preserve">The GitHub repository contains the full GovGuard™ source code, including all 13 backend modules, three trained ML model artifacts, the </w:t>
      </w:r>
      <w:r>
        <w:rPr>
          <w:rFonts w:ascii="Times New Roman" w:hAnsi="Times New Roman"/>
          <w:i/>
          <w:color w:val="555555"/>
          <w:sz w:val="20"/>
        </w:rPr>
        <w:t>70-scenario GAO test dataset</w:t>
      </w:r>
      <w:r>
        <w:rPr>
          <w:rFonts w:ascii="Times New Roman" w:hAnsi="Times New Roman"/>
          <w:i/>
          <w:color w:val="555555"/>
          <w:sz w:val="20"/>
        </w:rPr>
        <w:t>, Docker configuration, database schema and seed data, and the compiled frontend build.</w:t>
      </w:r>
    </w:p>
    <w:p>
      <w:pPr>
        <w:spacing w:before="280" w:after="80"/>
      </w:pPr>
      <w:r>
        <w:rPr>
          <w:rFonts w:ascii="Times New Roman" w:hAnsi="Times New Roman"/>
          <w:b/>
          <w:color w:val="00236B"/>
          <w:sz w:val="28"/>
        </w:rPr>
        <w:t>PART III: PRONG 3 — ON BALANCE, BENEFICIAL TO WAIVE LABOR CERTIFICATION</w:t>
      </w:r>
    </w:p>
    <w:p>
      <w:pPr>
        <w:spacing w:before="200" w:after="80"/>
      </w:pPr>
      <w:r>
        <w:rPr>
          <w:rFonts w:ascii="Times New Roman" w:hAnsi="Times New Roman"/>
          <w:b/>
          <w:color w:val="1A3A5C"/>
          <w:sz w:val="24"/>
        </w:rPr>
        <w:t>A. The Case for Waiving Labor Certification</w:t>
      </w:r>
    </w:p>
    <w:p>
      <w:pPr>
        <w:spacing w:after="120"/>
        <w:ind w:left="0" w:firstLine="432"/>
        <w:jc w:val="both"/>
      </w:pPr>
      <w:r>
        <w:rPr>
          <w:rFonts w:ascii="Times New Roman" w:hAnsi="Times New Roman"/>
          <w:sz w:val="24"/>
        </w:rPr>
        <w:t>Under the Matter of Dhanasar framework, the third prong requires the petitioner to demonstrate that, on balance, it would be beneficial to the United States to waive the job offer and labor certification requirements. This prong is satisfied when the national importance of the proposed endeavor, the petitioner's unique positioning to advance it, and the cost of delay imposed by labor certification collectively outweigh the protections that the labor certification process is designed to provide.</w:t>
      </w:r>
    </w:p>
    <w:p>
      <w:pPr>
        <w:spacing w:after="120"/>
        <w:ind w:left="0" w:firstLine="432"/>
        <w:jc w:val="both"/>
      </w:pPr>
      <w:r>
        <w:rPr>
          <w:rFonts w:ascii="Times New Roman" w:hAnsi="Times New Roman"/>
          <w:sz w:val="24"/>
        </w:rPr>
        <w:t>In the case of GovGuard™ and Muhammad Bilal, the case for waiver is compelling on each of these dimensions.</w:t>
      </w:r>
    </w:p>
    <w:p>
      <w:pPr>
        <w:spacing w:before="200" w:after="80"/>
      </w:pPr>
      <w:r>
        <w:rPr>
          <w:rFonts w:ascii="Times New Roman" w:hAnsi="Times New Roman"/>
          <w:b/>
          <w:color w:val="1A3A5C"/>
          <w:sz w:val="24"/>
        </w:rPr>
        <w:t>B. Urgency of Implementation</w:t>
      </w:r>
    </w:p>
    <w:p>
      <w:pPr>
        <w:spacing w:after="120"/>
        <w:ind w:left="0" w:firstLine="432"/>
        <w:jc w:val="both"/>
      </w:pPr>
      <w:r>
        <w:rPr>
          <w:rFonts w:ascii="Times New Roman" w:hAnsi="Times New Roman"/>
          <w:sz w:val="24"/>
        </w:rPr>
        <w:t xml:space="preserve">The national problem that GovGuard™ addresses — </w:t>
      </w:r>
      <w:r>
        <w:rPr>
          <w:rFonts w:ascii="Times New Roman" w:hAnsi="Times New Roman"/>
          <w:sz w:val="24"/>
        </w:rPr>
        <w:t>improper payments of $236 billion in FY2022 (PRAC FY2023 Report), over $400 billion in pandemic-era fraud</w:t>
      </w:r>
      <w:r>
        <w:rPr>
          <w:rFonts w:ascii="Times New Roman" w:hAnsi="Times New Roman"/>
          <w:sz w:val="24"/>
        </w:rPr>
        <w:t>, 37 active GAO High-Risk programs, and 5,000 unimplemented GAO recommendations — is not a static or slowly evolving problem. It is an accelerating one. New fraud schemes emerge continuously; new relief programs create new fraud opportunities; the complexity of the federal grant ecosystem grows with each legislative cycle. Every month of delay in deploying a platform-level fraud prevention and compliance monitoring solution represents additional preventable losses.</w:t>
      </w:r>
    </w:p>
    <w:p>
      <w:pPr>
        <w:spacing w:after="120"/>
        <w:ind w:left="0" w:firstLine="432"/>
        <w:jc w:val="both"/>
      </w:pPr>
      <w:r>
        <w:rPr>
          <w:rFonts w:ascii="Times New Roman" w:hAnsi="Times New Roman"/>
          <w:sz w:val="24"/>
        </w:rPr>
        <w:t xml:space="preserve">The labor certification process typically requires six to eighteen months to complete, during which the petitioner would be unable to legally work in the United States on the GovGuard™ platform. Given that the platform is already at the MVP stage, ready for deployment, and actively seeking federal agency customers, this delay would impose a direct and measurable cost on the United States in the form of fraud losses that GovGuard™ would have prevented. The USCIS has recognized in prior NIW decisions that delay costs are relevant to the balancing analysis, and the delay cost here is quantifiable: </w:t>
      </w:r>
      <w:r>
        <w:rPr>
          <w:rFonts w:ascii="Times New Roman" w:hAnsi="Times New Roman"/>
          <w:sz w:val="24"/>
        </w:rPr>
        <w:t>$236 billion in documented improper payments in FY2022 (PRAC FY2023 Report), even a marginal fraction of which</w:t>
      </w:r>
      <w:r>
        <w:rPr>
          <w:rFonts w:ascii="Times New Roman" w:hAnsi="Times New Roman"/>
          <w:sz w:val="24"/>
        </w:rPr>
        <w:t xml:space="preserve"> GovGuard™ could prevent, vastly outweighs the regulatory interest in subjecting this particular petitioner to labor certification.</w:t>
      </w:r>
    </w:p>
    <w:p>
      <w:pPr>
        <w:spacing w:before="200" w:after="80"/>
      </w:pPr>
      <w:r>
        <w:rPr>
          <w:rFonts w:ascii="Times New Roman" w:hAnsi="Times New Roman"/>
          <w:b/>
          <w:color w:val="1A3A5C"/>
          <w:sz w:val="24"/>
        </w:rPr>
        <w:t>C. The Labor Certification Process Is Not Designed for This Situation</w:t>
      </w:r>
    </w:p>
    <w:p>
      <w:pPr>
        <w:spacing w:after="120"/>
        <w:ind w:left="0" w:firstLine="432"/>
        <w:jc w:val="both"/>
      </w:pPr>
      <w:r>
        <w:rPr>
          <w:rFonts w:ascii="Times New Roman" w:hAnsi="Times New Roman"/>
          <w:sz w:val="24"/>
        </w:rPr>
        <w:t>Labor certification is designed to protect U.S. workers from displacement by foreign nationals hired by U.S. employers. It is a mechanism suited to employment relationships in which a specific employer seeks to fill a specific position with a foreign worker who will displace a qualified U.S. worker.</w:t>
      </w:r>
    </w:p>
    <w:p>
      <w:pPr>
        <w:spacing w:after="120"/>
        <w:ind w:left="0" w:firstLine="432"/>
        <w:jc w:val="both"/>
      </w:pPr>
      <w:r>
        <w:rPr>
          <w:rFonts w:ascii="Times New Roman" w:hAnsi="Times New Roman"/>
          <w:sz w:val="24"/>
        </w:rPr>
        <w:t>This is not that situation. The Petitioner is not seeking employment with a U.S. employer. The Petitioner is the founder and owner of Quantio Global — the U.S. company that will employ U.S. workers, not displace them. GovGuard™'s development and commercial deployment will require the hiring of U.S. software engineers, compliance specialists, data scientists, government relations professionals, and customer success staff. The Petitioner's immigration status is a prerequisite to creating these U.S. jobs, not a threat to them.</w:t>
      </w:r>
    </w:p>
    <w:p>
      <w:pPr>
        <w:spacing w:after="120"/>
        <w:ind w:left="0" w:firstLine="432"/>
        <w:jc w:val="both"/>
      </w:pPr>
      <w:r>
        <w:rPr>
          <w:rFonts w:ascii="Times New Roman" w:hAnsi="Times New Roman"/>
          <w:sz w:val="24"/>
        </w:rPr>
        <w:t>Furthermore, the skills required to conceive, architect, and execute GovGuard™ at the intersection of federal grant compliance, machine learning, and GovCon technology are rare. The platform's design reflects 20+ years of executive experience in financial governance, large-scale program management, and technology leadership — a combination that does not lend itself to the labor market testing that labor certification contemplates.</w:t>
      </w:r>
    </w:p>
    <w:p>
      <w:pPr>
        <w:spacing w:before="200" w:after="80"/>
      </w:pPr>
      <w:r>
        <w:rPr>
          <w:rFonts w:ascii="Times New Roman" w:hAnsi="Times New Roman"/>
          <w:b/>
          <w:color w:val="1A3A5C"/>
          <w:sz w:val="24"/>
        </w:rPr>
        <w:t>D. Government and Institutional Value: Broad Adoption Potential</w:t>
      </w:r>
    </w:p>
    <w:p>
      <w:pPr>
        <w:spacing w:after="120"/>
        <w:ind w:left="0" w:firstLine="432"/>
        <w:jc w:val="both"/>
      </w:pPr>
      <w:r>
        <w:rPr>
          <w:rFonts w:ascii="Times New Roman" w:hAnsi="Times New Roman"/>
          <w:sz w:val="24"/>
        </w:rPr>
        <w:t>GovGuard™ is not designed for a single employer or a single program — it is designed as a national-platform-level solution that any federal agency, state government, tribal entity, or grantee organization can adopt through a standardized API and onboarding process. This breadth of potential adoption means that the Petitioner's contribution to the United States is not bounded by a single employment relationship; it is bounded only by the platform's deployment footprint.</w:t>
      </w:r>
    </w:p>
    <w:p>
      <w:pPr>
        <w:spacing w:after="120"/>
        <w:ind w:left="0" w:firstLine="432"/>
        <w:jc w:val="both"/>
      </w:pPr>
      <w:r>
        <w:rPr>
          <w:rFonts w:ascii="Times New Roman" w:hAnsi="Times New Roman"/>
          <w:sz w:val="24"/>
        </w:rPr>
        <w:t>The potential government adoption base includes:</w:t>
      </w:r>
    </w:p>
    <w:p>
      <w:pPr>
        <w:pStyle w:val="ListBullet"/>
        <w:spacing w:after="60"/>
        <w:ind w:left="360"/>
      </w:pPr>
      <w:r>
        <w:rPr>
          <w:rFonts w:ascii="Times New Roman" w:hAnsi="Times New Roman"/>
          <w:sz w:val="24"/>
        </w:rPr>
        <w:t>Federal grantor agencies administering more than $800 billion in annual grants (HHS, ED, HUD, USDA, DOJ, EPA, NSF, NIH, and others).</w:t>
      </w:r>
    </w:p>
    <w:p>
      <w:pPr>
        <w:pStyle w:val="ListBullet"/>
        <w:spacing w:after="60"/>
        <w:ind w:left="360"/>
      </w:pPr>
      <w:r>
        <w:rPr>
          <w:rFonts w:ascii="Times New Roman" w:hAnsi="Times New Roman"/>
          <w:sz w:val="24"/>
        </w:rPr>
        <w:t>State and local governments acting as pass-through entities for hundreds of billions in federal formula and competitive grants.</w:t>
      </w:r>
    </w:p>
    <w:p>
      <w:pPr>
        <w:pStyle w:val="ListBullet"/>
        <w:spacing w:after="60"/>
        <w:ind w:left="360"/>
      </w:pPr>
      <w:r>
        <w:rPr>
          <w:rFonts w:ascii="Times New Roman" w:hAnsi="Times New Roman"/>
          <w:sz w:val="24"/>
        </w:rPr>
        <w:t>Tribal governments — currently among the most underserved and compliance-burdened grantee populations in the federal system.</w:t>
      </w:r>
    </w:p>
    <w:p>
      <w:pPr>
        <w:pStyle w:val="ListBullet"/>
        <w:spacing w:after="60"/>
        <w:ind w:left="360"/>
      </w:pPr>
      <w:r>
        <w:rPr>
          <w:rFonts w:ascii="Times New Roman" w:hAnsi="Times New Roman"/>
          <w:sz w:val="24"/>
        </w:rPr>
        <w:t>Independent oversight bodies (Offices of Inspector General, GAO, PRAC, OMB) that require access to grantor-side compliance and risk data.</w:t>
      </w:r>
    </w:p>
    <w:p>
      <w:pPr>
        <w:pStyle w:val="ListBullet"/>
        <w:spacing w:after="60"/>
        <w:ind w:left="360"/>
      </w:pPr>
      <w:r>
        <w:rPr>
          <w:rFonts w:ascii="Times New Roman" w:hAnsi="Times New Roman"/>
          <w:sz w:val="24"/>
        </w:rPr>
        <w:t>Nonprofit and CDFI grantees — the primary beneficiaries of the platform's zero-cost compliance infrastructure for under-resourced organizations.</w:t>
      </w:r>
    </w:p>
    <w:p>
      <w:pPr>
        <w:spacing w:after="120"/>
        <w:ind w:left="0" w:firstLine="432"/>
        <w:jc w:val="both"/>
      </w:pPr>
      <w:r>
        <w:rPr>
          <w:rFonts w:ascii="Times New Roman" w:hAnsi="Times New Roman"/>
          <w:sz w:val="24"/>
        </w:rPr>
        <w:t>This breadth of adoption potential aligns precisely with the national digital transformation objectives articulated in OMB Memorandum M-21-27 (Evidence-Based Policymaking), OMB Circular A-123 (Management's Responsibility for Enterprise Risk Management and Internal Control), and Executive Order 13985 (Advancing Racial Equity in Federal Programs) — each of which calls for exactly the kind of cross-agency, technology-enabled financial oversight infrastructure that GovGuard™ provides.</w:t>
      </w:r>
    </w:p>
    <w:p>
      <w:pPr>
        <w:spacing w:before="200" w:after="80"/>
      </w:pPr>
      <w:r>
        <w:rPr>
          <w:rFonts w:ascii="Times New Roman" w:hAnsi="Times New Roman"/>
          <w:b/>
          <w:color w:val="1A3A5C"/>
          <w:sz w:val="24"/>
        </w:rPr>
        <w:t>E. Investor Attractiveness and Scalability</w:t>
      </w:r>
    </w:p>
    <w:p>
      <w:pPr>
        <w:spacing w:after="120"/>
        <w:ind w:left="0" w:firstLine="432"/>
        <w:jc w:val="both"/>
      </w:pPr>
      <w:r>
        <w:rPr>
          <w:rFonts w:ascii="Times New Roman" w:hAnsi="Times New Roman"/>
          <w:sz w:val="24"/>
        </w:rPr>
        <w:t>GovGuard™'s commercial model is designed for strong investor attractiveness and rapid scalability:</w:t>
      </w:r>
    </w:p>
    <w:p>
      <w:pPr>
        <w:pStyle w:val="ListBullet"/>
        <w:spacing w:after="60"/>
        <w:ind w:left="360"/>
      </w:pPr>
      <w:r>
        <w:rPr>
          <w:rFonts w:ascii="Times New Roman" w:hAnsi="Times New Roman"/>
          <w:sz w:val="24"/>
        </w:rPr>
        <w:t>Recurring Revenue Model: The SaaS subscription structure generates predictable, recurring revenue that institutional investors value highly. Federal agencies and state governments — once onboarded — have long retention cycles due to the cost and disruption of switching compliance platforms.</w:t>
      </w:r>
    </w:p>
    <w:p>
      <w:pPr>
        <w:pStyle w:val="ListBullet"/>
        <w:spacing w:after="60"/>
        <w:ind w:left="360"/>
      </w:pPr>
      <w:r>
        <w:rPr>
          <w:rFonts w:ascii="Times New Roman" w:hAnsi="Times New Roman"/>
          <w:sz w:val="24"/>
        </w:rPr>
        <w:t>Cost Efficiency at Scale: The multi-tenant architecture allows GovGuard™ to serve hundreds of government customers on shared infrastructure, with marginal cost per additional tenant approaching zero. This produces exceptionally strong gross margin expansion as the customer base grows.</w:t>
      </w:r>
    </w:p>
    <w:p>
      <w:pPr>
        <w:pStyle w:val="ListBullet"/>
        <w:spacing w:after="60"/>
        <w:ind w:left="360"/>
      </w:pPr>
      <w:r>
        <w:rPr>
          <w:rFonts w:ascii="Times New Roman" w:hAnsi="Times New Roman"/>
          <w:sz w:val="24"/>
        </w:rPr>
        <w:t>Return on Investment: A single prevented fraud case of even $1 million delivers ROI multiples above a full year of platform subscription fees for most government customers. The economic case for adoption is compelling and easily quantifiable.</w:t>
      </w:r>
    </w:p>
    <w:p>
      <w:pPr>
        <w:pStyle w:val="ListBullet"/>
        <w:spacing w:after="60"/>
        <w:ind w:left="360"/>
      </w:pPr>
      <w:r>
        <w:rPr>
          <w:rFonts w:ascii="Times New Roman" w:hAnsi="Times New Roman"/>
          <w:sz w:val="24"/>
        </w:rPr>
        <w:t>Public-Private Partnership Structures: GovGuard™ is well suited to Other Transaction Authority (OTA) agreements, Cooperative Research and Development Agreements (CRADAs), and Blanket Purchase Agreements (BPAs) — mechanisms through which federal agencies can rapidly procure innovative technology without the full burden of traditional Federal Acquisition Regulation (FAR) procurement processes.</w:t>
      </w:r>
    </w:p>
    <w:p>
      <w:pPr>
        <w:pStyle w:val="ListBullet"/>
        <w:spacing w:after="60"/>
        <w:ind w:left="360"/>
      </w:pPr>
      <w:r>
        <w:rPr>
          <w:rFonts w:ascii="Times New Roman" w:hAnsi="Times New Roman"/>
          <w:sz w:val="24"/>
        </w:rPr>
        <w:t>Scalable Across Program Verticals: The platform's modular architecture allows it to expand from grant management into contract oversight, direct-payment programs, entitlement programs, and tax administration — each representing an additional addressable market of tens or hundreds of billions of dollars in oversight opportunity.</w:t>
      </w:r>
    </w:p>
    <w:p>
      <w:pPr>
        <w:spacing w:before="200" w:after="80"/>
      </w:pPr>
      <w:r>
        <w:rPr>
          <w:rFonts w:ascii="Times New Roman" w:hAnsi="Times New Roman"/>
          <w:b/>
          <w:color w:val="1A3A5C"/>
          <w:sz w:val="24"/>
        </w:rPr>
        <w:t>F. Addressable Annual Value: National-Scale Impact</w:t>
      </w:r>
    </w:p>
    <w:p>
      <w:pPr>
        <w:spacing w:after="120"/>
        <w:ind w:left="0" w:firstLine="432"/>
        <w:jc w:val="both"/>
      </w:pPr>
      <w:r>
        <w:rPr>
          <w:rFonts w:ascii="Times New Roman" w:hAnsi="Times New Roman"/>
          <w:sz w:val="24"/>
        </w:rPr>
        <w:t>GAO's 150-mapped problem-solution library, which provides the foundation for GovGuard™'s rule and use-case design, represents a cumulative annual addressable opportunity conservatively estimated at $80–$150 billion in preventable improper payments and fraud losses. This estimate is grounded in publicly documented improper payment rates for the specific programs covered by each rule — Medicare, Medicaid, SNAP, Unemployment Insurance, federal grants, procurement, disaster aid, and tax administration.</w:t>
      </w:r>
    </w:p>
    <w:p>
      <w:pPr>
        <w:spacing w:after="120"/>
        <w:ind w:left="0" w:firstLine="432"/>
        <w:jc w:val="both"/>
      </w:pPr>
      <w:r>
        <w:rPr>
          <w:rFonts w:ascii="Times New Roman" w:hAnsi="Times New Roman"/>
          <w:sz w:val="24"/>
        </w:rPr>
        <w:t>Even at a 0.1% prevention rate on the lower bound of this range ($80 billion), GovGuard™ would generate $80 million annually in national benefit — a return that easily justifies any investment in the platform and that vastly exceeds the regulatory interest in subjecting the Petitioner to a labor certification process that serves no protective purpose in this context.</w:t>
      </w:r>
    </w:p>
    <w:p>
      <w:pPr>
        <w:spacing w:before="200" w:after="80"/>
      </w:pPr>
      <w:r>
        <w:rPr>
          <w:rFonts w:ascii="Times New Roman" w:hAnsi="Times New Roman"/>
          <w:b/>
          <w:color w:val="1A3A5C"/>
          <w:sz w:val="24"/>
        </w:rPr>
        <w:t>G. Conclusion: Prong 3 Is Satisfied</w:t>
      </w:r>
    </w:p>
    <w:p>
      <w:pPr>
        <w:spacing w:after="120"/>
        <w:ind w:left="0" w:firstLine="432"/>
        <w:jc w:val="both"/>
      </w:pPr>
      <w:r>
        <w:rPr>
          <w:rFonts w:ascii="Times New Roman" w:hAnsi="Times New Roman"/>
          <w:sz w:val="24"/>
        </w:rPr>
        <w:t xml:space="preserve">On balance, it would be beneficial to the United States to waive labor certification for the following, independently sufficient reasons: (1) GovGuard™ addresses a documented national crisis in federal payment integrity </w:t>
      </w:r>
      <w:r>
        <w:rPr>
          <w:rFonts w:ascii="Times New Roman" w:hAnsi="Times New Roman"/>
          <w:sz w:val="24"/>
        </w:rPr>
        <w:t>that causes $236 billion in documented improper payment losses in FY2022 (PRAC FY2023 Report)</w:t>
      </w:r>
      <w:r>
        <w:rPr>
          <w:rFonts w:ascii="Times New Roman" w:hAnsi="Times New Roman"/>
          <w:sz w:val="24"/>
        </w:rPr>
        <w:t>; (2) the platform is already at MVP stage and ready for deployment — every month of delay imposed by labor certification is a month of preventable fraud losses; (3) the Petitioner is the founder of the U.S. company that will deploy the platform, meaning labor certification is structurally inapplicable — the Petitioner will create U.S. jobs, not displace them; and (4) the breadth of potential adoption, from federal agencies to tribal governments to nonprofit grantees, means that the Petitioner's contribution to the United States extends far beyond any single employment relationship.</w:t>
      </w:r>
    </w:p>
    <w:p>
      <w:pPr>
        <w:spacing w:before="280" w:after="80"/>
      </w:pPr>
      <w:r>
        <w:rPr>
          <w:rFonts w:ascii="Times New Roman" w:hAnsi="Times New Roman"/>
          <w:b/>
          <w:color w:val="00236B"/>
          <w:sz w:val="28"/>
        </w:rPr>
        <w:t>SUMMARY OF DHANASAR PRONG ANALYSIS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Dhanasar Prong</w:t>
            </w:r>
          </w:p>
        </w:tc>
        <w:tc>
          <w:tcPr>
            <w:tcW w:type="dxa" w:w="4320"/>
          </w:tcPr>
          <w:p>
            <w:r>
              <w:rPr>
                <w:rFonts w:ascii="Times New Roman" w:hAnsi="Times New Roman"/>
                <w:b/>
                <w:sz w:val="22"/>
              </w:rPr>
              <w:t>Basis for Satisfaction</w:t>
            </w:r>
          </w:p>
        </w:tc>
      </w:tr>
      <w:tr>
        <w:tc>
          <w:tcPr>
            <w:tcW w:type="dxa" w:w="4320"/>
          </w:tcPr>
          <w:p>
            <w:r>
              <w:rPr>
                <w:rFonts w:ascii="Times New Roman" w:hAnsi="Times New Roman"/>
                <w:b/>
                <w:sz w:val="22"/>
              </w:rPr>
              <w:t>Prong 1: Substantial Merit and National Importance</w:t>
            </w:r>
          </w:p>
        </w:tc>
        <w:tc>
          <w:tcPr>
            <w:tcW w:type="dxa" w:w="4320"/>
          </w:tcPr>
          <w:p>
            <w:r>
              <w:rPr>
                <w:rFonts w:ascii="Times New Roman" w:hAnsi="Times New Roman"/>
                <w:sz w:val="22"/>
              </w:rPr>
              <w:t>Federal improper payments totaled $236 billion in FY2022 (PRAC FY2023 Report)</w:t>
            </w:r>
            <w:r>
              <w:rPr>
                <w:rFonts w:ascii="Times New Roman" w:hAnsi="Times New Roman"/>
                <w:sz w:val="22"/>
              </w:rPr>
              <w:t>; 37 GAO High-Risk programs; $100–$400 billion in pandemic fraud losses; 5,000 unimplemented GAO recommendations; systemic absence of pre-disbursement AI-augmented oversight infrastructure.</w:t>
            </w:r>
          </w:p>
        </w:tc>
      </w:tr>
      <w:tr>
        <w:tc>
          <w:tcPr>
            <w:tcW w:type="dxa" w:w="4320"/>
          </w:tcPr>
          <w:p>
            <w:r>
              <w:rPr>
                <w:rFonts w:ascii="Times New Roman" w:hAnsi="Times New Roman"/>
                <w:b/>
                <w:sz w:val="22"/>
              </w:rPr>
              <w:t>Prong 2: Well Positioned to Advance</w:t>
            </w:r>
          </w:p>
        </w:tc>
        <w:tc>
          <w:tcPr>
            <w:tcW w:type="dxa" w:w="4320"/>
          </w:tcPr>
          <w:p>
            <w:r>
              <w:rPr>
                <w:rFonts w:ascii="Times New Roman" w:hAnsi="Times New Roman"/>
                <w:sz w:val="22"/>
              </w:rPr>
              <w:t xml:space="preserve">GovGuard™ is at MVP stage with: (a) 3 trained ML models in production-serialized form; (b) 47 GAO-mapped fraud detection rules; (c) 10 OMB 2 CFR 200-mapped compliance rules; (d) full-stack FastAPI + Next.js 14 application with production build; (e) AWS GovCloud infrastructure; (f) </w:t>
            </w:r>
            <w:r>
              <w:rPr>
                <w:rFonts w:ascii="Times New Roman" w:hAnsi="Times New Roman"/>
                <w:sz w:val="22"/>
              </w:rPr>
              <w:t>70-scenario GAO test dataset</w:t>
            </w:r>
            <w:r>
              <w:rPr>
                <w:rFonts w:ascii="Times New Roman" w:hAnsi="Times New Roman"/>
                <w:sz w:val="22"/>
              </w:rPr>
              <w:t>; (g) 20+ years executive experience of founder; (h) U.S.-incorporated Quantio Global as execution vehicle.</w:t>
            </w:r>
          </w:p>
        </w:tc>
      </w:tr>
      <w:tr>
        <w:tc>
          <w:tcPr>
            <w:tcW w:type="dxa" w:w="4320"/>
          </w:tcPr>
          <w:p>
            <w:r>
              <w:rPr>
                <w:rFonts w:ascii="Times New Roman" w:hAnsi="Times New Roman"/>
                <w:b/>
                <w:sz w:val="22"/>
              </w:rPr>
              <w:t>Prong 3: On Balance, Beneficial to Waive</w:t>
            </w:r>
          </w:p>
        </w:tc>
        <w:tc>
          <w:tcPr>
            <w:tcW w:type="dxa" w:w="4320"/>
          </w:tcPr>
          <w:p>
            <w:r>
              <w:rPr>
                <w:rFonts w:ascii="Times New Roman" w:hAnsi="Times New Roman"/>
                <w:sz w:val="22"/>
              </w:rPr>
              <w:t>Platform-level national solution not bounded by a single employer; Petitioner is founder/job creator, not job displacer; delay cost is measurable in fraud losses; broad adoption potential across federal, state, tribal, and grantee organizations; strong investor attractiveness and ROI; aligns with OMB digital transformation and equity objectives.</w:t>
            </w:r>
          </w:p>
        </w:tc>
      </w:tr>
    </w:tbl>
    <w:p/>
    <w:p>
      <w:pPr>
        <w:spacing w:before="280" w:after="80"/>
      </w:pPr>
      <w:r>
        <w:rPr>
          <w:rFonts w:ascii="Times New Roman" w:hAnsi="Times New Roman"/>
          <w:b/>
          <w:color w:val="00236B"/>
          <w:sz w:val="28"/>
        </w:rPr>
        <w:t>SUPPORTING EXHIBITS AND REFERENCES</w:t>
      </w:r>
    </w:p>
    <w:p>
      <w:pPr>
        <w:spacing w:after="120"/>
        <w:ind w:left="0" w:firstLine="432"/>
        <w:jc w:val="both"/>
      </w:pPr>
      <w:r>
        <w:rPr>
          <w:rFonts w:ascii="Times New Roman" w:hAnsi="Times New Roman"/>
          <w:sz w:val="24"/>
        </w:rPr>
        <w:t>This Exhibit is supported by the following additional exhibits submitted with this petition:</w:t>
      </w:r>
    </w:p>
    <w:p>
      <w:pPr>
        <w:pStyle w:val="ListBullet"/>
        <w:spacing w:after="60"/>
        <w:ind w:left="360"/>
      </w:pPr>
      <w:r>
        <w:rPr>
          <w:rFonts w:ascii="Times New Roman" w:hAnsi="Times New Roman"/>
          <w:sz w:val="24"/>
        </w:rPr>
        <w:t>Exhibit 28.G1: GovGuard™ System Architecture Diagram</w:t>
      </w:r>
    </w:p>
    <w:p>
      <w:pPr>
        <w:pStyle w:val="ListBullet"/>
        <w:spacing w:after="60"/>
        <w:ind w:left="360"/>
      </w:pPr>
      <w:r>
        <w:rPr>
          <w:rFonts w:ascii="Times New Roman" w:hAnsi="Times New Roman"/>
          <w:sz w:val="24"/>
        </w:rPr>
        <w:t>Exhibit 28.G2: Fraud Detection Engine — Rule Library and GAO Mapping (47 Rules)</w:t>
      </w:r>
    </w:p>
    <w:p>
      <w:pPr>
        <w:pStyle w:val="ListBullet"/>
        <w:spacing w:after="60"/>
        <w:ind w:left="360"/>
      </w:pPr>
      <w:r>
        <w:rPr>
          <w:rFonts w:ascii="Times New Roman" w:hAnsi="Times New Roman"/>
          <w:sz w:val="24"/>
        </w:rPr>
        <w:t>Exhibit 28.G3: ML Model Documentation (XGBoost Fraud Classifier, IsolationForest Anomaly Detector, XGBoost Risk Forecaster)</w:t>
      </w:r>
    </w:p>
    <w:p>
      <w:pPr>
        <w:pStyle w:val="ListBullet"/>
        <w:spacing w:after="60"/>
        <w:ind w:left="360"/>
      </w:pPr>
      <w:r>
        <w:rPr>
          <w:rFonts w:ascii="Times New Roman" w:hAnsi="Times New Roman"/>
          <w:sz w:val="24"/>
        </w:rPr>
        <w:t>Exhibit 28.G4: 70-Scenario GAO Test Dataset (govguard_v2_gao_test_dataset.json)</w:t>
      </w:r>
    </w:p>
    <w:p>
      <w:pPr>
        <w:pStyle w:val="ListBullet"/>
        <w:spacing w:after="60"/>
        <w:ind w:left="360"/>
      </w:pPr>
      <w:r>
        <w:rPr>
          <w:rFonts w:ascii="Times New Roman" w:hAnsi="Times New Roman"/>
          <w:sz w:val="24"/>
        </w:rPr>
        <w:t>Exhibit 28.G5: Frontend Dashboard Screenshots and Compliance Interface</w:t>
      </w:r>
    </w:p>
    <w:p>
      <w:pPr>
        <w:pStyle w:val="ListBullet"/>
        <w:spacing w:after="60"/>
        <w:ind w:left="360"/>
      </w:pPr>
      <w:r>
        <w:rPr>
          <w:rFonts w:ascii="Times New Roman" w:hAnsi="Times New Roman"/>
          <w:sz w:val="24"/>
        </w:rPr>
        <w:t>Exhibit 28.G8: System API Output Examples (Fraud Assessment, Risk Prediction, Compliance Monitor)</w:t>
      </w:r>
    </w:p>
    <w:p>
      <w:pPr>
        <w:pStyle w:val="ListBullet"/>
        <w:spacing w:after="60"/>
        <w:ind w:left="360"/>
      </w:pPr>
      <w:r>
        <w:rPr>
          <w:rFonts w:ascii="Times New Roman" w:hAnsi="Times New Roman"/>
          <w:sz w:val="24"/>
        </w:rPr>
        <w:t>Exhibit 18: Compliance Dashboard and KPI Interface</w:t>
      </w:r>
    </w:p>
    <w:p>
      <w:pPr>
        <w:pStyle w:val="ListBullet"/>
        <w:spacing w:after="60"/>
        <w:ind w:left="360"/>
      </w:pPr>
      <w:r>
        <w:rPr>
          <w:rFonts w:ascii="Times New Roman" w:hAnsi="Times New Roman"/>
          <w:sz w:val="24"/>
        </w:rPr>
        <w:t>GAO High Risk Series (GAO-21-119SP): High Risk List Program References</w:t>
      </w:r>
    </w:p>
    <w:p>
      <w:pPr>
        <w:pStyle w:val="ListBullet"/>
        <w:spacing w:after="60"/>
        <w:ind w:left="360"/>
      </w:pPr>
      <w:r>
        <w:rPr>
          <w:rFonts w:ascii="Times New Roman" w:hAnsi="Times New Roman"/>
          <w:sz w:val="24"/>
        </w:rPr>
        <w:t>GAO Report on Improper Payments (GAO-22-104464): Documented Payment Integrity Findings</w:t>
      </w:r>
    </w:p>
    <w:p>
      <w:pPr>
        <w:pStyle w:val="ListBullet"/>
        <w:spacing w:after="60"/>
        <w:ind w:left="360"/>
      </w:pPr>
      <w:r>
        <w:rPr>
          <w:rFonts w:ascii="Times New Roman" w:hAnsi="Times New Roman"/>
          <w:sz w:val="24"/>
        </w:rPr>
        <w:t>OMB Uniform Guidance (2 CFR Part 200): Compliance Framework Reference</w:t>
      </w:r>
    </w:p>
    <w:p>
      <w:pPr>
        <w:pStyle w:val="ListBullet"/>
        <w:spacing w:after="60"/>
        <w:ind w:left="360"/>
      </w:pPr>
      <w:r>
        <w:rPr>
          <w:rFonts w:ascii="Times New Roman" w:hAnsi="Times New Roman"/>
          <w:sz w:val="24"/>
        </w:rPr>
        <w:t>Payment Integrity Information Act of 2019 (Pub. L. 116-117): Legislative Context</w:t>
      </w:r>
    </w:p>
    <w:p>
      <w:pPr>
        <w:pStyle w:val="ListBullet"/>
        <w:spacing w:after="60"/>
        <w:ind w:left="360"/>
      </w:pPr>
      <w:r>
        <w:rPr>
          <w:rFonts w:ascii="Times New Roman" w:hAnsi="Times New Roman"/>
          <w:sz w:val="24"/>
        </w:rPr>
        <w:t>[Insert Website Link Here]: GovGuard™ Platform — Live System</w:t>
      </w:r>
    </w:p>
    <w:p>
      <w:pPr>
        <w:pStyle w:val="ListBullet"/>
        <w:spacing w:after="60"/>
        <w:ind w:left="360"/>
      </w:pPr>
      <w:r>
        <w:rPr>
          <w:rFonts w:ascii="Times New Roman" w:hAnsi="Times New Roman"/>
          <w:sz w:val="24"/>
        </w:rPr>
        <w:t>GitHub Repository (https://github.com/FounderQuantio/Grant-Management-SAAS): Full Source Code, ML Models, Test Dataset</w:t>
      </w:r>
    </w:p>
    <w:p/>
    <w:p>
      <w:pPr>
        <w:spacing w:before="160"/>
        <w:jc w:val="center"/>
      </w:pPr>
      <w:r>
        <w:rPr>
          <w:rFonts w:ascii="Times New Roman" w:hAnsi="Times New Roman"/>
          <w:sz w:val="18"/>
        </w:rPr>
        <w:t>──────────────────────────────────────────────────────────────────────────────────────────</w:t>
      </w:r>
    </w:p>
    <w:p>
      <w:pPr>
        <w:spacing w:before="80"/>
        <w:jc w:val="center"/>
      </w:pPr>
      <w:r>
        <w:rPr>
          <w:rFonts w:ascii="Times New Roman" w:hAnsi="Times New Roman"/>
          <w:i/>
          <w:sz w:val="20"/>
        </w:rPr>
        <w:t>This exhibit was prepared by Muhammad Bilal in support of the above-captioned petition.</w:t>
        <w:br/>
        <w:t>All technical descriptions reflect the actual state of GovGuard™ development as of the petition filing date.</w:t>
        <w:br/>
        <w:t>All referenced source code, model artifacts, and test data are publicly accessible at the GitHub repository listed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