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C00000"/>
          <w:sz w:val="18"/>
          <w:szCs w:val="18"/>
        </w:rPr>
        <w:t xml:space="preserve">CONFIDENTIAL</w:t>
      </w:r>
    </w:p>
    <w:p>
      <w:pPr>
        <w:spacing w:after="80" w:before="0"/>
        <w:jc w:val="center"/>
      </w:pPr>
      <w:r>
        <w:rPr>
          <w:rFonts w:ascii="Arial" w:cs="Arial" w:eastAsia="Arial" w:hAnsi="Arial"/>
          <w:color w:val="555555"/>
          <w:sz w:val="17"/>
          <w:szCs w:val="17"/>
        </w:rPr>
        <w:t xml:space="preserve">Document Classification: For Official Use Only — Attorney-Client Privileged</w:t>
      </w:r>
    </w:p>
    <w:p>
      <w:pPr>
        <w:pBdr>
          <w:bottom w:val="single" w:color="2E75B6" w:sz="6" w:space="1"/>
        </w:pBdr>
        <w:spacing w:after="100" w:before="100"/>
      </w:pPr>
      <w:r>
        <w:rPr>
          <w:rFonts w:ascii="Arial" w:cs="Arial" w:eastAsia="Arial" w:hAnsi="Arial"/>
        </w:rPr>
        <w:t xml:space="preserve"/>
      </w:r>
    </w:p>
    <w:p>
      <w:pPr>
        <w:spacing w:after="40" w:before="200"/>
        <w:jc w:val="center"/>
      </w:pPr>
      <w:r>
        <w:rPr>
          <w:rFonts w:ascii="Arial" w:cs="Arial" w:eastAsia="Arial" w:hAnsi="Arial"/>
          <w:b/>
          <w:bCs/>
          <w:color w:val="1F3864"/>
          <w:sz w:val="44"/>
          <w:szCs w:val="44"/>
        </w:rPr>
        <w:t xml:space="preserve">BUSINESS AND USER REQUIREMENTS</w:t>
      </w:r>
    </w:p>
    <w:p>
      <w:pPr>
        <w:spacing w:after="80" w:before="0"/>
        <w:jc w:val="center"/>
      </w:pPr>
      <w:r>
        <w:rPr>
          <w:rFonts w:ascii="Arial" w:cs="Arial" w:eastAsia="Arial" w:hAnsi="Arial"/>
          <w:b/>
          <w:bCs/>
          <w:color w:val="2E75B6"/>
          <w:sz w:val="30"/>
          <w:szCs w:val="30"/>
        </w:rPr>
        <w:t xml:space="preserve">FOR ENTERPRISE GRANT COMPLIANCE AND FRAUD PREVENTION SYSTEM</w:t>
      </w:r>
    </w:p>
    <w:p>
      <w:pPr>
        <w:spacing w:after="20" w:before="40"/>
        <w:jc w:val="center"/>
      </w:pPr>
      <w:r>
        <w:rPr>
          <w:rFonts w:ascii="Arial" w:cs="Arial" w:eastAsia="Arial" w:hAnsi="Arial"/>
          <w:color w:val="404040"/>
          <w:sz w:val="22"/>
          <w:szCs w:val="22"/>
        </w:rPr>
        <w:t xml:space="preserve">Version 1.0  |  Product: GovGuard™ Enterprise Platform</w:t>
      </w:r>
    </w:p>
    <w:p>
      <w:pPr>
        <w:spacing w:after="80" w:before="0"/>
        <w:jc w:val="center"/>
      </w:pPr>
      <w:r>
        <w:rPr>
          <w:rFonts w:ascii="Arial" w:cs="Arial" w:eastAsia="Arial" w:hAnsi="Arial"/>
          <w:color w:val="555555"/>
          <w:sz w:val="20"/>
          <w:szCs w:val="20"/>
        </w:rPr>
        <w:t xml:space="preserve">System Classification: Enterprise SaaS — Government-Grade  |  FedRAMP Moderate Target</w:t>
      </w:r>
    </w:p>
    <w:p>
      <w:pPr>
        <w:pBdr>
          <w:bottom w:val="single" w:color="2E75B6" w:sz="6" w:space="1"/>
        </w:pBdr>
        <w:spacing w:after="100" w:before="100"/>
      </w:pPr>
      <w:r>
        <w:rPr>
          <w:rFonts w:ascii="Arial" w:cs="Arial" w:eastAsia="Arial" w:hAnsi="Arial"/>
        </w:rPr>
        <w:t xml:space="preserve"/>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1F3864"/>
                <w:sz w:val="19"/>
                <w:szCs w:val="19"/>
              </w:rPr>
              <w:t xml:space="preserve">Prepared By</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Muhammad Bilal, FCA, FCCA, CFA — Financial Governance Automation Specialist</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1F3864"/>
                <w:sz w:val="19"/>
                <w:szCs w:val="19"/>
              </w:rPr>
              <w:t xml:space="preserve">Document Type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Business Requirements Document (BRD) / User Requirements Specification (URS)</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1F3864"/>
                <w:sz w:val="19"/>
                <w:szCs w:val="19"/>
              </w:rPr>
              <w:t xml:space="preserve">Regulatory Basis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OMB Uniform Guidance (2 CFR Part 200); GAO Green Book (2023); COSO Internal Control Framework; FISMA; FedRAMP Moderate</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1F3864"/>
                <w:sz w:val="19"/>
                <w:szCs w:val="19"/>
              </w:rPr>
              <w:t xml:space="preserve">Evidence Base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GAO-23-105678; PRAC FY2023; HUD OIG FY2023; GAO-21-264; HUD OIG H-2022-005; GAO-22-105220; EDA FY2023; PRAC Improper Payments FY2023; OMB M-21-19; Build America Bureau 2022</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r>
              <w:rPr>
                <w:rFonts w:ascii="Arial" w:cs="Arial" w:eastAsia="Arial" w:hAnsi="Arial"/>
                <w:b/>
                <w:bCs/>
                <w:color w:val="1F3864"/>
                <w:sz w:val="19"/>
                <w:szCs w:val="19"/>
              </w:rPr>
              <w:t xml:space="preserve">Target Users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Federal agencies; state/local/tribal grantees; OIG auditors; compliance officers; program managers; grant administrators</w:t>
            </w:r>
          </w:p>
        </w:tc>
      </w:tr>
    </w:tbl>
    <w:p>
      <w:pPr>
        <w:spacing w:after="0" w:before="80"/>
      </w:pPr>
      <w:r>
        <w:rPr>
          <w:rFonts w:ascii="Arial" w:cs="Arial" w:eastAsia="Arial" w:hAnsi="Arial"/>
        </w:rPr>
        <w:t xml:space="preserve"/>
      </w:r>
    </w:p>
    <w:p>
      <w:pPr>
        <w:shd w:fill="F2F2F2" w:val="clear"/>
        <w:spacing w:after="60" w:before="60"/>
        <w:ind w:left="240" w:right="240"/>
      </w:pPr>
      <w:r>
        <w:rPr>
          <w:rFonts w:ascii="Arial" w:cs="Arial" w:eastAsia="Arial" w:hAnsi="Arial"/>
          <w:i/>
          <w:iCs/>
          <w:color w:val="555555"/>
          <w:sz w:val="18"/>
          <w:szCs w:val="18"/>
        </w:rPr>
        <w:t xml:space="preserve">This document translates ten documented, systemic federal grant management failures into actionable system requirements for an enterprise-grade AI-driven compliance and fraud prevention platform. It is structured for use by product development teams, government procurement evaluators, and immigration petition reviewers assessing the national importance and practical viability of the proposed system.</w:t>
      </w:r>
    </w:p>
    <w:p>
      <w:pPr>
        <w:pageBreakBefore/>
      </w:pPr>
      <w:r>
        <w:rPr>
          <w:sz w:val="20"/>
          <w:szCs w:val="20"/>
        </w:rPr>
        <w:t xml:space="preserve"/>
      </w:r>
    </w:p>
    <w:p>
      <w:pPr>
        <w:pStyle w:val="Heading1"/>
        <w:shd w:fill="1F3864" w:val="clear"/>
        <w:spacing w:after="0" w:before="360"/>
        <w:ind w:left="240" w:right="240"/>
      </w:pPr>
      <w:r>
        <w:rPr>
          <w:rFonts w:ascii="Arial" w:cs="Arial" w:eastAsia="Arial" w:hAnsi="Arial"/>
          <w:b/>
          <w:bCs/>
          <w:color w:val="FFFFFF"/>
          <w:sz w:val="30"/>
          <w:szCs w:val="30"/>
        </w:rPr>
        <w:t xml:space="preserve">TABLE OF CONTENTS</w:t>
      </w:r>
    </w:p>
    <w:p>
      <w:pPr>
        <w:spacing w:after="0" w:before="80"/>
      </w:pPr>
      <w:r>
        <w:rPr>
          <w:rFonts w:ascii="Arial" w:cs="Arial" w:eastAsia="Arial" w:hAnsi="Arial"/>
        </w:rPr>
        <w:t xml:space="preserve"/>
      </w:r>
    </w:p>
    <w:p>
      <w:pPr>
        <w:spacing w:after="40" w:before="40"/>
        <w:ind w:left="240"/>
      </w:pPr>
      <w:r>
        <w:rPr>
          <w:rFonts w:ascii="Arial" w:cs="Arial" w:eastAsia="Arial" w:hAnsi="Arial"/>
          <w:b/>
          <w:bCs/>
          <w:color w:val="1F3864"/>
          <w:sz w:val="19"/>
          <w:szCs w:val="19"/>
        </w:rPr>
        <w:t xml:space="preserve">I. </w:t>
      </w:r>
      <w:r>
        <w:rPr>
          <w:rFonts w:ascii="Arial" w:cs="Arial" w:eastAsia="Arial" w:hAnsi="Arial"/>
          <w:color w:val="000000"/>
          <w:sz w:val="19"/>
          <w:szCs w:val="19"/>
        </w:rPr>
        <w:t xml:space="preserve">Executive Summary</w:t>
      </w:r>
    </w:p>
    <w:p>
      <w:pPr>
        <w:spacing w:after="40" w:before="40"/>
        <w:ind w:left="240"/>
      </w:pPr>
      <w:r>
        <w:rPr>
          <w:rFonts w:ascii="Arial" w:cs="Arial" w:eastAsia="Arial" w:hAnsi="Arial"/>
          <w:b/>
          <w:bCs/>
          <w:color w:val="1F3864"/>
          <w:sz w:val="19"/>
          <w:szCs w:val="19"/>
        </w:rPr>
        <w:t xml:space="preserve">II. </w:t>
      </w:r>
      <w:r>
        <w:rPr>
          <w:rFonts w:ascii="Arial" w:cs="Arial" w:eastAsia="Arial" w:hAnsi="Arial"/>
          <w:color w:val="000000"/>
          <w:sz w:val="19"/>
          <w:szCs w:val="19"/>
        </w:rPr>
        <w:t xml:space="preserve">Problem-to-Requirement Mapping Table</w:t>
      </w:r>
    </w:p>
    <w:p>
      <w:pPr>
        <w:spacing w:after="40" w:before="40"/>
        <w:ind w:left="240"/>
      </w:pPr>
      <w:r>
        <w:rPr>
          <w:rFonts w:ascii="Arial" w:cs="Arial" w:eastAsia="Arial" w:hAnsi="Arial"/>
          <w:b/>
          <w:bCs/>
          <w:color w:val="1F3864"/>
          <w:sz w:val="19"/>
          <w:szCs w:val="19"/>
        </w:rPr>
        <w:t xml:space="preserve">III. </w:t>
      </w:r>
      <w:r>
        <w:rPr>
          <w:rFonts w:ascii="Arial" w:cs="Arial" w:eastAsia="Arial" w:hAnsi="Arial"/>
          <w:color w:val="000000"/>
          <w:sz w:val="19"/>
          <w:szCs w:val="19"/>
        </w:rPr>
        <w:t xml:space="preserve">Detailed Requirements by Problem (Core Section)</w:t>
      </w:r>
    </w:p>
    <w:p>
      <w:pPr>
        <w:spacing w:after="40" w:before="40"/>
        <w:ind w:left="240"/>
      </w:pPr>
      <w:r>
        <w:rPr>
          <w:rFonts w:ascii="Arial" w:cs="Arial" w:eastAsia="Arial" w:hAnsi="Arial"/>
          <w:b/>
          <w:bCs/>
          <w:color w:val="1F3864"/>
          <w:sz w:val="19"/>
          <w:szCs w:val="19"/>
        </w:rPr>
        <w:t xml:space="preserve">   III.1 </w:t>
      </w:r>
      <w:r>
        <w:rPr>
          <w:rFonts w:ascii="Arial" w:cs="Arial" w:eastAsia="Arial" w:hAnsi="Arial"/>
          <w:color w:val="000000"/>
          <w:sz w:val="19"/>
          <w:szCs w:val="19"/>
        </w:rPr>
        <w:t xml:space="preserve">Systemic Internal Control Deficiencies</w:t>
      </w:r>
    </w:p>
    <w:p>
      <w:pPr>
        <w:spacing w:after="40" w:before="40"/>
        <w:ind w:left="240"/>
      </w:pPr>
      <w:r>
        <w:rPr>
          <w:rFonts w:ascii="Arial" w:cs="Arial" w:eastAsia="Arial" w:hAnsi="Arial"/>
          <w:b/>
          <w:bCs/>
          <w:color w:val="1F3864"/>
          <w:sz w:val="19"/>
          <w:szCs w:val="19"/>
        </w:rPr>
        <w:t xml:space="preserve">   III.2 </w:t>
      </w:r>
      <w:r>
        <w:rPr>
          <w:rFonts w:ascii="Arial" w:cs="Arial" w:eastAsia="Arial" w:hAnsi="Arial"/>
          <w:color w:val="000000"/>
          <w:sz w:val="19"/>
          <w:szCs w:val="19"/>
        </w:rPr>
        <w:t xml:space="preserve">Improper Payments at Scale</w:t>
      </w:r>
    </w:p>
    <w:p>
      <w:pPr>
        <w:spacing w:after="40" w:before="40"/>
        <w:ind w:left="240"/>
      </w:pPr>
      <w:r>
        <w:rPr>
          <w:rFonts w:ascii="Arial" w:cs="Arial" w:eastAsia="Arial" w:hAnsi="Arial"/>
          <w:b/>
          <w:bCs/>
          <w:color w:val="1F3864"/>
          <w:sz w:val="19"/>
          <w:szCs w:val="19"/>
        </w:rPr>
        <w:t xml:space="preserve">   III.3 </w:t>
      </w:r>
      <w:r>
        <w:rPr>
          <w:rFonts w:ascii="Arial" w:cs="Arial" w:eastAsia="Arial" w:hAnsi="Arial"/>
          <w:color w:val="000000"/>
          <w:sz w:val="19"/>
          <w:szCs w:val="19"/>
        </w:rPr>
        <w:t xml:space="preserve">Fragmented ERP and Financial Information Systems</w:t>
      </w:r>
    </w:p>
    <w:p>
      <w:pPr>
        <w:spacing w:after="40" w:before="40"/>
        <w:ind w:left="240"/>
      </w:pPr>
      <w:r>
        <w:rPr>
          <w:rFonts w:ascii="Arial" w:cs="Arial" w:eastAsia="Arial" w:hAnsi="Arial"/>
          <w:b/>
          <w:bCs/>
          <w:color w:val="1F3864"/>
          <w:sz w:val="19"/>
          <w:szCs w:val="19"/>
        </w:rPr>
        <w:t xml:space="preserve">   III.4 </w:t>
      </w:r>
      <w:r>
        <w:rPr>
          <w:rFonts w:ascii="Arial" w:cs="Arial" w:eastAsia="Arial" w:hAnsi="Arial"/>
          <w:color w:val="000000"/>
          <w:sz w:val="19"/>
          <w:szCs w:val="19"/>
        </w:rPr>
        <w:t xml:space="preserve">Capacity Constraints — Tribal and Rural Grant Administration</w:t>
      </w:r>
    </w:p>
    <w:p>
      <w:pPr>
        <w:spacing w:after="40" w:before="40"/>
        <w:ind w:left="240"/>
      </w:pPr>
      <w:r>
        <w:rPr>
          <w:rFonts w:ascii="Arial" w:cs="Arial" w:eastAsia="Arial" w:hAnsi="Arial"/>
          <w:b/>
          <w:bCs/>
          <w:color w:val="1F3864"/>
          <w:sz w:val="19"/>
          <w:szCs w:val="19"/>
        </w:rPr>
        <w:t xml:space="preserve">   III.5 </w:t>
      </w:r>
      <w:r>
        <w:rPr>
          <w:rFonts w:ascii="Arial" w:cs="Arial" w:eastAsia="Arial" w:hAnsi="Arial"/>
          <w:color w:val="000000"/>
          <w:sz w:val="19"/>
          <w:szCs w:val="19"/>
        </w:rPr>
        <w:t xml:space="preserve">Pre-Award Screening Failures and Duplicate Application Fraud</w:t>
      </w:r>
    </w:p>
    <w:p>
      <w:pPr>
        <w:spacing w:after="40" w:before="40"/>
        <w:ind w:left="240"/>
      </w:pPr>
      <w:r>
        <w:rPr>
          <w:rFonts w:ascii="Arial" w:cs="Arial" w:eastAsia="Arial" w:hAnsi="Arial"/>
          <w:b/>
          <w:bCs/>
          <w:color w:val="1F3864"/>
          <w:sz w:val="19"/>
          <w:szCs w:val="19"/>
        </w:rPr>
        <w:t xml:space="preserve">   III.6 </w:t>
      </w:r>
      <w:r>
        <w:rPr>
          <w:rFonts w:ascii="Arial" w:cs="Arial" w:eastAsia="Arial" w:hAnsi="Arial"/>
          <w:color w:val="000000"/>
          <w:sz w:val="19"/>
          <w:szCs w:val="19"/>
        </w:rPr>
        <w:t xml:space="preserve">Post-Award Transaction Monitoring Failures</w:t>
      </w:r>
    </w:p>
    <w:p>
      <w:pPr>
        <w:spacing w:after="40" w:before="40"/>
        <w:ind w:left="240"/>
      </w:pPr>
      <w:r>
        <w:rPr>
          <w:rFonts w:ascii="Arial" w:cs="Arial" w:eastAsia="Arial" w:hAnsi="Arial"/>
          <w:b/>
          <w:bCs/>
          <w:color w:val="1F3864"/>
          <w:sz w:val="19"/>
          <w:szCs w:val="19"/>
        </w:rPr>
        <w:t xml:space="preserve">   III.7 </w:t>
      </w:r>
      <w:r>
        <w:rPr>
          <w:rFonts w:ascii="Arial" w:cs="Arial" w:eastAsia="Arial" w:hAnsi="Arial"/>
          <w:color w:val="000000"/>
          <w:sz w:val="19"/>
          <w:szCs w:val="19"/>
        </w:rPr>
        <w:t xml:space="preserve">Non-Compliance with OMB Uniform Guidance (2 CFR Part 200)</w:t>
      </w:r>
    </w:p>
    <w:p>
      <w:pPr>
        <w:spacing w:after="40" w:before="40"/>
        <w:ind w:left="240"/>
      </w:pPr>
      <w:r>
        <w:rPr>
          <w:rFonts w:ascii="Arial" w:cs="Arial" w:eastAsia="Arial" w:hAnsi="Arial"/>
          <w:b/>
          <w:bCs/>
          <w:color w:val="1F3864"/>
          <w:sz w:val="19"/>
          <w:szCs w:val="19"/>
        </w:rPr>
        <w:t xml:space="preserve">   III.8 </w:t>
      </w:r>
      <w:r>
        <w:rPr>
          <w:rFonts w:ascii="Arial" w:cs="Arial" w:eastAsia="Arial" w:hAnsi="Arial"/>
          <w:color w:val="000000"/>
          <w:sz w:val="19"/>
          <w:szCs w:val="19"/>
        </w:rPr>
        <w:t xml:space="preserve">Audit Readiness Failures and Single Audit Backlogs</w:t>
      </w:r>
    </w:p>
    <w:p>
      <w:pPr>
        <w:spacing w:after="40" w:before="40"/>
        <w:ind w:left="240"/>
      </w:pPr>
      <w:r>
        <w:rPr>
          <w:rFonts w:ascii="Arial" w:cs="Arial" w:eastAsia="Arial" w:hAnsi="Arial"/>
          <w:b/>
          <w:bCs/>
          <w:color w:val="1F3864"/>
          <w:sz w:val="19"/>
          <w:szCs w:val="19"/>
        </w:rPr>
        <w:t xml:space="preserve">   III.9 </w:t>
      </w:r>
      <w:r>
        <w:rPr>
          <w:rFonts w:ascii="Arial" w:cs="Arial" w:eastAsia="Arial" w:hAnsi="Arial"/>
          <w:color w:val="000000"/>
          <w:sz w:val="19"/>
          <w:szCs w:val="19"/>
        </w:rPr>
        <w:t xml:space="preserve">Equity and Access Gaps in Grant Distribution</w:t>
      </w:r>
    </w:p>
    <w:p>
      <w:pPr>
        <w:spacing w:after="40" w:before="40"/>
        <w:ind w:left="240"/>
      </w:pPr>
      <w:r>
        <w:rPr>
          <w:rFonts w:ascii="Arial" w:cs="Arial" w:eastAsia="Arial" w:hAnsi="Arial"/>
          <w:b/>
          <w:bCs/>
          <w:color w:val="1F3864"/>
          <w:sz w:val="19"/>
          <w:szCs w:val="19"/>
        </w:rPr>
        <w:t xml:space="preserve">   III.10 </w:t>
      </w:r>
      <w:r>
        <w:rPr>
          <w:rFonts w:ascii="Arial" w:cs="Arial" w:eastAsia="Arial" w:hAnsi="Arial"/>
          <w:color w:val="000000"/>
          <w:sz w:val="19"/>
          <w:szCs w:val="19"/>
        </w:rPr>
        <w:t xml:space="preserve">Absence of Real-Time Risk Dashboards and Automated Monitoring</w:t>
      </w:r>
    </w:p>
    <w:p>
      <w:pPr>
        <w:spacing w:after="40" w:before="40"/>
        <w:ind w:left="240"/>
      </w:pPr>
      <w:r>
        <w:rPr>
          <w:rFonts w:ascii="Arial" w:cs="Arial" w:eastAsia="Arial" w:hAnsi="Arial"/>
          <w:b/>
          <w:bCs/>
          <w:color w:val="1F3864"/>
          <w:sz w:val="19"/>
          <w:szCs w:val="19"/>
        </w:rPr>
        <w:t xml:space="preserve">IV. </w:t>
      </w:r>
      <w:r>
        <w:rPr>
          <w:rFonts w:ascii="Arial" w:cs="Arial" w:eastAsia="Arial" w:hAnsi="Arial"/>
          <w:color w:val="000000"/>
          <w:sz w:val="19"/>
          <w:szCs w:val="19"/>
        </w:rPr>
        <w:t xml:space="preserve">System Architecture Overview</w:t>
      </w:r>
    </w:p>
    <w:p>
      <w:pPr>
        <w:spacing w:after="40" w:before="40"/>
        <w:ind w:left="240"/>
      </w:pPr>
      <w:r>
        <w:rPr>
          <w:rFonts w:ascii="Arial" w:cs="Arial" w:eastAsia="Arial" w:hAnsi="Arial"/>
          <w:b/>
          <w:bCs/>
          <w:color w:val="1F3864"/>
          <w:sz w:val="19"/>
          <w:szCs w:val="19"/>
        </w:rPr>
        <w:t xml:space="preserve">V. </w:t>
      </w:r>
      <w:r>
        <w:rPr>
          <w:rFonts w:ascii="Arial" w:cs="Arial" w:eastAsia="Arial" w:hAnsi="Arial"/>
          <w:color w:val="000000"/>
          <w:sz w:val="19"/>
          <w:szCs w:val="19"/>
        </w:rPr>
        <w:t xml:space="preserve">Functional Requirements</w:t>
      </w:r>
    </w:p>
    <w:p>
      <w:pPr>
        <w:spacing w:after="40" w:before="40"/>
        <w:ind w:left="240"/>
      </w:pPr>
      <w:r>
        <w:rPr>
          <w:rFonts w:ascii="Arial" w:cs="Arial" w:eastAsia="Arial" w:hAnsi="Arial"/>
          <w:b/>
          <w:bCs/>
          <w:color w:val="1F3864"/>
          <w:sz w:val="19"/>
          <w:szCs w:val="19"/>
        </w:rPr>
        <w:t xml:space="preserve">VI. </w:t>
      </w:r>
      <w:r>
        <w:rPr>
          <w:rFonts w:ascii="Arial" w:cs="Arial" w:eastAsia="Arial" w:hAnsi="Arial"/>
          <w:color w:val="000000"/>
          <w:sz w:val="19"/>
          <w:szCs w:val="19"/>
        </w:rPr>
        <w:t xml:space="preserve">Non-Functional Requirements</w:t>
      </w:r>
    </w:p>
    <w:p>
      <w:pPr>
        <w:spacing w:after="40" w:before="40"/>
        <w:ind w:left="240"/>
      </w:pPr>
      <w:r>
        <w:rPr>
          <w:rFonts w:ascii="Arial" w:cs="Arial" w:eastAsia="Arial" w:hAnsi="Arial"/>
          <w:b/>
          <w:bCs/>
          <w:color w:val="1F3864"/>
          <w:sz w:val="19"/>
          <w:szCs w:val="19"/>
        </w:rPr>
        <w:t xml:space="preserve">VII. </w:t>
      </w:r>
      <w:r>
        <w:rPr>
          <w:rFonts w:ascii="Arial" w:cs="Arial" w:eastAsia="Arial" w:hAnsi="Arial"/>
          <w:color w:val="000000"/>
          <w:sz w:val="19"/>
          <w:szCs w:val="19"/>
        </w:rPr>
        <w:t xml:space="preserve">Control Framework Alignment</w:t>
      </w:r>
    </w:p>
    <w:p>
      <w:pPr>
        <w:spacing w:after="40" w:before="40"/>
        <w:ind w:left="240"/>
      </w:pPr>
      <w:r>
        <w:rPr>
          <w:rFonts w:ascii="Arial" w:cs="Arial" w:eastAsia="Arial" w:hAnsi="Arial"/>
          <w:b/>
          <w:bCs/>
          <w:color w:val="1F3864"/>
          <w:sz w:val="19"/>
          <w:szCs w:val="19"/>
        </w:rPr>
        <w:t xml:space="preserve">VIII. </w:t>
      </w:r>
      <w:r>
        <w:rPr>
          <w:rFonts w:ascii="Arial" w:cs="Arial" w:eastAsia="Arial" w:hAnsi="Arial"/>
          <w:color w:val="000000"/>
          <w:sz w:val="19"/>
          <w:szCs w:val="19"/>
        </w:rPr>
        <w:t xml:space="preserve">Implementation Considerations</w:t>
      </w:r>
    </w:p>
    <w:p>
      <w:pPr>
        <w:spacing w:after="40" w:before="40"/>
        <w:ind w:left="240"/>
      </w:pPr>
      <w:r>
        <w:rPr>
          <w:rFonts w:ascii="Arial" w:cs="Arial" w:eastAsia="Arial" w:hAnsi="Arial"/>
          <w:b/>
          <w:bCs/>
          <w:color w:val="1F3864"/>
          <w:sz w:val="19"/>
          <w:szCs w:val="19"/>
        </w:rPr>
        <w:t xml:space="preserve">IX. </w:t>
      </w:r>
      <w:r>
        <w:rPr>
          <w:rFonts w:ascii="Arial" w:cs="Arial" w:eastAsia="Arial" w:hAnsi="Arial"/>
          <w:color w:val="000000"/>
          <w:sz w:val="19"/>
          <w:szCs w:val="19"/>
        </w:rPr>
        <w:t xml:space="preserve">Strategic Value Proposition</w:t>
      </w:r>
    </w:p>
    <w:p>
      <w:pPr>
        <w:pageBreakBefore/>
      </w:pPr>
      <w:r>
        <w:rPr>
          <w:sz w:val="20"/>
          <w:szCs w:val="20"/>
        </w:rPr>
        <w:t xml:space="preserve"/>
      </w:r>
    </w:p>
    <w:p>
      <w:pPr>
        <w:pStyle w:val="Heading1"/>
        <w:shd w:fill="1F3864" w:val="clear"/>
        <w:spacing w:after="0" w:before="360"/>
        <w:ind w:left="240" w:right="240"/>
      </w:pPr>
      <w:r>
        <w:rPr>
          <w:rFonts w:ascii="Arial" w:cs="Arial" w:eastAsia="Arial" w:hAnsi="Arial"/>
          <w:b/>
          <w:bCs/>
          <w:color w:val="FFFFFF"/>
          <w:sz w:val="30"/>
          <w:szCs w:val="30"/>
        </w:rPr>
        <w:t xml:space="preserve">SECTION I — EXECUTIVE SUMMARY</w:t>
      </w:r>
    </w:p>
    <w:p>
      <w:pPr>
        <w:spacing w:after="0" w:before="60"/>
      </w:pPr>
      <w:r>
        <w:rPr>
          <w:rFonts w:ascii="Arial" w:cs="Arial" w:eastAsia="Arial" w:hAnsi="Arial"/>
        </w:rPr>
        <w:t xml:space="preserve"/>
      </w:r>
    </w:p>
    <w:p>
      <w:pPr>
        <w:spacing w:after="80" w:before="80"/>
      </w:pPr>
      <w:r>
        <w:rPr>
          <w:rFonts w:ascii="Arial" w:cs="Arial" w:eastAsia="Arial" w:hAnsi="Arial"/>
          <w:b/>
          <w:bCs/>
          <w:color w:val="000000"/>
          <w:sz w:val="20"/>
          <w:szCs w:val="20"/>
        </w:rPr>
        <w:t xml:space="preserve">GovGuard™ Enterprise Platform </w:t>
      </w:r>
      <w:r>
        <w:rPr>
          <w:rFonts w:ascii="Arial" w:cs="Arial" w:eastAsia="Arial" w:hAnsi="Arial"/>
          <w:color w:val="000000"/>
          <w:sz w:val="20"/>
          <w:szCs w:val="20"/>
        </w:rPr>
        <w:t xml:space="preserve">is an enterprise-grade, cloud-native software platform engineered to address the ten most persistent and financially significant systemic failures in U.S. federal grant management, as documented by the Government Accountability Office, the Pandemic Response Accountability Committee, the HUD Office of Inspector General, and the Office of Management and Budget. These failures — including $236 billion in annual improper payments, $45.6 billion in documented pandemic-era grant fraud, and compliance violations in over 63% of HUD-audited programs — represent a structural governance crisis affecting all 24 federal agencies and thousands of state, local, tribal, and nonprofit grantees that administer public funds across all 50 states and U.S. territories.</w:t>
      </w:r>
    </w:p>
    <w:p>
      <w:pPr>
        <w:spacing w:after="0" w:before="40"/>
      </w:pPr>
      <w:r>
        <w:rPr>
          <w:rFonts w:ascii="Arial" w:cs="Arial" w:eastAsia="Arial" w:hAnsi="Arial"/>
        </w:rPr>
        <w:t xml:space="preserve"/>
      </w:r>
    </w:p>
    <w:p>
      <w:pPr>
        <w:spacing w:after="80" w:before="80"/>
      </w:pPr>
      <w:r>
        <w:rPr>
          <w:rFonts w:ascii="Arial" w:cs="Arial" w:eastAsia="Arial" w:hAnsi="Arial"/>
          <w:color w:val="000000"/>
          <w:sz w:val="20"/>
          <w:szCs w:val="20"/>
        </w:rPr>
        <w:t xml:space="preserve">The platform integrates nine purpose-built modules — spanning pre-award fraud screening, real-time payment integrity monitoring, automated 2 CFR Part 200 compliance validation, ERP integration, audit readiness evidence management, and equity analytics — into a unified, multi-tenant SaaS architecture. It is designed to serve the full spectrum of federal award recipients: from large state agencies with enterprise ERP environments to rural municipalities and tribal governments with no dedicated IT staff, providing a guided, plain-language compliance interface in the latter case. The architecture targets FedRAMP Moderate authorization and aligns with FISMA, NIST SP 800-53, the GAO Green Book, and the COSO Internal Control Framework.</w:t>
      </w:r>
    </w:p>
    <w:p>
      <w:pPr>
        <w:spacing w:after="0" w:before="40"/>
      </w:pPr>
      <w:r>
        <w:rPr>
          <w:rFonts w:ascii="Arial" w:cs="Arial" w:eastAsia="Arial" w:hAnsi="Arial"/>
        </w:rPr>
        <w:t xml:space="preserve"/>
      </w:r>
    </w:p>
    <w:p>
      <w:pPr>
        <w:spacing w:after="80" w:before="80"/>
      </w:pPr>
      <w:r>
        <w:rPr>
          <w:rFonts w:ascii="Arial" w:cs="Arial" w:eastAsia="Arial" w:hAnsi="Arial"/>
          <w:color w:val="000000"/>
          <w:sz w:val="20"/>
          <w:szCs w:val="20"/>
        </w:rPr>
        <w:t xml:space="preserve">At its core, GovGuard™ converts retrospective, manual audit-based oversight — which cannot intercept fraud until after disbursement — into a continuous, automated, pre-disbursement control environment. Its AI anomaly detection engine applies machine-learning models (isolation forest, LSTM time-series analysis) to score every transaction before payment, suppressing high-risk disbursements for human review with a target false-positive rate below 8% and model accuracy above 92%. The duplicate invoice detection engine — using both exact and fuzzy matching — targets elimination of one of the most pervasive Single Audit finding categories. The pre-award fraud screener cross-references applicant data against Treasury's Do Not Pay list, SAM.gov exclusions, and a cross-program deduplication engine, addressing the pre-award control gap that enabled $45.6 billion in fraudulent COVID-era grant awards.</w:t>
      </w:r>
    </w:p>
    <w:p>
      <w:pPr>
        <w:spacing w:after="0" w:before="40"/>
      </w:pPr>
      <w:r>
        <w:rPr>
          <w:rFonts w:ascii="Arial" w:cs="Arial" w:eastAsia="Arial" w:hAnsi="Arial"/>
        </w:rPr>
        <w:t xml:space="preserve"/>
      </w:r>
    </w:p>
    <w:p>
      <w:pPr>
        <w:spacing w:after="80" w:before="80"/>
      </w:pPr>
      <w:r>
        <w:rPr>
          <w:rFonts w:ascii="Arial" w:cs="Arial" w:eastAsia="Arial" w:hAnsi="Arial"/>
          <w:color w:val="000000"/>
          <w:sz w:val="20"/>
          <w:szCs w:val="20"/>
        </w:rPr>
        <w:t xml:space="preserve">The platform is purpose-built for the structural gap that no existing commercial solution adequately addresses: open-access, 2 CFR 200-aligned grant compliance monitoring at a cost and usability level accessible to under-resourced grantees. Enterprise compliance platforms such as SAP Grants Management, Workday, and eCivis are designed for large, well-resourced institutions; they do not provide plain-language compliance guidance, offline functionality, or equity analytics oriented toward tribal and distressed-community grantees. GovGuard™ fills this market gap with a modular architecture that enables adoption of individual components without full platform commitment, reducing the financial and technical barrier to entry. An open-access licensing model for Tier 3 (small/under-resourced) grantees further ensures that the equity and access gap documented in OMB M-21-19 and GAO-21-264 is structurally addressed.</w:t>
      </w:r>
    </w:p>
    <w:p>
      <w:pPr>
        <w:spacing w:after="0" w:before="40"/>
      </w:pPr>
      <w:r>
        <w:rPr>
          <w:rFonts w:ascii="Arial" w:cs="Arial" w:eastAsia="Arial" w:hAnsi="Arial"/>
        </w:rPr>
        <w:t xml:space="preserve"/>
      </w:r>
    </w:p>
    <w:p>
      <w:pPr>
        <w:spacing w:after="80" w:before="80"/>
      </w:pPr>
      <w:r>
        <w:rPr>
          <w:rFonts w:ascii="Arial" w:cs="Arial" w:eastAsia="Arial" w:hAnsi="Arial"/>
          <w:color w:val="000000"/>
          <w:sz w:val="20"/>
          <w:szCs w:val="20"/>
        </w:rPr>
        <w:t xml:space="preserve">The platform's strategic objective is measurable national impact: a minimum 25% reduction in improper payment rates among enrolled grantees within 24 months of deployment; a 60% reduction in Single Audit finding rates; a 40% reduction in audit preparation labor hours; and a ≥30% increase in award uptake among eligible tribal and rural jurisdictions currently deterred by compliance burden. These outcomes directly advance the national priorities established in the Infrastructure Investment and Jobs Act, the Inflation Reduction Act, and OMB M-21-19's equity mandate, protecting the responsible stewardship of an estimated $1.2 trillion in active federal grant commitments.</w:t>
      </w:r>
    </w:p>
    <w:p>
      <w:pPr>
        <w:spacing w:after="0" w:before="40"/>
      </w:pPr>
      <w:r>
        <w:rPr>
          <w:rFonts w:ascii="Arial" w:cs="Arial" w:eastAsia="Arial" w:hAnsi="Arial"/>
        </w:rPr>
        <w:t xml:space="preserve"/>
      </w:r>
    </w:p>
    <w:p>
      <w:pPr>
        <w:pBdr>
          <w:left w:val="thick" w:color="2E75B6" w:sz="24"/>
        </w:pBdr>
        <w:shd w:fill="D6E4F0" w:val="clear"/>
        <w:spacing w:after="80" w:before="80"/>
        <w:ind w:left="360" w:right="360"/>
      </w:pPr>
      <w:r>
        <w:rPr>
          <w:rFonts w:ascii="Arial" w:cs="Arial" w:eastAsia="Arial" w:hAnsi="Arial"/>
          <w:b/>
          <w:bCs/>
          <w:color w:val="000000"/>
          <w:sz w:val="20"/>
          <w:szCs w:val="20"/>
        </w:rPr>
        <w:t xml:space="preserve">Evidence Base: </w:t>
      </w:r>
      <w:r>
        <w:rPr>
          <w:rFonts w:ascii="Arial" w:cs="Arial" w:eastAsia="Arial" w:hAnsi="Arial"/>
          <w:color w:val="000000"/>
          <w:sz w:val="20"/>
          <w:szCs w:val="20"/>
        </w:rPr>
        <w:t xml:space="preserve">This document is grounded in findings from GAO-23-105678, PRAC FY2023 Improper Payments Report, HUD OIG FY2023 Annual Report, GAO-21-264, HUD OIG H-2022-005, GAO-22-105220, EDA FY2023 Public Works Guidelines, PRAC Pandemic Response Report 2023, OMB M-21-19, and Build America Bureau Project Finance Guidance 2022.</w:t>
      </w:r>
    </w:p>
    <w:p>
      <w:pPr>
        <w:pageBreakBefore/>
      </w:pPr>
      <w:r>
        <w:rPr>
          <w:sz w:val="20"/>
          <w:szCs w:val="20"/>
        </w:rPr>
        <w:t xml:space="preserve"/>
      </w:r>
    </w:p>
    <w:p>
      <w:pPr>
        <w:pStyle w:val="Heading1"/>
        <w:shd w:fill="1F3864" w:val="clear"/>
        <w:spacing w:after="0" w:before="360"/>
        <w:ind w:left="240" w:right="240"/>
      </w:pPr>
      <w:r>
        <w:rPr>
          <w:rFonts w:ascii="Arial" w:cs="Arial" w:eastAsia="Arial" w:hAnsi="Arial"/>
          <w:b/>
          <w:bCs/>
          <w:color w:val="FFFFFF"/>
          <w:sz w:val="30"/>
          <w:szCs w:val="30"/>
        </w:rPr>
        <w:t xml:space="preserve">SECTION II — PROBLEM-TO-REQUIREMENT MAPPING TABLE</w:t>
      </w:r>
    </w:p>
    <w:p>
      <w:pPr>
        <w:spacing w:after="0" w:before="60"/>
      </w:pPr>
      <w:r>
        <w:rPr>
          <w:rFonts w:ascii="Arial" w:cs="Arial" w:eastAsia="Arial" w:hAnsi="Arial"/>
        </w:rPr>
        <w:t xml:space="preserve"/>
      </w:r>
    </w:p>
    <w:p>
      <w:pPr>
        <w:spacing w:after="80" w:before="0"/>
      </w:pPr>
      <w:r>
        <w:rPr>
          <w:rFonts w:ascii="Arial" w:cs="Arial" w:eastAsia="Arial" w:hAnsi="Arial"/>
          <w:color w:val="000000"/>
          <w:sz w:val="20"/>
          <w:szCs w:val="20"/>
        </w:rPr>
        <w:t xml:space="preserve">The table below maps each of the ten documented national-level problems to its detailed business implications, risk classification, required system capability, designated GovGuard™ module, and implementation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200"/>
        <w:gridCol w:w="2060"/>
        <w:gridCol w:w="1200"/>
        <w:gridCol w:w="800"/>
      </w:tblGrid>
      <w:tr>
        <w:trPr>
          <w:tblHeader/>
        </w:trPr>
        <w:tc>
          <w:tcPr>
            <w:tcW w:type="dxa" w:w="1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Problem Title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Detailed Implications</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Type</w:t>
            </w:r>
          </w:p>
        </w:tc>
        <w:tc>
          <w:tcPr>
            <w:tcW w:type="dxa" w:w="20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 Solution Capability</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System Module</w:t>
            </w:r>
          </w:p>
        </w:tc>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Systemic Internal Control Deficiencies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Unmitigated control gaps result in fraud, waste, and abuse across 28+ High-Risk programs; $236B annual improper payment exposure.</w:t>
            </w:r>
          </w:p>
        </w:tc>
        <w:tc>
          <w:tcPr>
            <w:tcW w:type="dxa" w:w="12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Compliance
+ Fraud</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Automated control-check engine with COSO/GAO Green Book mapping; real-time deviation alerts; remediation workflow.</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Control Matrix Engine</w:t>
            </w:r>
          </w:p>
        </w:tc>
        <w:tc>
          <w:tcPr>
            <w:tcW w:type="dxa" w:w="8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HIGH</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Improper Payments at Scale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Manual, retrospective payment reviews fail to intercept the volume and velocity of federal disbursements; 13-year endemic failure.</w:t>
            </w:r>
          </w:p>
        </w:tc>
        <w:tc>
          <w:tcPr>
            <w:tcW w:type="dxa" w:w="12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Fraud
+ Financial</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AI payment anomaly detection; pre-disbursement risk scoring; duplicate payment suppression engine.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Payment Integrity Engine</w:t>
            </w:r>
          </w:p>
        </w:tc>
        <w:tc>
          <w:tcPr>
            <w:tcW w:type="dxa" w:w="8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HIGH</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Fragmented ERP / Financial Systems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Manual data consolidation, reconciliation failures, delayed reporting; no audit trail continuity across jurisdictions.</w:t>
            </w:r>
          </w:p>
        </w:tc>
        <w:tc>
          <w:tcPr>
            <w:tcW w:type="dxa" w:w="1200"/>
            <w:tcBorders>
              <w:top w:val="single" w:color="CCCCCC" w:sz="4"/>
              <w:left w:val="single" w:color="CCCCCC" w:sz="4"/>
              <w:bottom w:val="single" w:color="CCCCCC" w:sz="4"/>
              <w:right w:val="single" w:color="CCCCCC" w:sz="4"/>
            </w:tcBorders>
            <w:shd w:fill="1F6B75"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Operational
+ Compliance</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ERP integration middleware; standardised chart-of-accounts mapping; API connectors to SAP/Oracle/Workday.</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ERP Integration Hub</w:t>
            </w:r>
          </w:p>
        </w:tc>
        <w:tc>
          <w:tcPr>
            <w:tcW w:type="dxa" w:w="8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HIGH</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Capacity Constraints — Tribal/Rural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Under-resourced grantees cannot self-administer 2 CFR 200 compliance; disproportionate audit findings and funds recovery.</w:t>
            </w:r>
          </w:p>
        </w:tc>
        <w:tc>
          <w:tcPr>
            <w:tcW w:type="dxa" w:w="1200"/>
            <w:tcBorders>
              <w:top w:val="single" w:color="CCCCCC" w:sz="4"/>
              <w:left w:val="single" w:color="CCCCCC" w:sz="4"/>
              <w:bottom w:val="single" w:color="CCCCCC" w:sz="4"/>
              <w:right w:val="single" w:color="CCCCCC" w:sz="4"/>
            </w:tcBorders>
            <w:shd w:fill="1F6B75"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Compliance
+ Equity</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Guided compliance workflows; plain-language control checklists; role-based onboarding wizard; offline-capable modules.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Grantee Onboarding &amp; Compliance Portal</w:t>
            </w:r>
          </w:p>
        </w:tc>
        <w:tc>
          <w:tcPr>
            <w:tcW w:type="dxa" w:w="8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HIGH</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Pre-Award Screening Failures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Duplicate applications, fabricated entities, ineligible applicants receive awards; $45.6B in COVID-era fraudulent grants documented.</w:t>
            </w:r>
          </w:p>
        </w:tc>
        <w:tc>
          <w:tcPr>
            <w:tcW w:type="dxa" w:w="12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Fraud</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Entity deduplication engine; identity risk scoring; budget reasonableness analyzer; cross-program screening API.</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Pre-Award Fraud Screener</w:t>
            </w:r>
          </w:p>
        </w:tc>
        <w:tc>
          <w:tcPr>
            <w:tcW w:type="dxa" w:w="8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HIGH</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Post-Award Transaction Monitoring Failures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$380M+ in unsupported CDBG-DR costs; duplicate invoices and phantom vendors undetected through closeout.</w:t>
            </w:r>
          </w:p>
        </w:tc>
        <w:tc>
          <w:tcPr>
            <w:tcW w:type="dxa" w:w="12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Fraud
+ Financial</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Continuous transaction monitoring; vendor anomaly detection; invoice deduplication; spend-pattern analytics.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Transaction Monitor &amp; Vendor Risk Engine</w:t>
            </w:r>
          </w:p>
        </w:tc>
        <w:tc>
          <w:tcPr>
            <w:tcW w:type="dxa" w:w="8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HIGH</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Non-Compliance with 2 CFR Part 200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63% of HUD audits cite Uniform Guidance violations; disallowed costs, repayment demands, reputational damage.</w:t>
            </w:r>
          </w:p>
        </w:tc>
        <w:tc>
          <w:tcPr>
            <w:tcW w:type="dxa" w:w="12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Compliance</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Real-time 2 CFR 200 compliance checklist automation; cost-principle validation; subrecipient monitoring module.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Compliance Validation Engine</w:t>
            </w:r>
          </w:p>
        </w:tc>
        <w:tc>
          <w:tcPr>
            <w:tcW w:type="dxa" w:w="8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HIGH</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Audit Readiness Failures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40%+ of Single Audits submitted late; 1,800+ pending HUD findings; compounding losses over multi-year periods.</w:t>
            </w:r>
          </w:p>
        </w:tc>
        <w:tc>
          <w:tcPr>
            <w:tcW w:type="dxa" w:w="1200"/>
            <w:tcBorders>
              <w:top w:val="single" w:color="CCCCCC" w:sz="4"/>
              <w:left w:val="single" w:color="CCCCCC" w:sz="4"/>
              <w:bottom w:val="single" w:color="CCCCCC" w:sz="4"/>
              <w:right w:val="single" w:color="CCCCCC" w:sz="4"/>
            </w:tcBorders>
            <w:shd w:fill="1F6B75"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Compliance
+ Operational</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Continuous audit-trail generation; Single Audit preparation workflow; evidence package auto-builder.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Audit Readiness &amp; Evidence Hub</w:t>
            </w:r>
          </w:p>
        </w:tc>
        <w:tc>
          <w:tcPr>
            <w:tcW w:type="dxa" w:w="8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HIGH</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sz w:val="18"/>
                <w:szCs w:val="18"/>
              </w:rPr>
              <w:t xml:space="preserve">Equity / Access Gaps in Grant Distribution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Underserved communities receive disproportionately fewer awards; Puerto Rico received &lt;40% of entitled CDBG-DR disbursements.</w:t>
            </w:r>
          </w:p>
        </w:tc>
        <w:tc>
          <w:tcPr>
            <w:tcW w:type="dxa" w:w="120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Equity
+ Compliance</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Equity analytics dashboard; language-accessible UI; simplified compliance path for Tier 1 small grantees; OMB M-21-19 alignment.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Equity &amp; Access Analytics Module</w:t>
            </w:r>
          </w:p>
        </w:tc>
        <w:tc>
          <w:tcPr>
            <w:tcW w:type="dxa" w:w="800"/>
            <w:tcBorders>
              <w:top w:val="single" w:color="CCCCCC" w:sz="4"/>
              <w:left w:val="single" w:color="CCCCCC" w:sz="4"/>
              <w:bottom w:val="single" w:color="CCCCCC" w:sz="4"/>
              <w:right w:val="single" w:color="CCCCCC" w:sz="4"/>
            </w:tcBorders>
            <w:shd w:fill="1F6B75"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MED</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Absence of Real-Time Monitoring Dashboards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Zero of 50 reviewed Build America projects used real-time monitoring; anomaly detection cited as root-cause absence in 18/22 GAO improper-payment cases.</w:t>
            </w:r>
          </w:p>
        </w:tc>
        <w:tc>
          <w:tcPr>
            <w:tcW w:type="dxa" w:w="12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Operational
+ Fraud</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Live executive dashboard; configurable KPI widgets; automated alert engine; program-level spend heatmaps.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Real-Time Governance Dashboard</w:t>
            </w:r>
          </w:p>
        </w:tc>
        <w:tc>
          <w:tcPr>
            <w:tcW w:type="dxa" w:w="8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HIGH</w:t>
            </w:r>
          </w:p>
        </w:tc>
      </w:tr>
    </w:tbl>
    <w:p>
      <w:pPr>
        <w:pageBreakBefore/>
      </w:pPr>
      <w:r>
        <w:rPr>
          <w:sz w:val="20"/>
          <w:szCs w:val="20"/>
        </w:rPr>
        <w:t xml:space="preserve"/>
      </w:r>
    </w:p>
    <w:p>
      <w:pPr>
        <w:pStyle w:val="Heading1"/>
        <w:shd w:fill="1F3864" w:val="clear"/>
        <w:spacing w:after="0" w:before="360"/>
        <w:ind w:left="240" w:right="240"/>
      </w:pPr>
      <w:r>
        <w:rPr>
          <w:rFonts w:ascii="Arial" w:cs="Arial" w:eastAsia="Arial" w:hAnsi="Arial"/>
          <w:b/>
          <w:bCs/>
          <w:color w:val="FFFFFF"/>
          <w:sz w:val="30"/>
          <w:szCs w:val="30"/>
        </w:rPr>
        <w:t xml:space="preserve">SECTION III — DETAILED REQUIREMENTS BY PROBLEM</w:t>
      </w:r>
    </w:p>
    <w:p>
      <w:pPr>
        <w:spacing w:after="0" w:before="60"/>
      </w:pPr>
      <w:r>
        <w:rPr>
          <w:rFonts w:ascii="Arial" w:cs="Arial" w:eastAsia="Arial" w:hAnsi="Arial"/>
        </w:rPr>
        <w:t xml:space="preserve"/>
      </w:r>
    </w:p>
    <w:p>
      <w:pPr>
        <w:pStyle w:val="Heading2"/>
        <w:shd w:fill="1F3864" w:val="clear"/>
        <w:spacing w:after="0" w:before="240"/>
        <w:ind w:left="180" w:right="180"/>
      </w:pPr>
      <w:r>
        <w:rPr>
          <w:rFonts w:ascii="Arial" w:cs="Arial" w:eastAsia="Arial" w:hAnsi="Arial"/>
          <w:b/>
          <w:bCs/>
          <w:color w:val="FFFFFF"/>
          <w:sz w:val="24"/>
          <w:szCs w:val="24"/>
        </w:rPr>
        <w:t xml:space="preserve">III.1 — Systemic Internal Control Deficiencies in Federal Grant Programs</w:t>
      </w:r>
    </w:p>
    <w:p>
      <w:pPr>
        <w:spacing w:after="0" w:before="4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A. Business Context &amp; Implications</w:t>
      </w:r>
    </w:p>
    <w:p>
      <w:pPr>
        <w:spacing w:after="60" w:before="60"/>
      </w:pPr>
      <w:r>
        <w:rPr>
          <w:rFonts w:ascii="Arial" w:cs="Arial" w:eastAsia="Arial" w:hAnsi="Arial"/>
          <w:color w:val="000000"/>
          <w:sz w:val="20"/>
          <w:szCs w:val="20"/>
        </w:rPr>
        <w:t xml:space="preserve">Federal oversight reports have documented internal control deficiencies as the root structural cause of an estimated $236B in annual improper federal payments. The GAO has maintained 28+ programs on its High Risk List since 1990, with unresolved control weaknesses recurring across administration changes. For grant-administering organizations, inadequate internal controls create four categories of direct harm: (1) financial loss through fraud and waste that is not intercepted at the point of transaction; (2) audit exposure through Single Audit findings that trigger disallowed cost determinations and repayment obligations; (3) regulatory penalties including suspension from federal award programs for repeat violators; and (4) program inefficiency through management time consumed by post-hoc remediation rather than program delivery. Control deficiencies also create downstream liability for federal agency pass-through entities, who share responsibility for subrecipient oversight failures under 2 CFR 200.330.</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B. Root Causes</w:t>
      </w:r>
    </w:p>
    <w:p>
      <w:pPr>
        <w:pStyle w:val="ListParagraph"/>
        <w:numPr>
          <w:ilvl w:val="0"/>
          <w:numId w:val="2"/>
        </w:numPr>
        <w:spacing w:after="40" w:before="40"/>
      </w:pPr>
      <w:r>
        <w:rPr>
          <w:rFonts w:ascii="Arial" w:cs="Arial" w:eastAsia="Arial" w:hAnsi="Arial"/>
          <w:sz w:val="20"/>
          <w:szCs w:val="20"/>
        </w:rPr>
        <w:t xml:space="preserve">Absence of a standardized, pre-mapped control library aligned to both GAO Green Book and 2 CFR 200, forcing each grantee to independently design their control environment.</w:t>
      </w:r>
    </w:p>
    <w:p>
      <w:pPr>
        <w:pStyle w:val="ListParagraph"/>
        <w:numPr>
          <w:ilvl w:val="0"/>
          <w:numId w:val="2"/>
        </w:numPr>
        <w:spacing w:after="40" w:before="40"/>
      </w:pPr>
      <w:r>
        <w:rPr>
          <w:rFonts w:ascii="Arial" w:cs="Arial" w:eastAsia="Arial" w:hAnsi="Arial"/>
          <w:sz w:val="20"/>
          <w:szCs w:val="20"/>
        </w:rPr>
        <w:t xml:space="preserve">Manual control testing conducted annually rather than continuously, creating a 12-month detection gap for new or evolving control failures.</w:t>
      </w:r>
    </w:p>
    <w:p>
      <w:pPr>
        <w:pStyle w:val="ListParagraph"/>
        <w:numPr>
          <w:ilvl w:val="0"/>
          <w:numId w:val="2"/>
        </w:numPr>
        <w:spacing w:after="40" w:before="40"/>
      </w:pPr>
      <w:r>
        <w:rPr>
          <w:rFonts w:ascii="Arial" w:cs="Arial" w:eastAsia="Arial" w:hAnsi="Arial"/>
          <w:sz w:val="20"/>
          <w:szCs w:val="20"/>
        </w:rPr>
        <w:t xml:space="preserve">No automated linkage between ERP transaction data and control test results, requiring auditors to manually sample and test transactions.</w:t>
      </w:r>
    </w:p>
    <w:p>
      <w:pPr>
        <w:pStyle w:val="ListParagraph"/>
        <w:numPr>
          <w:ilvl w:val="0"/>
          <w:numId w:val="2"/>
        </w:numPr>
        <w:spacing w:after="40" w:before="40"/>
      </w:pPr>
      <w:r>
        <w:rPr>
          <w:rFonts w:ascii="Arial" w:cs="Arial" w:eastAsia="Arial" w:hAnsi="Arial"/>
          <w:sz w:val="20"/>
          <w:szCs w:val="20"/>
        </w:rPr>
        <w:t xml:space="preserve">Turnover in grant management staff at state and local levels disrupts institutional knowledge of control requirements.</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C. Required Functional Capabilities</w:t>
      </w:r>
    </w:p>
    <w:p>
      <w:pPr>
        <w:pStyle w:val="ListParagraph"/>
        <w:numPr>
          <w:ilvl w:val="0"/>
          <w:numId w:val="2"/>
        </w:numPr>
        <w:spacing w:after="40" w:before="40"/>
      </w:pPr>
      <w:r>
        <w:rPr>
          <w:rFonts w:ascii="Arial" w:cs="Arial" w:eastAsia="Arial" w:hAnsi="Arial"/>
          <w:sz w:val="20"/>
          <w:szCs w:val="20"/>
        </w:rPr>
        <w:t xml:space="preserve">Automated control library with 130+ controls pre-mapped to 2 CFR 200 clauses and all 17 GAO Green Book principles.</w:t>
      </w:r>
    </w:p>
    <w:p>
      <w:pPr>
        <w:pStyle w:val="ListParagraph"/>
        <w:numPr>
          <w:ilvl w:val="0"/>
          <w:numId w:val="2"/>
        </w:numPr>
        <w:spacing w:after="40" w:before="40"/>
      </w:pPr>
      <w:r>
        <w:rPr>
          <w:rFonts w:ascii="Arial" w:cs="Arial" w:eastAsia="Arial" w:hAnsi="Arial"/>
          <w:sz w:val="20"/>
          <w:szCs w:val="20"/>
        </w:rPr>
        <w:t xml:space="preserve">Continuous automated control testing against live ERP transaction data with real-time pass/fail determination.</w:t>
      </w:r>
    </w:p>
    <w:p>
      <w:pPr>
        <w:pStyle w:val="ListParagraph"/>
        <w:numPr>
          <w:ilvl w:val="0"/>
          <w:numId w:val="2"/>
        </w:numPr>
        <w:spacing w:after="40" w:before="40"/>
      </w:pPr>
      <w:r>
        <w:rPr>
          <w:rFonts w:ascii="Arial" w:cs="Arial" w:eastAsia="Arial" w:hAnsi="Arial"/>
          <w:sz w:val="20"/>
          <w:szCs w:val="20"/>
        </w:rPr>
        <w:t xml:space="preserve">Control deviation alert engine routing failures to the responsible control owner with documented remediation workflow.</w:t>
      </w:r>
    </w:p>
    <w:p>
      <w:pPr>
        <w:pStyle w:val="ListParagraph"/>
        <w:numPr>
          <w:ilvl w:val="0"/>
          <w:numId w:val="2"/>
        </w:numPr>
        <w:spacing w:after="40" w:before="40"/>
      </w:pPr>
      <w:r>
        <w:rPr>
          <w:rFonts w:ascii="Arial" w:cs="Arial" w:eastAsia="Arial" w:hAnsi="Arial"/>
          <w:sz w:val="20"/>
          <w:szCs w:val="20"/>
        </w:rPr>
        <w:t xml:space="preserve">Control effectiveness scoring (0–100) per domain, refreshed daily and displayed on the governance dashboard.</w:t>
      </w:r>
    </w:p>
    <w:p>
      <w:pPr>
        <w:pStyle w:val="ListParagraph"/>
        <w:numPr>
          <w:ilvl w:val="0"/>
          <w:numId w:val="2"/>
        </w:numPr>
        <w:spacing w:after="40" w:before="40"/>
      </w:pPr>
      <w:r>
        <w:rPr>
          <w:rFonts w:ascii="Arial" w:cs="Arial" w:eastAsia="Arial" w:hAnsi="Arial"/>
          <w:sz w:val="20"/>
          <w:szCs w:val="20"/>
        </w:rPr>
        <w:t xml:space="preserve">Version-controlled control library enabling regulatory update deployment without code changes.</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D. Preventive Controls</w:t>
      </w:r>
    </w:p>
    <w:p>
      <w:pPr>
        <w:pStyle w:val="ListParagraph"/>
        <w:numPr>
          <w:ilvl w:val="0"/>
          <w:numId w:val="2"/>
        </w:numPr>
        <w:spacing w:after="40" w:before="40"/>
      </w:pPr>
      <w:r>
        <w:rPr>
          <w:rFonts w:ascii="Arial" w:cs="Arial" w:eastAsia="Arial" w:hAnsi="Arial"/>
          <w:sz w:val="20"/>
          <w:szCs w:val="20"/>
        </w:rPr>
        <w:t xml:space="preserve">Block transaction categories not authorized under the grant agreement's budget structure before GL posting.</w:t>
      </w:r>
    </w:p>
    <w:p>
      <w:pPr>
        <w:pStyle w:val="ListParagraph"/>
        <w:numPr>
          <w:ilvl w:val="0"/>
          <w:numId w:val="2"/>
        </w:numPr>
        <w:spacing w:after="40" w:before="40"/>
      </w:pPr>
      <w:r>
        <w:rPr>
          <w:rFonts w:ascii="Arial" w:cs="Arial" w:eastAsia="Arial" w:hAnsi="Arial"/>
          <w:sz w:val="20"/>
          <w:szCs w:val="20"/>
        </w:rPr>
        <w:t xml:space="preserve">Enforce segregation of duties matrix preventing the same user from performing initiation, approval, and posting.</w:t>
      </w:r>
    </w:p>
    <w:p>
      <w:pPr>
        <w:pStyle w:val="ListParagraph"/>
        <w:numPr>
          <w:ilvl w:val="0"/>
          <w:numId w:val="2"/>
        </w:numPr>
        <w:spacing w:after="40" w:before="40"/>
      </w:pPr>
      <w:r>
        <w:rPr>
          <w:rFonts w:ascii="Arial" w:cs="Arial" w:eastAsia="Arial" w:hAnsi="Arial"/>
          <w:sz w:val="20"/>
          <w:szCs w:val="20"/>
        </w:rPr>
        <w:t xml:space="preserve">Require documented approval evidence (electronic signature) for all expenditures above user-configurable thresholds.</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E. Detective Controls</w:t>
      </w:r>
    </w:p>
    <w:p>
      <w:pPr>
        <w:pStyle w:val="ListParagraph"/>
        <w:numPr>
          <w:ilvl w:val="0"/>
          <w:numId w:val="2"/>
        </w:numPr>
        <w:spacing w:after="40" w:before="40"/>
      </w:pPr>
      <w:r>
        <w:rPr>
          <w:rFonts w:ascii="Arial" w:cs="Arial" w:eastAsia="Arial" w:hAnsi="Arial"/>
          <w:sz w:val="20"/>
          <w:szCs w:val="20"/>
        </w:rPr>
        <w:t xml:space="preserve">Daily automated scanning of all posted transactions against cost-principle rules (2 CFR 200.400–475) to surface disallowed cost indicators.</w:t>
      </w:r>
    </w:p>
    <w:p>
      <w:pPr>
        <w:pStyle w:val="ListParagraph"/>
        <w:numPr>
          <w:ilvl w:val="0"/>
          <w:numId w:val="2"/>
        </w:numPr>
        <w:spacing w:after="40" w:before="40"/>
      </w:pPr>
      <w:r>
        <w:rPr>
          <w:rFonts w:ascii="Arial" w:cs="Arial" w:eastAsia="Arial" w:hAnsi="Arial"/>
          <w:sz w:val="20"/>
          <w:szCs w:val="20"/>
        </w:rPr>
        <w:t xml:space="preserve">Monthly control effectiveness score trend analysis flagging deteriorating control domains for management review.</w:t>
      </w:r>
    </w:p>
    <w:p>
      <w:pPr>
        <w:pStyle w:val="ListParagraph"/>
        <w:numPr>
          <w:ilvl w:val="0"/>
          <w:numId w:val="2"/>
        </w:numPr>
        <w:spacing w:after="40" w:before="40"/>
      </w:pPr>
      <w:r>
        <w:rPr>
          <w:rFonts w:ascii="Arial" w:cs="Arial" w:eastAsia="Arial" w:hAnsi="Arial"/>
          <w:sz w:val="20"/>
          <w:szCs w:val="20"/>
        </w:rPr>
        <w:t xml:space="preserve">Cross-grant control comparison identifying outlier grantees with persistently low scores for targeted technical assistance.</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F. Data Requirements</w:t>
      </w:r>
    </w:p>
    <w:p>
      <w:pPr>
        <w:pStyle w:val="ListParagraph"/>
        <w:numPr>
          <w:ilvl w:val="0"/>
          <w:numId w:val="2"/>
        </w:numPr>
        <w:spacing w:after="40" w:before="40"/>
      </w:pPr>
      <w:r>
        <w:rPr>
          <w:rFonts w:ascii="Arial" w:cs="Arial" w:eastAsia="Arial" w:hAnsi="Arial"/>
          <w:sz w:val="20"/>
          <w:szCs w:val="20"/>
        </w:rPr>
        <w:t xml:space="preserve">ERP general ledger transaction detail (account code, amount, date, approver, cost objective).</w:t>
      </w:r>
    </w:p>
    <w:p>
      <w:pPr>
        <w:pStyle w:val="ListParagraph"/>
        <w:numPr>
          <w:ilvl w:val="0"/>
          <w:numId w:val="2"/>
        </w:numPr>
        <w:spacing w:after="40" w:before="40"/>
      </w:pPr>
      <w:r>
        <w:rPr>
          <w:rFonts w:ascii="Arial" w:cs="Arial" w:eastAsia="Arial" w:hAnsi="Arial"/>
          <w:sz w:val="20"/>
          <w:szCs w:val="20"/>
        </w:rPr>
        <w:t xml:space="preserve">Grant award documents (approved budget, allowable cost categories, period of performance).</w:t>
      </w:r>
    </w:p>
    <w:p>
      <w:pPr>
        <w:pStyle w:val="ListParagraph"/>
        <w:numPr>
          <w:ilvl w:val="0"/>
          <w:numId w:val="2"/>
        </w:numPr>
        <w:spacing w:after="40" w:before="40"/>
      </w:pPr>
      <w:r>
        <w:rPr>
          <w:rFonts w:ascii="Arial" w:cs="Arial" w:eastAsia="Arial" w:hAnsi="Arial"/>
          <w:sz w:val="20"/>
          <w:szCs w:val="20"/>
        </w:rPr>
        <w:t xml:space="preserve">User identity and role data for SoD enforcement.</w:t>
      </w:r>
    </w:p>
    <w:p>
      <w:pPr>
        <w:pStyle w:val="ListParagraph"/>
        <w:numPr>
          <w:ilvl w:val="0"/>
          <w:numId w:val="2"/>
        </w:numPr>
        <w:spacing w:after="40" w:before="40"/>
      </w:pPr>
      <w:r>
        <w:rPr>
          <w:rFonts w:ascii="Arial" w:cs="Arial" w:eastAsia="Arial" w:hAnsi="Arial"/>
          <w:sz w:val="20"/>
          <w:szCs w:val="20"/>
        </w:rPr>
        <w:t xml:space="preserve">Regulatory ruleset database (2 CFR 200; GAO Green Book; agency-specific program requirements).</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G. User Roles &amp; Needs</w:t>
      </w:r>
    </w:p>
    <w:p>
      <w:pPr>
        <w:pStyle w:val="ListParagraph"/>
        <w:numPr>
          <w:ilvl w:val="0"/>
          <w:numId w:val="2"/>
        </w:numPr>
        <w:spacing w:after="40" w:before="40"/>
      </w:pPr>
      <w:r>
        <w:rPr>
          <w:rFonts w:ascii="Arial" w:cs="Arial" w:eastAsia="Arial" w:hAnsi="Arial"/>
          <w:sz w:val="20"/>
          <w:szCs w:val="20"/>
        </w:rPr>
        <w:t xml:space="preserve">Federal Agency Program Officers: Need real-time grantee control scores to prioritize monitoring visits; view at-a-glance compliance dashboard.</w:t>
      </w:r>
    </w:p>
    <w:p>
      <w:pPr>
        <w:pStyle w:val="ListParagraph"/>
        <w:numPr>
          <w:ilvl w:val="0"/>
          <w:numId w:val="2"/>
        </w:numPr>
        <w:spacing w:after="40" w:before="40"/>
      </w:pPr>
      <w:r>
        <w:rPr>
          <w:rFonts w:ascii="Arial" w:cs="Arial" w:eastAsia="Arial" w:hAnsi="Arial"/>
          <w:sz w:val="20"/>
          <w:szCs w:val="20"/>
        </w:rPr>
        <w:t xml:space="preserve">State/Local Compliance Officers: Need guided control checklists with plain-language explanations and remediation templates.</w:t>
      </w:r>
    </w:p>
    <w:p>
      <w:pPr>
        <w:pStyle w:val="ListParagraph"/>
        <w:numPr>
          <w:ilvl w:val="0"/>
          <w:numId w:val="2"/>
        </w:numPr>
        <w:spacing w:after="40" w:before="40"/>
      </w:pPr>
      <w:r>
        <w:rPr>
          <w:rFonts w:ascii="Arial" w:cs="Arial" w:eastAsia="Arial" w:hAnsi="Arial"/>
          <w:sz w:val="20"/>
          <w:szCs w:val="20"/>
        </w:rPr>
        <w:t xml:space="preserve">Tribal Grant Administrators: Need offline-capable control checklists with simple yes/no formats and automatic documentation capture.</w:t>
      </w:r>
    </w:p>
    <w:p>
      <w:pPr>
        <w:pStyle w:val="ListParagraph"/>
        <w:numPr>
          <w:ilvl w:val="0"/>
          <w:numId w:val="2"/>
        </w:numPr>
        <w:spacing w:after="40" w:before="40"/>
      </w:pPr>
      <w:r>
        <w:rPr>
          <w:rFonts w:ascii="Arial" w:cs="Arial" w:eastAsia="Arial" w:hAnsi="Arial"/>
          <w:sz w:val="20"/>
          <w:szCs w:val="20"/>
        </w:rPr>
        <w:t xml:space="preserve">Internal/External Auditors: Need automated control test results, exception reports, and evidence packages in audit-workpaper format.</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H. Expected Outcomes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 (Current State)</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(Post-Deployment)</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Internal control finding rate per Single Audit</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Average 4.2 findings per grantee (HUD OIG FY2023)</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&lt;1.5 findings per grantee within 24 months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Control test coverage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&lt;10% of transactions tested (manual sampling)</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100% of transactions tested continuously</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Time to detect control failure</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Average 11 months (next audit cycle)</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&lt;24 hours (real-time detection)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Disallowed cost rate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63% of HUD audits cite disallowed costs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&lt;20% within 24 months</w:t>
            </w:r>
          </w:p>
        </w:tc>
      </w:tr>
    </w:tbl>
    <w:p>
      <w:pPr>
        <w:pageBreakBefore/>
      </w:pPr>
      <w:r>
        <w:rPr>
          <w:sz w:val="20"/>
          <w:szCs w:val="20"/>
        </w:rPr>
        <w:t xml:space="preserve"/>
      </w:r>
    </w:p>
    <w:p>
      <w:pPr>
        <w:pStyle w:val="Heading2"/>
        <w:shd w:fill="1F3864" w:val="clear"/>
        <w:spacing w:after="0" w:before="240"/>
        <w:ind w:left="180" w:right="180"/>
      </w:pPr>
      <w:r>
        <w:rPr>
          <w:rFonts w:ascii="Arial" w:cs="Arial" w:eastAsia="Arial" w:hAnsi="Arial"/>
          <w:b/>
          <w:bCs/>
          <w:color w:val="FFFFFF"/>
          <w:sz w:val="24"/>
          <w:szCs w:val="24"/>
        </w:rPr>
        <w:t xml:space="preserve">III.2 — Improper Payments at Scale</w:t>
      </w:r>
    </w:p>
    <w:p>
      <w:pPr>
        <w:spacing w:after="0" w:before="4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A. Business Context &amp; Implications</w:t>
      </w:r>
    </w:p>
    <w:p>
      <w:pPr>
        <w:spacing w:after="60" w:before="60"/>
      </w:pPr>
      <w:r>
        <w:rPr>
          <w:rFonts w:ascii="Arial" w:cs="Arial" w:eastAsia="Arial" w:hAnsi="Arial"/>
          <w:color w:val="000000"/>
          <w:sz w:val="20"/>
          <w:szCs w:val="20"/>
        </w:rPr>
        <w:t xml:space="preserve">Federal improper payments — defined by the Improper Payments Information Act as payments made in incorrect amounts, to ineligible recipients, or for unsupported costs — totaled $236 billion in FY2022, continuing a 13-year trend of annual improper payments exceeding $100 billion. PRAC's FY2023 analysis identified pandemic-era improper payments exceeding $175 billion in unemployment insurance alone. For grant programs specifically, improper payments generate repayment demands that destabilize program delivery, erode public trust, and consume disproportionate management resources in audit remediation. The financial magnitude of this problem — now representing approximately 6% of all federal outlays — constitutes the largest single preventable financial loss in the domestic discretionary budget.</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B. Root Causes</w:t>
      </w:r>
    </w:p>
    <w:p>
      <w:pPr>
        <w:pStyle w:val="ListParagraph"/>
        <w:numPr>
          <w:ilvl w:val="0"/>
          <w:numId w:val="2"/>
        </w:numPr>
        <w:spacing w:after="40" w:before="40"/>
      </w:pPr>
      <w:r>
        <w:rPr>
          <w:rFonts w:ascii="Arial" w:cs="Arial" w:eastAsia="Arial" w:hAnsi="Arial"/>
          <w:sz w:val="20"/>
          <w:szCs w:val="20"/>
        </w:rPr>
        <w:t xml:space="preserve">Payment processing conducted without pre-disbursement automated risk scoring.</w:t>
      </w:r>
    </w:p>
    <w:p>
      <w:pPr>
        <w:pStyle w:val="ListParagraph"/>
        <w:numPr>
          <w:ilvl w:val="0"/>
          <w:numId w:val="2"/>
        </w:numPr>
        <w:spacing w:after="40" w:before="40"/>
      </w:pPr>
      <w:r>
        <w:rPr>
          <w:rFonts w:ascii="Arial" w:cs="Arial" w:eastAsia="Arial" w:hAnsi="Arial"/>
          <w:sz w:val="20"/>
          <w:szCs w:val="20"/>
        </w:rPr>
        <w:t xml:space="preserve">Manual payment review processes cannot match the velocity of federal disbursements.</w:t>
      </w:r>
    </w:p>
    <w:p>
      <w:pPr>
        <w:pStyle w:val="ListParagraph"/>
        <w:numPr>
          <w:ilvl w:val="0"/>
          <w:numId w:val="2"/>
        </w:numPr>
        <w:spacing w:after="40" w:before="40"/>
      </w:pPr>
      <w:r>
        <w:rPr>
          <w:rFonts w:ascii="Arial" w:cs="Arial" w:eastAsia="Arial" w:hAnsi="Arial"/>
          <w:sz w:val="20"/>
          <w:szCs w:val="20"/>
        </w:rPr>
        <w:t xml:space="preserve">No cross-program entity database to identify recipients receiving payments from multiple programs simultaneously.</w:t>
      </w:r>
    </w:p>
    <w:p>
      <w:pPr>
        <w:pStyle w:val="ListParagraph"/>
        <w:numPr>
          <w:ilvl w:val="0"/>
          <w:numId w:val="2"/>
        </w:numPr>
        <w:spacing w:after="40" w:before="40"/>
      </w:pPr>
      <w:r>
        <w:rPr>
          <w:rFonts w:ascii="Arial" w:cs="Arial" w:eastAsia="Arial" w:hAnsi="Arial"/>
          <w:sz w:val="20"/>
          <w:szCs w:val="20"/>
        </w:rPr>
        <w:t xml:space="preserve">Treasury's Do Not Pay (DNP) list integration is incomplete or conducted only at award issuance, not at each payment.</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C. Required Functional Capabilities</w:t>
      </w:r>
    </w:p>
    <w:p>
      <w:pPr>
        <w:pStyle w:val="ListParagraph"/>
        <w:numPr>
          <w:ilvl w:val="0"/>
          <w:numId w:val="2"/>
        </w:numPr>
        <w:spacing w:after="40" w:before="40"/>
      </w:pPr>
      <w:r>
        <w:rPr>
          <w:rFonts w:ascii="Arial" w:cs="Arial" w:eastAsia="Arial" w:hAnsi="Arial"/>
          <w:sz w:val="20"/>
          <w:szCs w:val="20"/>
        </w:rPr>
        <w:t xml:space="preserve">AI risk-scoring engine assigning a 0–100 score to every payment request before disbursement.</w:t>
      </w:r>
    </w:p>
    <w:p>
      <w:pPr>
        <w:pStyle w:val="ListParagraph"/>
        <w:numPr>
          <w:ilvl w:val="0"/>
          <w:numId w:val="2"/>
        </w:numPr>
        <w:spacing w:after="40" w:before="40"/>
      </w:pPr>
      <w:r>
        <w:rPr>
          <w:rFonts w:ascii="Arial" w:cs="Arial" w:eastAsia="Arial" w:hAnsi="Arial"/>
          <w:sz w:val="20"/>
          <w:szCs w:val="20"/>
        </w:rPr>
        <w:t xml:space="preserve">Pre-disbursement DNP list check at the transaction level (not only at award).</w:t>
      </w:r>
    </w:p>
    <w:p>
      <w:pPr>
        <w:pStyle w:val="ListParagraph"/>
        <w:numPr>
          <w:ilvl w:val="0"/>
          <w:numId w:val="2"/>
        </w:numPr>
        <w:spacing w:after="40" w:before="40"/>
      </w:pPr>
      <w:r>
        <w:rPr>
          <w:rFonts w:ascii="Arial" w:cs="Arial" w:eastAsia="Arial" w:hAnsi="Arial"/>
          <w:sz w:val="20"/>
          <w:szCs w:val="20"/>
        </w:rPr>
        <w:t xml:space="preserve">Duplicate payment detection using exact and fuzzy matching across invoice number, vendor, amount, and date.</w:t>
      </w:r>
    </w:p>
    <w:p>
      <w:pPr>
        <w:pStyle w:val="ListParagraph"/>
        <w:numPr>
          <w:ilvl w:val="0"/>
          <w:numId w:val="2"/>
        </w:numPr>
        <w:spacing w:after="40" w:before="40"/>
      </w:pPr>
      <w:r>
        <w:rPr>
          <w:rFonts w:ascii="Arial" w:cs="Arial" w:eastAsia="Arial" w:hAnsi="Arial"/>
          <w:sz w:val="20"/>
          <w:szCs w:val="20"/>
        </w:rPr>
        <w:t xml:space="preserve">Payment velocity monitoring flagging anomalous spending acceleration.</w:t>
      </w:r>
    </w:p>
    <w:p>
      <w:pPr>
        <w:pStyle w:val="ListParagraph"/>
        <w:numPr>
          <w:ilvl w:val="0"/>
          <w:numId w:val="2"/>
        </w:numPr>
        <w:spacing w:after="40" w:before="40"/>
      </w:pPr>
      <w:r>
        <w:rPr>
          <w:rFonts w:ascii="Arial" w:cs="Arial" w:eastAsia="Arial" w:hAnsi="Arial"/>
          <w:sz w:val="20"/>
          <w:szCs w:val="20"/>
        </w:rPr>
        <w:t xml:space="preserve">Configurable risk thresholds enabling agency-specific policy enforcement (e.g., auto-hold at score ≥75).</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D. Preventive Controls</w:t>
      </w:r>
    </w:p>
    <w:p>
      <w:pPr>
        <w:pStyle w:val="ListParagraph"/>
        <w:numPr>
          <w:ilvl w:val="0"/>
          <w:numId w:val="2"/>
        </w:numPr>
        <w:spacing w:after="40" w:before="40"/>
      </w:pPr>
      <w:r>
        <w:rPr>
          <w:rFonts w:ascii="Arial" w:cs="Arial" w:eastAsia="Arial" w:hAnsi="Arial"/>
          <w:sz w:val="20"/>
          <w:szCs w:val="20"/>
        </w:rPr>
        <w:t xml:space="preserve">Hard block on payments to entities on SAM.gov exclusions list.</w:t>
      </w:r>
    </w:p>
    <w:p>
      <w:pPr>
        <w:pStyle w:val="ListParagraph"/>
        <w:numPr>
          <w:ilvl w:val="0"/>
          <w:numId w:val="2"/>
        </w:numPr>
        <w:spacing w:after="40" w:before="40"/>
      </w:pPr>
      <w:r>
        <w:rPr>
          <w:rFonts w:ascii="Arial" w:cs="Arial" w:eastAsia="Arial" w:hAnsi="Arial"/>
          <w:sz w:val="20"/>
          <w:szCs w:val="20"/>
        </w:rPr>
        <w:t xml:space="preserve">Soft hold (human review required) on payments scoring ≥75 on AI risk model.</w:t>
      </w:r>
    </w:p>
    <w:p>
      <w:pPr>
        <w:pStyle w:val="ListParagraph"/>
        <w:numPr>
          <w:ilvl w:val="0"/>
          <w:numId w:val="2"/>
        </w:numPr>
        <w:spacing w:after="40" w:before="40"/>
      </w:pPr>
      <w:r>
        <w:rPr>
          <w:rFonts w:ascii="Arial" w:cs="Arial" w:eastAsia="Arial" w:hAnsi="Arial"/>
          <w:sz w:val="20"/>
          <w:szCs w:val="20"/>
        </w:rPr>
        <w:t xml:space="preserve">Duplicate suppression preventing re-processing of identical invoice within a configurable window.</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E. Detective Controls</w:t>
      </w:r>
    </w:p>
    <w:p>
      <w:pPr>
        <w:pStyle w:val="ListParagraph"/>
        <w:numPr>
          <w:ilvl w:val="0"/>
          <w:numId w:val="2"/>
        </w:numPr>
        <w:spacing w:after="40" w:before="40"/>
      </w:pPr>
      <w:r>
        <w:rPr>
          <w:rFonts w:ascii="Arial" w:cs="Arial" w:eastAsia="Arial" w:hAnsi="Arial"/>
          <w:sz w:val="20"/>
          <w:szCs w:val="20"/>
        </w:rPr>
        <w:t xml:space="preserve">Post-payment statistical sampling flagging payments that bypassed automated controls with documented justifications.</w:t>
      </w:r>
    </w:p>
    <w:p>
      <w:pPr>
        <w:pStyle w:val="ListParagraph"/>
        <w:numPr>
          <w:ilvl w:val="0"/>
          <w:numId w:val="2"/>
        </w:numPr>
        <w:spacing w:after="40" w:before="40"/>
      </w:pPr>
      <w:r>
        <w:rPr>
          <w:rFonts w:ascii="Arial" w:cs="Arial" w:eastAsia="Arial" w:hAnsi="Arial"/>
          <w:sz w:val="20"/>
          <w:szCs w:val="20"/>
        </w:rPr>
        <w:t xml:space="preserve">Monthly improper payment rate dashboard per program and agency.</w:t>
      </w:r>
    </w:p>
    <w:p>
      <w:pPr>
        <w:pStyle w:val="ListParagraph"/>
        <w:numPr>
          <w:ilvl w:val="0"/>
          <w:numId w:val="2"/>
        </w:numPr>
        <w:spacing w:after="40" w:before="40"/>
      </w:pPr>
      <w:r>
        <w:rPr>
          <w:rFonts w:ascii="Arial" w:cs="Arial" w:eastAsia="Arial" w:hAnsi="Arial"/>
          <w:sz w:val="20"/>
          <w:szCs w:val="20"/>
        </w:rPr>
        <w:t xml:space="preserve">Risk model performance monitoring (false positive/negative rate tracking) to maintain model accuracy.</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F. Data Requirements</w:t>
      </w:r>
    </w:p>
    <w:p>
      <w:pPr>
        <w:pStyle w:val="ListParagraph"/>
        <w:numPr>
          <w:ilvl w:val="0"/>
          <w:numId w:val="2"/>
        </w:numPr>
        <w:spacing w:after="40" w:before="40"/>
      </w:pPr>
      <w:r>
        <w:rPr>
          <w:rFonts w:ascii="Arial" w:cs="Arial" w:eastAsia="Arial" w:hAnsi="Arial"/>
          <w:sz w:val="20"/>
          <w:szCs w:val="20"/>
        </w:rPr>
        <w:t xml:space="preserve">AP payment ledger (vendor ID, invoice number, amount, date, approver, payment method).</w:t>
      </w:r>
    </w:p>
    <w:p>
      <w:pPr>
        <w:pStyle w:val="ListParagraph"/>
        <w:numPr>
          <w:ilvl w:val="0"/>
          <w:numId w:val="2"/>
        </w:numPr>
        <w:spacing w:after="40" w:before="40"/>
      </w:pPr>
      <w:r>
        <w:rPr>
          <w:rFonts w:ascii="Arial" w:cs="Arial" w:eastAsia="Arial" w:hAnsi="Arial"/>
          <w:sz w:val="20"/>
          <w:szCs w:val="20"/>
        </w:rPr>
        <w:t xml:space="preserve">Treasury DNP and SAM exclusions list feeds (real-time API).</w:t>
      </w:r>
    </w:p>
    <w:p>
      <w:pPr>
        <w:pStyle w:val="ListParagraph"/>
        <w:numPr>
          <w:ilvl w:val="0"/>
          <w:numId w:val="2"/>
        </w:numPr>
        <w:spacing w:after="40" w:before="40"/>
      </w:pPr>
      <w:r>
        <w:rPr>
          <w:rFonts w:ascii="Arial" w:cs="Arial" w:eastAsia="Arial" w:hAnsi="Arial"/>
          <w:sz w:val="20"/>
          <w:szCs w:val="20"/>
        </w:rPr>
        <w:t xml:space="preserve">Historical payment archive (3-year minimum) for model training and velocity baseline.</w:t>
      </w:r>
    </w:p>
    <w:p>
      <w:pPr>
        <w:pStyle w:val="ListParagraph"/>
        <w:numPr>
          <w:ilvl w:val="0"/>
          <w:numId w:val="2"/>
        </w:numPr>
        <w:spacing w:after="40" w:before="40"/>
      </w:pPr>
      <w:r>
        <w:rPr>
          <w:rFonts w:ascii="Arial" w:cs="Arial" w:eastAsia="Arial" w:hAnsi="Arial"/>
          <w:sz w:val="20"/>
          <w:szCs w:val="20"/>
        </w:rPr>
        <w:t xml:space="preserve">Grant budget structure (for comparison against claimed costs).</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G. User Roles &amp; Needs</w:t>
      </w:r>
    </w:p>
    <w:p>
      <w:pPr>
        <w:pStyle w:val="ListParagraph"/>
        <w:numPr>
          <w:ilvl w:val="0"/>
          <w:numId w:val="2"/>
        </w:numPr>
        <w:spacing w:after="40" w:before="40"/>
      </w:pPr>
      <w:r>
        <w:rPr>
          <w:rFonts w:ascii="Arial" w:cs="Arial" w:eastAsia="Arial" w:hAnsi="Arial"/>
          <w:sz w:val="20"/>
          <w:szCs w:val="20"/>
        </w:rPr>
        <w:t xml:space="preserve">AP Clerks: Need clear hold/release workflow with risk-score explanation; no requirement to understand AI model.</w:t>
      </w:r>
    </w:p>
    <w:p>
      <w:pPr>
        <w:pStyle w:val="ListParagraph"/>
        <w:numPr>
          <w:ilvl w:val="0"/>
          <w:numId w:val="2"/>
        </w:numPr>
        <w:spacing w:after="40" w:before="40"/>
      </w:pPr>
      <w:r>
        <w:rPr>
          <w:rFonts w:ascii="Arial" w:cs="Arial" w:eastAsia="Arial" w:hAnsi="Arial"/>
          <w:sz w:val="20"/>
          <w:szCs w:val="20"/>
        </w:rPr>
        <w:t xml:space="preserve">Finance Directors: Need improper payment rate trend dashboard and exception summary by risk category.</w:t>
      </w:r>
    </w:p>
    <w:p>
      <w:pPr>
        <w:pStyle w:val="ListParagraph"/>
        <w:numPr>
          <w:ilvl w:val="0"/>
          <w:numId w:val="2"/>
        </w:numPr>
        <w:spacing w:after="40" w:before="40"/>
      </w:pPr>
      <w:r>
        <w:rPr>
          <w:rFonts w:ascii="Arial" w:cs="Arial" w:eastAsia="Arial" w:hAnsi="Arial"/>
          <w:sz w:val="20"/>
          <w:szCs w:val="20"/>
        </w:rPr>
        <w:t xml:space="preserve">Federal Program Officers: Need grantee-level improper payment scorecard for monitoring prioritization.</w:t>
      </w:r>
    </w:p>
    <w:p>
      <w:pPr>
        <w:pStyle w:val="ListParagraph"/>
        <w:numPr>
          <w:ilvl w:val="0"/>
          <w:numId w:val="2"/>
        </w:numPr>
        <w:spacing w:after="40" w:before="40"/>
      </w:pPr>
      <w:r>
        <w:rPr>
          <w:rFonts w:ascii="Arial" w:cs="Arial" w:eastAsia="Arial" w:hAnsi="Arial"/>
          <w:sz w:val="20"/>
          <w:szCs w:val="20"/>
        </w:rPr>
        <w:t xml:space="preserve">OIG Investigators: Need full payment audit trail with risk-score history for investigation support.</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H. Expected Outcomes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 (Current State)</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(Post-Deployment)</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Annual improper payment rate</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~6% of federal outlays ($236B FY2022)</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Target ≥25% reduction within enrolled program cohort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Duplicate payment incidents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Recurring finding in 100% of reviewed programs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&lt;0.1% of transactions within 12 months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DNP list check coverage</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Varies; often only at award issuance</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100% of payment transactions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AI model accuracy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N/A (no automated scoring currently)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≥92% accuracy; false-positive rate &lt;8%</w:t>
            </w:r>
          </w:p>
        </w:tc>
      </w:tr>
    </w:tbl>
    <w:p>
      <w:pPr>
        <w:pageBreakBefore/>
      </w:pPr>
      <w:r>
        <w:rPr>
          <w:sz w:val="20"/>
          <w:szCs w:val="20"/>
        </w:rPr>
        <w:t xml:space="preserve"/>
      </w:r>
    </w:p>
    <w:p>
      <w:pPr>
        <w:pStyle w:val="Heading2"/>
        <w:shd w:fill="1F3864" w:val="clear"/>
        <w:spacing w:after="0" w:before="240"/>
        <w:ind w:left="180" w:right="180"/>
      </w:pPr>
      <w:r>
        <w:rPr>
          <w:rFonts w:ascii="Arial" w:cs="Arial" w:eastAsia="Arial" w:hAnsi="Arial"/>
          <w:b/>
          <w:bCs/>
          <w:color w:val="FFFFFF"/>
          <w:sz w:val="24"/>
          <w:szCs w:val="24"/>
        </w:rPr>
        <w:t xml:space="preserve">III.3 — Fragmented ERP and Financial Information Systems</w:t>
      </w:r>
    </w:p>
    <w:p>
      <w:pPr>
        <w:spacing w:after="0" w:before="4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A. Business Context &amp; Implications</w:t>
      </w:r>
    </w:p>
    <w:p>
      <w:pPr>
        <w:spacing w:after="60" w:before="60"/>
      </w:pPr>
      <w:r>
        <w:rPr>
          <w:rFonts w:ascii="Arial" w:cs="Arial" w:eastAsia="Arial" w:hAnsi="Arial"/>
          <w:color w:val="000000"/>
          <w:sz w:val="20"/>
          <w:szCs w:val="20"/>
        </w:rPr>
        <w:t xml:space="preserve">HUD OIG FY2023 found that over 60% of reviewed grantees lacked integrated financial management systems, relying instead on spreadsheets, disconnected accounting software, or manual paper-based processes. This fragmentation produces three compounding harms: (1) data integrity failures where financial records are inconsistent across reporting periods; (2) audit trail gaps where the provenance of transactions cannot be established; and (3) reporting delays that prevent federal program officers from identifying problems in real time. EDA FY2023 similarly documented fragmented reporting across public works grantees, with program data arriving weeks or months after the reporting period. Systems fragmentation is not merely a technology problem — it is the structural enabler of fraud, as manual systems cannot apply automated controls and cannot produce the real-time visibility needed for early fraud detection.</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B. Root Causes</w:t>
      </w:r>
    </w:p>
    <w:p>
      <w:pPr>
        <w:pStyle w:val="ListParagraph"/>
        <w:numPr>
          <w:ilvl w:val="0"/>
          <w:numId w:val="2"/>
        </w:numPr>
        <w:spacing w:after="40" w:before="40"/>
      </w:pPr>
      <w:r>
        <w:rPr>
          <w:rFonts w:ascii="Arial" w:cs="Arial" w:eastAsia="Arial" w:hAnsi="Arial"/>
          <w:sz w:val="20"/>
          <w:szCs w:val="20"/>
        </w:rPr>
        <w:t xml:space="preserve">Cost of enterprise ERP systems (SAP, Oracle, Workday) exceeds the financial capacity of small grantees.</w:t>
      </w:r>
    </w:p>
    <w:p>
      <w:pPr>
        <w:pStyle w:val="ListParagraph"/>
        <w:numPr>
          <w:ilvl w:val="0"/>
          <w:numId w:val="2"/>
        </w:numPr>
        <w:spacing w:after="40" w:before="40"/>
      </w:pPr>
      <w:r>
        <w:rPr>
          <w:rFonts w:ascii="Arial" w:cs="Arial" w:eastAsia="Arial" w:hAnsi="Arial"/>
          <w:sz w:val="20"/>
          <w:szCs w:val="20"/>
        </w:rPr>
        <w:t xml:space="preserve">No standardized chart-of-accounts structure for federal grant programs, creating mapping complexity for each new system integration.</w:t>
      </w:r>
    </w:p>
    <w:p>
      <w:pPr>
        <w:pStyle w:val="ListParagraph"/>
        <w:numPr>
          <w:ilvl w:val="0"/>
          <w:numId w:val="2"/>
        </w:numPr>
        <w:spacing w:after="40" w:before="40"/>
      </w:pPr>
      <w:r>
        <w:rPr>
          <w:rFonts w:ascii="Arial" w:cs="Arial" w:eastAsia="Arial" w:hAnsi="Arial"/>
          <w:sz w:val="20"/>
          <w:szCs w:val="20"/>
        </w:rPr>
        <w:t xml:space="preserve">Legacy financial systems lack API connectivity, requiring manual data re-entry between systems.</w:t>
      </w:r>
    </w:p>
    <w:p>
      <w:pPr>
        <w:pStyle w:val="ListParagraph"/>
        <w:numPr>
          <w:ilvl w:val="0"/>
          <w:numId w:val="2"/>
        </w:numPr>
        <w:spacing w:after="40" w:before="40"/>
      </w:pPr>
      <w:r>
        <w:rPr>
          <w:rFonts w:ascii="Arial" w:cs="Arial" w:eastAsia="Arial" w:hAnsi="Arial"/>
          <w:sz w:val="20"/>
          <w:szCs w:val="20"/>
        </w:rPr>
        <w:t xml:space="preserve">Technical assistance programs do not provide implementation support at the system level.</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C. Required Functional Capabilities</w:t>
      </w:r>
    </w:p>
    <w:p>
      <w:pPr>
        <w:pStyle w:val="ListParagraph"/>
        <w:numPr>
          <w:ilvl w:val="0"/>
          <w:numId w:val="2"/>
        </w:numPr>
        <w:spacing w:after="40" w:before="40"/>
      </w:pPr>
      <w:r>
        <w:rPr>
          <w:rFonts w:ascii="Arial" w:cs="Arial" w:eastAsia="Arial" w:hAnsi="Arial"/>
          <w:sz w:val="20"/>
          <w:szCs w:val="20"/>
        </w:rPr>
        <w:t xml:space="preserve">Pre-built API connectors for SAP, Oracle EBS/Cloud, Workday, Microsoft Dynamics 365, and QuickBooks.</w:t>
      </w:r>
    </w:p>
    <w:p>
      <w:pPr>
        <w:pStyle w:val="ListParagraph"/>
        <w:numPr>
          <w:ilvl w:val="0"/>
          <w:numId w:val="2"/>
        </w:numPr>
        <w:spacing w:after="40" w:before="40"/>
      </w:pPr>
      <w:r>
        <w:rPr>
          <w:rFonts w:ascii="Arial" w:cs="Arial" w:eastAsia="Arial" w:hAnsi="Arial"/>
          <w:sz w:val="20"/>
          <w:szCs w:val="20"/>
        </w:rPr>
        <w:t xml:space="preserve">CSV/XLSX flat-file ingestion with automated field-mapping for no-ERP grantees.</w:t>
      </w:r>
    </w:p>
    <w:p>
      <w:pPr>
        <w:pStyle w:val="ListParagraph"/>
        <w:numPr>
          <w:ilvl w:val="0"/>
          <w:numId w:val="2"/>
        </w:numPr>
        <w:spacing w:after="40" w:before="40"/>
      </w:pPr>
      <w:r>
        <w:rPr>
          <w:rFonts w:ascii="Arial" w:cs="Arial" w:eastAsia="Arial" w:hAnsi="Arial"/>
          <w:sz w:val="20"/>
          <w:szCs w:val="20"/>
        </w:rPr>
        <w:t xml:space="preserve">Standard federal chart-of-accounts mapper translating grantee-specific account codes to federal reporting codes.</w:t>
      </w:r>
    </w:p>
    <w:p>
      <w:pPr>
        <w:pStyle w:val="ListParagraph"/>
        <w:numPr>
          <w:ilvl w:val="0"/>
          <w:numId w:val="2"/>
        </w:numPr>
        <w:spacing w:after="40" w:before="40"/>
      </w:pPr>
      <w:r>
        <w:rPr>
          <w:rFonts w:ascii="Arial" w:cs="Arial" w:eastAsia="Arial" w:hAnsi="Arial"/>
          <w:sz w:val="20"/>
          <w:szCs w:val="20"/>
        </w:rPr>
        <w:t xml:space="preserve">Data reconciliation engine surfacing discrepancies between ERP source data and reported figures.</w:t>
      </w:r>
    </w:p>
    <w:p>
      <w:pPr>
        <w:pStyle w:val="ListParagraph"/>
        <w:numPr>
          <w:ilvl w:val="0"/>
          <w:numId w:val="2"/>
        </w:numPr>
        <w:spacing w:after="40" w:before="40"/>
      </w:pPr>
      <w:r>
        <w:rPr>
          <w:rFonts w:ascii="Arial" w:cs="Arial" w:eastAsia="Arial" w:hAnsi="Arial"/>
          <w:sz w:val="20"/>
          <w:szCs w:val="20"/>
        </w:rPr>
        <w:t xml:space="preserve">Bi-directional sync maintaining data currency between grantee financial systems and the GovGuard™ platform.</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D. Preventive Controls</w:t>
      </w:r>
    </w:p>
    <w:p>
      <w:pPr>
        <w:pStyle w:val="ListParagraph"/>
        <w:numPr>
          <w:ilvl w:val="0"/>
          <w:numId w:val="2"/>
        </w:numPr>
        <w:spacing w:after="40" w:before="40"/>
      </w:pPr>
      <w:r>
        <w:rPr>
          <w:rFonts w:ascii="Arial" w:cs="Arial" w:eastAsia="Arial" w:hAnsi="Arial"/>
          <w:sz w:val="20"/>
          <w:szCs w:val="20"/>
        </w:rPr>
        <w:t xml:space="preserve">Automated field-level validation at data ingestion rejecting records with missing required fields or invalid codes.</w:t>
      </w:r>
    </w:p>
    <w:p>
      <w:pPr>
        <w:pStyle w:val="ListParagraph"/>
        <w:numPr>
          <w:ilvl w:val="0"/>
          <w:numId w:val="2"/>
        </w:numPr>
        <w:spacing w:after="40" w:before="40"/>
      </w:pPr>
      <w:r>
        <w:rPr>
          <w:rFonts w:ascii="Arial" w:cs="Arial" w:eastAsia="Arial" w:hAnsi="Arial"/>
          <w:sz w:val="20"/>
          <w:szCs w:val="20"/>
        </w:rPr>
        <w:t xml:space="preserve">Reconciliation lock preventing report submission when GL balance and reported expenditure differ by more than 0.01%.</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E. Detective Controls</w:t>
      </w:r>
    </w:p>
    <w:p>
      <w:pPr>
        <w:pStyle w:val="ListParagraph"/>
        <w:numPr>
          <w:ilvl w:val="0"/>
          <w:numId w:val="2"/>
        </w:numPr>
        <w:spacing w:after="40" w:before="40"/>
      </w:pPr>
      <w:r>
        <w:rPr>
          <w:rFonts w:ascii="Arial" w:cs="Arial" w:eastAsia="Arial" w:hAnsi="Arial"/>
          <w:sz w:val="20"/>
          <w:szCs w:val="20"/>
        </w:rPr>
        <w:t xml:space="preserve">Data completeness score (0–100) tracking percentage of required data fields populated per grantee per period.</w:t>
      </w:r>
    </w:p>
    <w:p>
      <w:pPr>
        <w:pStyle w:val="ListParagraph"/>
        <w:numPr>
          <w:ilvl w:val="0"/>
          <w:numId w:val="2"/>
        </w:numPr>
        <w:spacing w:after="40" w:before="40"/>
      </w:pPr>
      <w:r>
        <w:rPr>
          <w:rFonts w:ascii="Arial" w:cs="Arial" w:eastAsia="Arial" w:hAnsi="Arial"/>
          <w:sz w:val="20"/>
          <w:szCs w:val="20"/>
        </w:rPr>
        <w:t xml:space="preserve">Cross-period data consistency check identifying unexplained restatements or retroactive adjustments.</w:t>
      </w:r>
    </w:p>
    <w:p>
      <w:pPr>
        <w:pStyle w:val="ListParagraph"/>
        <w:numPr>
          <w:ilvl w:val="0"/>
          <w:numId w:val="2"/>
        </w:numPr>
        <w:spacing w:after="40" w:before="40"/>
      </w:pPr>
      <w:r>
        <w:rPr>
          <w:rFonts w:ascii="Arial" w:cs="Arial" w:eastAsia="Arial" w:hAnsi="Arial"/>
          <w:sz w:val="20"/>
          <w:szCs w:val="20"/>
        </w:rPr>
        <w:t xml:space="preserve">Integration health monitoring alerting administrators to API connection failures or data sync gaps.</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F. Data Requirements</w:t>
      </w:r>
    </w:p>
    <w:p>
      <w:pPr>
        <w:pStyle w:val="ListParagraph"/>
        <w:numPr>
          <w:ilvl w:val="0"/>
          <w:numId w:val="2"/>
        </w:numPr>
        <w:spacing w:after="40" w:before="40"/>
      </w:pPr>
      <w:r>
        <w:rPr>
          <w:rFonts w:ascii="Arial" w:cs="Arial" w:eastAsia="Arial" w:hAnsi="Arial"/>
          <w:sz w:val="20"/>
          <w:szCs w:val="20"/>
        </w:rPr>
        <w:t xml:space="preserve">ERP GL export files or API feeds (chart-of-accounts, transaction detail, budget vs actual).</w:t>
      </w:r>
    </w:p>
    <w:p>
      <w:pPr>
        <w:pStyle w:val="ListParagraph"/>
        <w:numPr>
          <w:ilvl w:val="0"/>
          <w:numId w:val="2"/>
        </w:numPr>
        <w:spacing w:after="40" w:before="40"/>
      </w:pPr>
      <w:r>
        <w:rPr>
          <w:rFonts w:ascii="Arial" w:cs="Arial" w:eastAsia="Arial" w:hAnsi="Arial"/>
          <w:sz w:val="20"/>
          <w:szCs w:val="20"/>
        </w:rPr>
        <w:t xml:space="preserve">Federal standard chart-of-accounts reference (Treasury USSGL; program-specific cost categories).</w:t>
      </w:r>
    </w:p>
    <w:p>
      <w:pPr>
        <w:pStyle w:val="ListParagraph"/>
        <w:numPr>
          <w:ilvl w:val="0"/>
          <w:numId w:val="2"/>
        </w:numPr>
        <w:spacing w:after="40" w:before="40"/>
      </w:pPr>
      <w:r>
        <w:rPr>
          <w:rFonts w:ascii="Arial" w:cs="Arial" w:eastAsia="Arial" w:hAnsi="Arial"/>
          <w:sz w:val="20"/>
          <w:szCs w:val="20"/>
        </w:rPr>
        <w:t xml:space="preserve">Grant award financial terms (budget line items, approved cost categories, matching requirements).</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G. User Roles &amp; Needs</w:t>
      </w:r>
    </w:p>
    <w:p>
      <w:pPr>
        <w:pStyle w:val="ListParagraph"/>
        <w:numPr>
          <w:ilvl w:val="0"/>
          <w:numId w:val="2"/>
        </w:numPr>
        <w:spacing w:after="40" w:before="40"/>
      </w:pPr>
      <w:r>
        <w:rPr>
          <w:rFonts w:ascii="Arial" w:cs="Arial" w:eastAsia="Arial" w:hAnsi="Arial"/>
          <w:sz w:val="20"/>
          <w:szCs w:val="20"/>
        </w:rPr>
        <w:t xml:space="preserve">ERP Administrators at Large Grantees: Need one-time API configuration with minimal ongoing maintenance.</w:t>
      </w:r>
    </w:p>
    <w:p>
      <w:pPr>
        <w:pStyle w:val="ListParagraph"/>
        <w:numPr>
          <w:ilvl w:val="0"/>
          <w:numId w:val="2"/>
        </w:numPr>
        <w:spacing w:after="40" w:before="40"/>
      </w:pPr>
      <w:r>
        <w:rPr>
          <w:rFonts w:ascii="Arial" w:cs="Arial" w:eastAsia="Arial" w:hAnsi="Arial"/>
          <w:sz w:val="20"/>
          <w:szCs w:val="20"/>
        </w:rPr>
        <w:t xml:space="preserve">Finance Staff at Small Grantees: Need simple data upload templates with clear error messages and no technical expertise required.</w:t>
      </w:r>
    </w:p>
    <w:p>
      <w:pPr>
        <w:pStyle w:val="ListParagraph"/>
        <w:numPr>
          <w:ilvl w:val="0"/>
          <w:numId w:val="2"/>
        </w:numPr>
        <w:spacing w:after="40" w:before="40"/>
      </w:pPr>
      <w:r>
        <w:rPr>
          <w:rFonts w:ascii="Arial" w:cs="Arial" w:eastAsia="Arial" w:hAnsi="Arial"/>
          <w:sz w:val="20"/>
          <w:szCs w:val="20"/>
        </w:rPr>
        <w:t xml:space="preserve">Federal Program Officers: Need a unified view of all grantees' financial data regardless of underlying system.</w:t>
      </w:r>
    </w:p>
    <w:p>
      <w:pPr>
        <w:pStyle w:val="ListParagraph"/>
        <w:numPr>
          <w:ilvl w:val="0"/>
          <w:numId w:val="2"/>
        </w:numPr>
        <w:spacing w:after="40" w:before="40"/>
      </w:pPr>
      <w:r>
        <w:rPr>
          <w:rFonts w:ascii="Arial" w:cs="Arial" w:eastAsia="Arial" w:hAnsi="Arial"/>
          <w:sz w:val="20"/>
          <w:szCs w:val="20"/>
        </w:rPr>
        <w:t xml:space="preserve">IT Administrators: Need documented API specifications and integration testing tools.</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H. Expected Outcomes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 (Current State)</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(Post-Deployment)</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Grantees with integrated financial systems</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&lt;40% (HUD OIG FY2023)</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≥85% of enrolled grantees within 18 months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Reporting cycle time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Average 6–8 weeks post-period</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&lt;1 week post-period with automated data feeds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Data reconciliation error rate</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Unquantified; endemic</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&lt;0.01% variance between source and reported data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Manual data re-entry hours per period</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Estimated 40+ hours/grantee/quarter</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&lt;2 hours per quarter post-integration</w:t>
            </w:r>
          </w:p>
        </w:tc>
      </w:tr>
    </w:tbl>
    <w:p>
      <w:pPr>
        <w:pageBreakBefore/>
      </w:pPr>
      <w:r>
        <w:rPr>
          <w:sz w:val="20"/>
          <w:szCs w:val="20"/>
        </w:rPr>
        <w:t xml:space="preserve"/>
      </w:r>
    </w:p>
    <w:p>
      <w:pPr>
        <w:pStyle w:val="Heading2"/>
        <w:shd w:fill="1F3864" w:val="clear"/>
        <w:spacing w:after="0" w:before="240"/>
        <w:ind w:left="180" w:right="180"/>
      </w:pPr>
      <w:r>
        <w:rPr>
          <w:rFonts w:ascii="Arial" w:cs="Arial" w:eastAsia="Arial" w:hAnsi="Arial"/>
          <w:b/>
          <w:bCs/>
          <w:color w:val="FFFFFF"/>
          <w:sz w:val="24"/>
          <w:szCs w:val="24"/>
        </w:rPr>
        <w:t xml:space="preserve">III.4 — Capacity Constraints — Tribal and Rural Grant Administration</w:t>
      </w:r>
    </w:p>
    <w:p>
      <w:pPr>
        <w:spacing w:after="0" w:before="4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A. Business Context &amp; Implications</w:t>
      </w:r>
    </w:p>
    <w:p>
      <w:pPr>
        <w:spacing w:after="60" w:before="60"/>
      </w:pPr>
      <w:r>
        <w:rPr>
          <w:rFonts w:ascii="Arial" w:cs="Arial" w:eastAsia="Arial" w:hAnsi="Arial"/>
          <w:color w:val="000000"/>
          <w:sz w:val="20"/>
          <w:szCs w:val="20"/>
        </w:rPr>
        <w:t xml:space="preserve">GAO-22-105220 found that 70% of reviewed tribal programs had unresolved audit findings, compared to a national average of approximately 25% for all Single Audit recipients. Puerto Rico's experience, documented in GAO-21-264, illustrates the scale of harm: $14 billion in disputed CDBG-DR disbursements, program delivery delays measured in years, and recipient organizations that lacked the governance infrastructure to manage the complexity of federal compliance requirements. For tribal nations and rural jurisdictions, the problem is not unwillingness to comply — it is the absence of affordable, accessible tools and trained personnel. High-cost consulting engagements are the dominant compliance support model, creating dependency, inconsistent outcomes, and exclusion of the smallest entities from programs for which they are legally eligible.</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B. Root Causes</w:t>
      </w:r>
    </w:p>
    <w:p>
      <w:pPr>
        <w:pStyle w:val="ListParagraph"/>
        <w:numPr>
          <w:ilvl w:val="0"/>
          <w:numId w:val="2"/>
        </w:numPr>
        <w:spacing w:after="40" w:before="40"/>
      </w:pPr>
      <w:r>
        <w:rPr>
          <w:rFonts w:ascii="Arial" w:cs="Arial" w:eastAsia="Arial" w:hAnsi="Arial"/>
          <w:sz w:val="20"/>
          <w:szCs w:val="20"/>
        </w:rPr>
        <w:t xml:space="preserve">Compliance frameworks (2 CFR 200, GAO Green Book) were designed for institutional grantees with dedicated compliance staff.</w:t>
      </w:r>
    </w:p>
    <w:p>
      <w:pPr>
        <w:pStyle w:val="ListParagraph"/>
        <w:numPr>
          <w:ilvl w:val="0"/>
          <w:numId w:val="2"/>
        </w:numPr>
        <w:spacing w:after="40" w:before="40"/>
      </w:pPr>
      <w:r>
        <w:rPr>
          <w:rFonts w:ascii="Arial" w:cs="Arial" w:eastAsia="Arial" w:hAnsi="Arial"/>
          <w:sz w:val="20"/>
          <w:szCs w:val="20"/>
        </w:rPr>
        <w:t xml:space="preserve">Technical assistance programs provide guidance but not operational tools or software.</w:t>
      </w:r>
    </w:p>
    <w:p>
      <w:pPr>
        <w:pStyle w:val="ListParagraph"/>
        <w:numPr>
          <w:ilvl w:val="0"/>
          <w:numId w:val="2"/>
        </w:numPr>
        <w:spacing w:after="40" w:before="40"/>
      </w:pPr>
      <w:r>
        <w:rPr>
          <w:rFonts w:ascii="Arial" w:cs="Arial" w:eastAsia="Arial" w:hAnsi="Arial"/>
          <w:sz w:val="20"/>
          <w:szCs w:val="20"/>
        </w:rPr>
        <w:t xml:space="preserve">Commercial compliance software is priced for enterprise users; no open-access government-grade tool exists.</w:t>
      </w:r>
    </w:p>
    <w:p>
      <w:pPr>
        <w:pStyle w:val="ListParagraph"/>
        <w:numPr>
          <w:ilvl w:val="0"/>
          <w:numId w:val="2"/>
        </w:numPr>
        <w:spacing w:after="40" w:before="40"/>
      </w:pPr>
      <w:r>
        <w:rPr>
          <w:rFonts w:ascii="Arial" w:cs="Arial" w:eastAsia="Arial" w:hAnsi="Arial"/>
          <w:sz w:val="20"/>
          <w:szCs w:val="20"/>
        </w:rPr>
        <w:t xml:space="preserve">Connectivity limitations in tribal and rural areas create barriers to cloud-based tool adoption.</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C. Required Functional Capabilities</w:t>
      </w:r>
    </w:p>
    <w:p>
      <w:pPr>
        <w:pStyle w:val="ListParagraph"/>
        <w:numPr>
          <w:ilvl w:val="0"/>
          <w:numId w:val="2"/>
        </w:numPr>
        <w:spacing w:after="40" w:before="40"/>
      </w:pPr>
      <w:r>
        <w:rPr>
          <w:rFonts w:ascii="Arial" w:cs="Arial" w:eastAsia="Arial" w:hAnsi="Arial"/>
          <w:sz w:val="20"/>
          <w:szCs w:val="20"/>
        </w:rPr>
        <w:t xml:space="preserve">Tiered grantee classification (Tier 1: Large/Federal Agency; Tier 2: State/Local; Tier 3: Tribal/Small Nonprofit) with simplified workflows for Tier 3.</w:t>
      </w:r>
    </w:p>
    <w:p>
      <w:pPr>
        <w:pStyle w:val="ListParagraph"/>
        <w:numPr>
          <w:ilvl w:val="0"/>
          <w:numId w:val="2"/>
        </w:numPr>
        <w:spacing w:after="40" w:before="40"/>
      </w:pPr>
      <w:r>
        <w:rPr>
          <w:rFonts w:ascii="Arial" w:cs="Arial" w:eastAsia="Arial" w:hAnsi="Arial"/>
          <w:sz w:val="20"/>
          <w:szCs w:val="20"/>
        </w:rPr>
        <w:t xml:space="preserve">Plain-language compliance wizard replacing regulatory text with actionable questions and checklist items.</w:t>
      </w:r>
    </w:p>
    <w:p>
      <w:pPr>
        <w:pStyle w:val="ListParagraph"/>
        <w:numPr>
          <w:ilvl w:val="0"/>
          <w:numId w:val="2"/>
        </w:numPr>
        <w:spacing w:after="40" w:before="40"/>
      </w:pPr>
      <w:r>
        <w:rPr>
          <w:rFonts w:ascii="Arial" w:cs="Arial" w:eastAsia="Arial" w:hAnsi="Arial"/>
          <w:sz w:val="20"/>
          <w:szCs w:val="20"/>
        </w:rPr>
        <w:t xml:space="preserve">Offline-capable data entry with automatic sync on reconnection, supporting areas with unreliable connectivity.</w:t>
      </w:r>
    </w:p>
    <w:p>
      <w:pPr>
        <w:pStyle w:val="ListParagraph"/>
        <w:numPr>
          <w:ilvl w:val="0"/>
          <w:numId w:val="2"/>
        </w:numPr>
        <w:spacing w:after="40" w:before="40"/>
      </w:pPr>
      <w:r>
        <w:rPr>
          <w:rFonts w:ascii="Arial" w:cs="Arial" w:eastAsia="Arial" w:hAnsi="Arial"/>
          <w:sz w:val="20"/>
          <w:szCs w:val="20"/>
        </w:rPr>
        <w:t xml:space="preserve">Role-based onboarding in &lt;4 hours for non-technical users, covering core compliance requirements.</w:t>
      </w:r>
    </w:p>
    <w:p>
      <w:pPr>
        <w:pStyle w:val="ListParagraph"/>
        <w:numPr>
          <w:ilvl w:val="0"/>
          <w:numId w:val="2"/>
        </w:numPr>
        <w:spacing w:after="40" w:before="40"/>
      </w:pPr>
      <w:r>
        <w:rPr>
          <w:rFonts w:ascii="Arial" w:cs="Arial" w:eastAsia="Arial" w:hAnsi="Arial"/>
          <w:sz w:val="20"/>
          <w:szCs w:val="20"/>
        </w:rPr>
        <w:t xml:space="preserve">Open-access licensing for Tier 3 grantees with no per-seat fees.</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D. Preventive Controls</w:t>
      </w:r>
    </w:p>
    <w:p>
      <w:pPr>
        <w:pStyle w:val="ListParagraph"/>
        <w:numPr>
          <w:ilvl w:val="0"/>
          <w:numId w:val="2"/>
        </w:numPr>
        <w:spacing w:after="40" w:before="40"/>
      </w:pPr>
      <w:r>
        <w:rPr>
          <w:rFonts w:ascii="Arial" w:cs="Arial" w:eastAsia="Arial" w:hAnsi="Arial"/>
          <w:sz w:val="20"/>
          <w:szCs w:val="20"/>
        </w:rPr>
        <w:t xml:space="preserve">Guided setup wizard preventing award configuration errors by validating budget structure against grant terms before activation.</w:t>
      </w:r>
    </w:p>
    <w:p>
      <w:pPr>
        <w:pStyle w:val="ListParagraph"/>
        <w:numPr>
          <w:ilvl w:val="0"/>
          <w:numId w:val="2"/>
        </w:numPr>
        <w:spacing w:after="40" w:before="40"/>
      </w:pPr>
      <w:r>
        <w:rPr>
          <w:rFonts w:ascii="Arial" w:cs="Arial" w:eastAsia="Arial" w:hAnsi="Arial"/>
          <w:sz w:val="20"/>
          <w:szCs w:val="20"/>
        </w:rPr>
        <w:t xml:space="preserve">Simplified SoD enforcement using named-role assignments rather than technical permission matrices.</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E. Detective Controls</w:t>
      </w:r>
    </w:p>
    <w:p>
      <w:pPr>
        <w:pStyle w:val="ListParagraph"/>
        <w:numPr>
          <w:ilvl w:val="0"/>
          <w:numId w:val="2"/>
        </w:numPr>
        <w:spacing w:after="40" w:before="40"/>
      </w:pPr>
      <w:r>
        <w:rPr>
          <w:rFonts w:ascii="Arial" w:cs="Arial" w:eastAsia="Arial" w:hAnsi="Arial"/>
          <w:sz w:val="20"/>
          <w:szCs w:val="20"/>
        </w:rPr>
        <w:t xml:space="preserve">Compliance gap scorecard for each grantee identifying incomplete control documentation.</w:t>
      </w:r>
    </w:p>
    <w:p>
      <w:pPr>
        <w:pStyle w:val="ListParagraph"/>
        <w:numPr>
          <w:ilvl w:val="0"/>
          <w:numId w:val="2"/>
        </w:numPr>
        <w:spacing w:after="40" w:before="40"/>
      </w:pPr>
      <w:r>
        <w:rPr>
          <w:rFonts w:ascii="Arial" w:cs="Arial" w:eastAsia="Arial" w:hAnsi="Arial"/>
          <w:sz w:val="20"/>
          <w:szCs w:val="20"/>
        </w:rPr>
        <w:t xml:space="preserve">Automated escalation to federal program officer when a Tier 3 grantee's compliance score falls below 60 for more than 30 days.</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F. Data Requirements</w:t>
      </w:r>
    </w:p>
    <w:p>
      <w:pPr>
        <w:pStyle w:val="ListParagraph"/>
        <w:numPr>
          <w:ilvl w:val="0"/>
          <w:numId w:val="2"/>
        </w:numPr>
        <w:spacing w:after="40" w:before="40"/>
      </w:pPr>
      <w:r>
        <w:rPr>
          <w:rFonts w:ascii="Arial" w:cs="Arial" w:eastAsia="Arial" w:hAnsi="Arial"/>
          <w:sz w:val="20"/>
          <w:szCs w:val="20"/>
        </w:rPr>
        <w:t xml:space="preserve">Grantee profile data (size, staff capacity, prior audit history, award portfolio).</w:t>
      </w:r>
    </w:p>
    <w:p>
      <w:pPr>
        <w:pStyle w:val="ListParagraph"/>
        <w:numPr>
          <w:ilvl w:val="0"/>
          <w:numId w:val="2"/>
        </w:numPr>
        <w:spacing w:after="40" w:before="40"/>
      </w:pPr>
      <w:r>
        <w:rPr>
          <w:rFonts w:ascii="Arial" w:cs="Arial" w:eastAsia="Arial" w:hAnsi="Arial"/>
          <w:sz w:val="20"/>
          <w:szCs w:val="20"/>
        </w:rPr>
        <w:t xml:space="preserve">Program-specific compliance requirement library (HUD, EDA, USDA, tribal-specific program requirements).</w:t>
      </w:r>
    </w:p>
    <w:p>
      <w:pPr>
        <w:pStyle w:val="ListParagraph"/>
        <w:numPr>
          <w:ilvl w:val="0"/>
          <w:numId w:val="2"/>
        </w:numPr>
        <w:spacing w:after="40" w:before="40"/>
      </w:pPr>
      <w:r>
        <w:rPr>
          <w:rFonts w:ascii="Arial" w:cs="Arial" w:eastAsia="Arial" w:hAnsi="Arial"/>
          <w:sz w:val="20"/>
          <w:szCs w:val="20"/>
        </w:rPr>
        <w:t xml:space="preserve">Connectivity profile per grantee for offline-mode activation.</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G. User Roles &amp; Needs</w:t>
      </w:r>
    </w:p>
    <w:p>
      <w:pPr>
        <w:pStyle w:val="ListParagraph"/>
        <w:numPr>
          <w:ilvl w:val="0"/>
          <w:numId w:val="2"/>
        </w:numPr>
        <w:spacing w:after="40" w:before="40"/>
      </w:pPr>
      <w:r>
        <w:rPr>
          <w:rFonts w:ascii="Arial" w:cs="Arial" w:eastAsia="Arial" w:hAnsi="Arial"/>
          <w:sz w:val="20"/>
          <w:szCs w:val="20"/>
        </w:rPr>
        <w:t xml:space="preserve">Tribal Grant Administrators: Need offline capability; plain-language guidance; no IT support required.</w:t>
      </w:r>
    </w:p>
    <w:p>
      <w:pPr>
        <w:pStyle w:val="ListParagraph"/>
        <w:numPr>
          <w:ilvl w:val="0"/>
          <w:numId w:val="2"/>
        </w:numPr>
        <w:spacing w:after="40" w:before="40"/>
      </w:pPr>
      <w:r>
        <w:rPr>
          <w:rFonts w:ascii="Arial" w:cs="Arial" w:eastAsia="Arial" w:hAnsi="Arial"/>
          <w:sz w:val="20"/>
          <w:szCs w:val="20"/>
        </w:rPr>
        <w:t xml:space="preserve">Rural County Finance Officers: Need simple data entry templates; automated report generation; email-based workflow for limited internet access.</w:t>
      </w:r>
    </w:p>
    <w:p>
      <w:pPr>
        <w:pStyle w:val="ListParagraph"/>
        <w:numPr>
          <w:ilvl w:val="0"/>
          <w:numId w:val="2"/>
        </w:numPr>
        <w:spacing w:after="40" w:before="40"/>
      </w:pPr>
      <w:r>
        <w:rPr>
          <w:rFonts w:ascii="Arial" w:cs="Arial" w:eastAsia="Arial" w:hAnsi="Arial"/>
          <w:sz w:val="20"/>
          <w:szCs w:val="20"/>
        </w:rPr>
        <w:t xml:space="preserve">Federal Program Officers (Pass-Through): Need automated subrecipient risk classification and monitoring schedule generator.</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H. Expected Outcomes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 (Current State)</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(Post-Deployment)</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Audit finding rate — tribal programs</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70% with unresolved findings (GAO-22-105220)</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&lt;30% within 24 months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Compliance consulting spend per Tier 3 grantee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Estimated $20,000–$80,000/year</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Reduced by ≥60% through self-service platform</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Award uptake — eligible tribal/rural grantees</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Significantly below eligible population</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≥30% increase within 3 years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Onboarding time — non-technical users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N/A (no current platform baseline)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&lt;4 hours to operational compliance dashboard</w:t>
            </w:r>
          </w:p>
        </w:tc>
      </w:tr>
    </w:tbl>
    <w:p>
      <w:pPr>
        <w:pageBreakBefore/>
      </w:pPr>
      <w:r>
        <w:rPr>
          <w:sz w:val="20"/>
          <w:szCs w:val="20"/>
        </w:rPr>
        <w:t xml:space="preserve"/>
      </w:r>
    </w:p>
    <w:p>
      <w:pPr>
        <w:pStyle w:val="Heading2"/>
        <w:shd w:fill="1F3864" w:val="clear"/>
        <w:spacing w:after="0" w:before="240"/>
        <w:ind w:left="180" w:right="180"/>
      </w:pPr>
      <w:r>
        <w:rPr>
          <w:rFonts w:ascii="Arial" w:cs="Arial" w:eastAsia="Arial" w:hAnsi="Arial"/>
          <w:b/>
          <w:bCs/>
          <w:color w:val="FFFFFF"/>
          <w:sz w:val="24"/>
          <w:szCs w:val="24"/>
        </w:rPr>
        <w:t xml:space="preserve">III.5 — Pre-Award Screening Failures and Duplicate Application Fraud</w:t>
      </w:r>
    </w:p>
    <w:p>
      <w:pPr>
        <w:spacing w:after="0" w:before="4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A. Business Context &amp; Implications</w:t>
      </w:r>
    </w:p>
    <w:p>
      <w:pPr>
        <w:spacing w:after="60" w:before="60"/>
      </w:pPr>
      <w:r>
        <w:rPr>
          <w:rFonts w:ascii="Arial" w:cs="Arial" w:eastAsia="Arial" w:hAnsi="Arial"/>
          <w:color w:val="000000"/>
          <w:sz w:val="20"/>
          <w:szCs w:val="20"/>
        </w:rPr>
        <w:t xml:space="preserve">PRAC's 2023 pandemic response analysis identified $45.6 billion in potentially fraudulent COVID-19 relief grants, with duplicate SSN, EIN, and address fraud documented across SBA, FEMA, and HUD programs simultaneously. The root structural cause was the absence of a cross-program, cross-agency entity deduplication engine at the pre-award stage. Individual agency systems screened against their own internal records but lacked the cross-program visibility to detect applicants simultaneously submitting to multiple agencies under the same or slightly varied identities. Pre-award fraud is the most cost-efficient fraud to prevent — once a fraudulent award is disbursed, the recovery probability drops below 30%.</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B. Root Causes</w:t>
      </w:r>
    </w:p>
    <w:p>
      <w:pPr>
        <w:pStyle w:val="ListParagraph"/>
        <w:numPr>
          <w:ilvl w:val="0"/>
          <w:numId w:val="2"/>
        </w:numPr>
        <w:spacing w:after="40" w:before="40"/>
      </w:pPr>
      <w:r>
        <w:rPr>
          <w:rFonts w:ascii="Arial" w:cs="Arial" w:eastAsia="Arial" w:hAnsi="Arial"/>
          <w:sz w:val="20"/>
          <w:szCs w:val="20"/>
        </w:rPr>
        <w:t xml:space="preserve">Agency grant portals screen independently without cross-agency data sharing.</w:t>
      </w:r>
    </w:p>
    <w:p>
      <w:pPr>
        <w:pStyle w:val="ListParagraph"/>
        <w:numPr>
          <w:ilvl w:val="0"/>
          <w:numId w:val="2"/>
        </w:numPr>
        <w:spacing w:after="40" w:before="40"/>
      </w:pPr>
      <w:r>
        <w:rPr>
          <w:rFonts w:ascii="Arial" w:cs="Arial" w:eastAsia="Arial" w:hAnsi="Arial"/>
          <w:sz w:val="20"/>
          <w:szCs w:val="20"/>
        </w:rPr>
        <w:t xml:space="preserve">SAM.gov exclusions are checked at award but not at application submission.</w:t>
      </w:r>
    </w:p>
    <w:p>
      <w:pPr>
        <w:pStyle w:val="ListParagraph"/>
        <w:numPr>
          <w:ilvl w:val="0"/>
          <w:numId w:val="2"/>
        </w:numPr>
        <w:spacing w:after="40" w:before="40"/>
      </w:pPr>
      <w:r>
        <w:rPr>
          <w:rFonts w:ascii="Arial" w:cs="Arial" w:eastAsia="Arial" w:hAnsi="Arial"/>
          <w:sz w:val="20"/>
          <w:szCs w:val="20"/>
        </w:rPr>
        <w:t xml:space="preserve">Manual reviewer bandwidth prevents systematic review of all applications.</w:t>
      </w:r>
    </w:p>
    <w:p>
      <w:pPr>
        <w:pStyle w:val="ListParagraph"/>
        <w:numPr>
          <w:ilvl w:val="0"/>
          <w:numId w:val="2"/>
        </w:numPr>
        <w:spacing w:after="40" w:before="40"/>
      </w:pPr>
      <w:r>
        <w:rPr>
          <w:rFonts w:ascii="Arial" w:cs="Arial" w:eastAsia="Arial" w:hAnsi="Arial"/>
          <w:sz w:val="20"/>
          <w:szCs w:val="20"/>
        </w:rPr>
        <w:t xml:space="preserve">No AI-driven budget reasonableness scoring at pre-award stage.</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C. Required Functional Capabilities</w:t>
      </w:r>
    </w:p>
    <w:p>
      <w:pPr>
        <w:pStyle w:val="ListParagraph"/>
        <w:numPr>
          <w:ilvl w:val="0"/>
          <w:numId w:val="2"/>
        </w:numPr>
        <w:spacing w:after="40" w:before="40"/>
      </w:pPr>
      <w:r>
        <w:rPr>
          <w:rFonts w:ascii="Arial" w:cs="Arial" w:eastAsia="Arial" w:hAnsi="Arial"/>
          <w:sz w:val="20"/>
          <w:szCs w:val="20"/>
        </w:rPr>
        <w:t xml:space="preserve">Entity deduplication engine using exact and fuzzy matching across name, EIN, address, phone, and contact person fields.</w:t>
      </w:r>
    </w:p>
    <w:p>
      <w:pPr>
        <w:pStyle w:val="ListParagraph"/>
        <w:numPr>
          <w:ilvl w:val="0"/>
          <w:numId w:val="2"/>
        </w:numPr>
        <w:spacing w:after="40" w:before="40"/>
      </w:pPr>
      <w:r>
        <w:rPr>
          <w:rFonts w:ascii="Arial" w:cs="Arial" w:eastAsia="Arial" w:hAnsi="Arial"/>
          <w:sz w:val="20"/>
          <w:szCs w:val="20"/>
        </w:rPr>
        <w:t xml:space="preserve">Real-time SAM.gov and Treasury DNP screening at application submission.</w:t>
      </w:r>
    </w:p>
    <w:p>
      <w:pPr>
        <w:pStyle w:val="ListParagraph"/>
        <w:numPr>
          <w:ilvl w:val="0"/>
          <w:numId w:val="2"/>
        </w:numPr>
        <w:spacing w:after="40" w:before="40"/>
      </w:pPr>
      <w:r>
        <w:rPr>
          <w:rFonts w:ascii="Arial" w:cs="Arial" w:eastAsia="Arial" w:hAnsi="Arial"/>
          <w:sz w:val="20"/>
          <w:szCs w:val="20"/>
        </w:rPr>
        <w:t xml:space="preserve">Budget reasonableness scoring comparing submitted budgets against cost benchmarks for project type and geography.</w:t>
      </w:r>
    </w:p>
    <w:p>
      <w:pPr>
        <w:pStyle w:val="ListParagraph"/>
        <w:numPr>
          <w:ilvl w:val="0"/>
          <w:numId w:val="2"/>
        </w:numPr>
        <w:spacing w:after="40" w:before="40"/>
      </w:pPr>
      <w:r>
        <w:rPr>
          <w:rFonts w:ascii="Arial" w:cs="Arial" w:eastAsia="Arial" w:hAnsi="Arial"/>
          <w:sz w:val="20"/>
          <w:szCs w:val="20"/>
        </w:rPr>
        <w:t xml:space="preserve">Cross-program application tracking identifying entities applying to multiple programs within configurable timeframes.</w:t>
      </w:r>
    </w:p>
    <w:p>
      <w:pPr>
        <w:pStyle w:val="ListParagraph"/>
        <w:numPr>
          <w:ilvl w:val="0"/>
          <w:numId w:val="2"/>
        </w:numPr>
        <w:spacing w:after="40" w:before="40"/>
      </w:pPr>
      <w:r>
        <w:rPr>
          <w:rFonts w:ascii="Arial" w:cs="Arial" w:eastAsia="Arial" w:hAnsi="Arial"/>
          <w:sz w:val="20"/>
          <w:szCs w:val="20"/>
        </w:rPr>
        <w:t xml:space="preserve">Identity risk scoring combining multiple signal types into a composite applicant risk score.</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D. Preventive Controls</w:t>
      </w:r>
    </w:p>
    <w:p>
      <w:pPr>
        <w:pStyle w:val="ListParagraph"/>
        <w:numPr>
          <w:ilvl w:val="0"/>
          <w:numId w:val="2"/>
        </w:numPr>
        <w:spacing w:after="40" w:before="40"/>
      </w:pPr>
      <w:r>
        <w:rPr>
          <w:rFonts w:ascii="Arial" w:cs="Arial" w:eastAsia="Arial" w:hAnsi="Arial"/>
          <w:sz w:val="20"/>
          <w:szCs w:val="20"/>
        </w:rPr>
        <w:t xml:space="preserve">Hard block on award processing for applications where applicant appears on SAM exclusions list.</w:t>
      </w:r>
    </w:p>
    <w:p>
      <w:pPr>
        <w:pStyle w:val="ListParagraph"/>
        <w:numPr>
          <w:ilvl w:val="0"/>
          <w:numId w:val="2"/>
        </w:numPr>
        <w:spacing w:after="40" w:before="40"/>
      </w:pPr>
      <w:r>
        <w:rPr>
          <w:rFonts w:ascii="Arial" w:cs="Arial" w:eastAsia="Arial" w:hAnsi="Arial"/>
          <w:sz w:val="20"/>
          <w:szCs w:val="20"/>
        </w:rPr>
        <w:t xml:space="preserve">Mandatory human review for applications scoring ≥80 on composite identity risk score.</w:t>
      </w:r>
    </w:p>
    <w:p>
      <w:pPr>
        <w:pStyle w:val="ListParagraph"/>
        <w:numPr>
          <w:ilvl w:val="0"/>
          <w:numId w:val="2"/>
        </w:numPr>
        <w:spacing w:after="40" w:before="40"/>
      </w:pPr>
      <w:r>
        <w:rPr>
          <w:rFonts w:ascii="Arial" w:cs="Arial" w:eastAsia="Arial" w:hAnsi="Arial"/>
          <w:sz w:val="20"/>
          <w:szCs w:val="20"/>
        </w:rPr>
        <w:t xml:space="preserve">Flag and hold for applications with budget variance &gt;40% from benchmark for the project category.</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E. Detective Controls</w:t>
      </w:r>
    </w:p>
    <w:p>
      <w:pPr>
        <w:pStyle w:val="ListParagraph"/>
        <w:numPr>
          <w:ilvl w:val="0"/>
          <w:numId w:val="2"/>
        </w:numPr>
        <w:spacing w:after="40" w:before="40"/>
      </w:pPr>
      <w:r>
        <w:rPr>
          <w:rFonts w:ascii="Arial" w:cs="Arial" w:eastAsia="Arial" w:hAnsi="Arial"/>
          <w:sz w:val="20"/>
          <w:szCs w:val="20"/>
        </w:rPr>
        <w:t xml:space="preserve">Post-submission batch scan of all applications in active review against deduplication engine.</w:t>
      </w:r>
    </w:p>
    <w:p>
      <w:pPr>
        <w:pStyle w:val="ListParagraph"/>
        <w:numPr>
          <w:ilvl w:val="0"/>
          <w:numId w:val="2"/>
        </w:numPr>
        <w:spacing w:after="40" w:before="40"/>
      </w:pPr>
      <w:r>
        <w:rPr>
          <w:rFonts w:ascii="Arial" w:cs="Arial" w:eastAsia="Arial" w:hAnsi="Arial"/>
          <w:sz w:val="20"/>
          <w:szCs w:val="20"/>
        </w:rPr>
        <w:t xml:space="preserve">Weekly report of new duplicate clusters for grantor review queue.</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F. Data Requirements</w:t>
      </w:r>
    </w:p>
    <w:p>
      <w:pPr>
        <w:pStyle w:val="ListParagraph"/>
        <w:numPr>
          <w:ilvl w:val="0"/>
          <w:numId w:val="2"/>
        </w:numPr>
        <w:spacing w:after="40" w:before="40"/>
      </w:pPr>
      <w:r>
        <w:rPr>
          <w:rFonts w:ascii="Arial" w:cs="Arial" w:eastAsia="Arial" w:hAnsi="Arial"/>
          <w:sz w:val="20"/>
          <w:szCs w:val="20"/>
        </w:rPr>
        <w:t xml:space="preserve">Application submission data (EIN, address, contact info, budget detail, project narrative).</w:t>
      </w:r>
    </w:p>
    <w:p>
      <w:pPr>
        <w:pStyle w:val="ListParagraph"/>
        <w:numPr>
          <w:ilvl w:val="0"/>
          <w:numId w:val="2"/>
        </w:numPr>
        <w:spacing w:after="40" w:before="40"/>
      </w:pPr>
      <w:r>
        <w:rPr>
          <w:rFonts w:ascii="Arial" w:cs="Arial" w:eastAsia="Arial" w:hAnsi="Arial"/>
          <w:sz w:val="20"/>
          <w:szCs w:val="20"/>
        </w:rPr>
        <w:t xml:space="preserve">SAM.gov and Treasury DNP API feeds.</w:t>
      </w:r>
    </w:p>
    <w:p>
      <w:pPr>
        <w:pStyle w:val="ListParagraph"/>
        <w:numPr>
          <w:ilvl w:val="0"/>
          <w:numId w:val="2"/>
        </w:numPr>
        <w:spacing w:after="40" w:before="40"/>
      </w:pPr>
      <w:r>
        <w:rPr>
          <w:rFonts w:ascii="Arial" w:cs="Arial" w:eastAsia="Arial" w:hAnsi="Arial"/>
          <w:sz w:val="20"/>
          <w:szCs w:val="20"/>
        </w:rPr>
        <w:t xml:space="preserve">Historical award data for cross-program overlap detection.</w:t>
      </w:r>
    </w:p>
    <w:p>
      <w:pPr>
        <w:pStyle w:val="ListParagraph"/>
        <w:numPr>
          <w:ilvl w:val="0"/>
          <w:numId w:val="2"/>
        </w:numPr>
        <w:spacing w:after="40" w:before="40"/>
      </w:pPr>
      <w:r>
        <w:rPr>
          <w:rFonts w:ascii="Arial" w:cs="Arial" w:eastAsia="Arial" w:hAnsi="Arial"/>
          <w:sz w:val="20"/>
          <w:szCs w:val="20"/>
        </w:rPr>
        <w:t xml:space="preserve">Cost benchmark database by project type, region, and scope.</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G. User Roles &amp; Needs</w:t>
      </w:r>
    </w:p>
    <w:p>
      <w:pPr>
        <w:pStyle w:val="ListParagraph"/>
        <w:numPr>
          <w:ilvl w:val="0"/>
          <w:numId w:val="2"/>
        </w:numPr>
        <w:spacing w:after="40" w:before="40"/>
      </w:pPr>
      <w:r>
        <w:rPr>
          <w:rFonts w:ascii="Arial" w:cs="Arial" w:eastAsia="Arial" w:hAnsi="Arial"/>
          <w:sz w:val="20"/>
          <w:szCs w:val="20"/>
        </w:rPr>
        <w:t xml:space="preserve">Grants Management Officers: Need prioritized review queue with risk scores and specific flag reasons.</w:t>
      </w:r>
    </w:p>
    <w:p>
      <w:pPr>
        <w:pStyle w:val="ListParagraph"/>
        <w:numPr>
          <w:ilvl w:val="0"/>
          <w:numId w:val="2"/>
        </w:numPr>
        <w:spacing w:after="40" w:before="40"/>
      </w:pPr>
      <w:r>
        <w:rPr>
          <w:rFonts w:ascii="Arial" w:cs="Arial" w:eastAsia="Arial" w:hAnsi="Arial"/>
          <w:sz w:val="20"/>
          <w:szCs w:val="20"/>
        </w:rPr>
        <w:t xml:space="preserve">OIG Referral Coordinators: Need export-ready fraud referral packages with supporting evidence.</w:t>
      </w:r>
    </w:p>
    <w:p>
      <w:pPr>
        <w:pStyle w:val="ListParagraph"/>
        <w:numPr>
          <w:ilvl w:val="0"/>
          <w:numId w:val="2"/>
        </w:numPr>
        <w:spacing w:after="40" w:before="40"/>
      </w:pPr>
      <w:r>
        <w:rPr>
          <w:rFonts w:ascii="Arial" w:cs="Arial" w:eastAsia="Arial" w:hAnsi="Arial"/>
          <w:sz w:val="20"/>
          <w:szCs w:val="20"/>
        </w:rPr>
        <w:t xml:space="preserve">Federal Program Directors: Need aggregate pre-award fraud risk dashboard by program.</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H. Expected Outcomes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 (Current State)</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(Post-Deployment)</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Pre-award fraud losses</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$45.6B documented COVID-era (PRAC 2023)</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Target ≥40% reduction in flagged-and-reviewed fraudulent awards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SAM.gov check coverage at application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Inconsistent; often at award only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100% of applications at submission</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Duplicate application detection rate</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Manual; estimated &lt;20%</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≥95% detection within 24 hours of submission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Time from application to fraud flag</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Days to weeks (manual review)</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&lt;2 hours (automated engine)</w:t>
            </w:r>
          </w:p>
        </w:tc>
      </w:tr>
    </w:tbl>
    <w:p>
      <w:pPr>
        <w:pageBreakBefore/>
      </w:pPr>
      <w:r>
        <w:rPr>
          <w:sz w:val="20"/>
          <w:szCs w:val="20"/>
        </w:rPr>
        <w:t xml:space="preserve"/>
      </w:r>
    </w:p>
    <w:p>
      <w:pPr>
        <w:pStyle w:val="Heading2"/>
        <w:shd w:fill="1F3864" w:val="clear"/>
        <w:spacing w:after="0" w:before="240"/>
        <w:ind w:left="180" w:right="180"/>
      </w:pPr>
      <w:r>
        <w:rPr>
          <w:rFonts w:ascii="Arial" w:cs="Arial" w:eastAsia="Arial" w:hAnsi="Arial"/>
          <w:b/>
          <w:bCs/>
          <w:color w:val="FFFFFF"/>
          <w:sz w:val="24"/>
          <w:szCs w:val="24"/>
        </w:rPr>
        <w:t xml:space="preserve">III.6 — Post-Award Transaction Monitoring Failures</w:t>
      </w:r>
    </w:p>
    <w:p>
      <w:pPr>
        <w:spacing w:after="0" w:before="4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A. Business Context &amp; Implications</w:t>
      </w:r>
    </w:p>
    <w:p>
      <w:pPr>
        <w:spacing w:after="60" w:before="60"/>
      </w:pPr>
      <w:r>
        <w:rPr>
          <w:rFonts w:ascii="Arial" w:cs="Arial" w:eastAsia="Arial" w:hAnsi="Arial"/>
          <w:color w:val="000000"/>
          <w:sz w:val="20"/>
          <w:szCs w:val="20"/>
        </w:rPr>
        <w:t xml:space="preserve">HUD OIG Report H-2022-005 identified $380 million in unsupported costs across CDBG-DR grantees — costs that were incurred, processed, and in many cases disbursed before any oversight mechanism identified the problem. GAO-23-105678 documented recurring duplicate invoice findings across multiple infrastructure programs as a category that post-award monitoring systems consistently fail to eliminate. The financial harm of post-award monitoring failures is compounded by timing: by the time an OIG audit surfaces a finding, the grant period has often closed, contractors have been paid and disbanded, and the possibility of funds recovery is remote. Continuous transaction monitoring, operating in real time within the grant period, is the only mechanism that can intercept these losses before they become permanent.</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B. Root Causes</w:t>
      </w:r>
    </w:p>
    <w:p>
      <w:pPr>
        <w:pStyle w:val="ListParagraph"/>
        <w:numPr>
          <w:ilvl w:val="0"/>
          <w:numId w:val="2"/>
        </w:numPr>
        <w:spacing w:after="40" w:before="40"/>
      </w:pPr>
      <w:r>
        <w:rPr>
          <w:rFonts w:ascii="Arial" w:cs="Arial" w:eastAsia="Arial" w:hAnsi="Arial"/>
          <w:sz w:val="20"/>
          <w:szCs w:val="20"/>
        </w:rPr>
        <w:t xml:space="preserve">Grantee financial systems do not have built-in duplicate invoice detection or vendor risk monitoring.</w:t>
      </w:r>
    </w:p>
    <w:p>
      <w:pPr>
        <w:pStyle w:val="ListParagraph"/>
        <w:numPr>
          <w:ilvl w:val="0"/>
          <w:numId w:val="2"/>
        </w:numPr>
        <w:spacing w:after="40" w:before="40"/>
      </w:pPr>
      <w:r>
        <w:rPr>
          <w:rFonts w:ascii="Arial" w:cs="Arial" w:eastAsia="Arial" w:hAnsi="Arial"/>
          <w:sz w:val="20"/>
          <w:szCs w:val="20"/>
        </w:rPr>
        <w:t xml:space="preserve">Federal program officers rely on periodic financial reports rather than real-time transaction data.</w:t>
      </w:r>
    </w:p>
    <w:p>
      <w:pPr>
        <w:pStyle w:val="ListParagraph"/>
        <w:numPr>
          <w:ilvl w:val="0"/>
          <w:numId w:val="2"/>
        </w:numPr>
        <w:spacing w:after="40" w:before="40"/>
      </w:pPr>
      <w:r>
        <w:rPr>
          <w:rFonts w:ascii="Arial" w:cs="Arial" w:eastAsia="Arial" w:hAnsi="Arial"/>
          <w:sz w:val="20"/>
          <w:szCs w:val="20"/>
        </w:rPr>
        <w:t xml:space="preserve">Vendor master files are not systematically reviewed for connected-entity relationships.</w:t>
      </w:r>
    </w:p>
    <w:p>
      <w:pPr>
        <w:pStyle w:val="ListParagraph"/>
        <w:numPr>
          <w:ilvl w:val="0"/>
          <w:numId w:val="2"/>
        </w:numPr>
        <w:spacing w:after="40" w:before="40"/>
      </w:pPr>
      <w:r>
        <w:rPr>
          <w:rFonts w:ascii="Arial" w:cs="Arial" w:eastAsia="Arial" w:hAnsi="Arial"/>
          <w:sz w:val="20"/>
          <w:szCs w:val="20"/>
        </w:rPr>
        <w:t xml:space="preserve">No cross-grantee vendor intelligence database to identify vendors with fraud histories across programs.</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C. Required Functional Capabilities</w:t>
      </w:r>
    </w:p>
    <w:p>
      <w:pPr>
        <w:pStyle w:val="ListParagraph"/>
        <w:numPr>
          <w:ilvl w:val="0"/>
          <w:numId w:val="2"/>
        </w:numPr>
        <w:spacing w:after="40" w:before="40"/>
      </w:pPr>
      <w:r>
        <w:rPr>
          <w:rFonts w:ascii="Arial" w:cs="Arial" w:eastAsia="Arial" w:hAnsi="Arial"/>
          <w:sz w:val="20"/>
          <w:szCs w:val="20"/>
        </w:rPr>
        <w:t xml:space="preserve">Real-time transaction monitoring with AI anomaly detection (isolation forest; LSTM for time-series spend patterns).</w:t>
      </w:r>
    </w:p>
    <w:p>
      <w:pPr>
        <w:pStyle w:val="ListParagraph"/>
        <w:numPr>
          <w:ilvl w:val="0"/>
          <w:numId w:val="2"/>
        </w:numPr>
        <w:spacing w:after="40" w:before="40"/>
      </w:pPr>
      <w:r>
        <w:rPr>
          <w:rFonts w:ascii="Arial" w:cs="Arial" w:eastAsia="Arial" w:hAnsi="Arial"/>
          <w:sz w:val="20"/>
          <w:szCs w:val="20"/>
        </w:rPr>
        <w:t xml:space="preserve">Invoice deduplication engine (exact match + fuzzy match across invoice number, vendor, amount, date).</w:t>
      </w:r>
    </w:p>
    <w:p>
      <w:pPr>
        <w:pStyle w:val="ListParagraph"/>
        <w:numPr>
          <w:ilvl w:val="0"/>
          <w:numId w:val="2"/>
        </w:numPr>
        <w:spacing w:after="40" w:before="40"/>
      </w:pPr>
      <w:r>
        <w:rPr>
          <w:rFonts w:ascii="Arial" w:cs="Arial" w:eastAsia="Arial" w:hAnsi="Arial"/>
          <w:sz w:val="20"/>
          <w:szCs w:val="20"/>
        </w:rPr>
        <w:t xml:space="preserve">Vendor entity-relationship graph updated continuously from SAM.gov, DUNS/UEI, and internal vendor master data.</w:t>
      </w:r>
    </w:p>
    <w:p>
      <w:pPr>
        <w:pStyle w:val="ListParagraph"/>
        <w:numPr>
          <w:ilvl w:val="0"/>
          <w:numId w:val="2"/>
        </w:numPr>
        <w:spacing w:after="40" w:before="40"/>
      </w:pPr>
      <w:r>
        <w:rPr>
          <w:rFonts w:ascii="Arial" w:cs="Arial" w:eastAsia="Arial" w:hAnsi="Arial"/>
          <w:sz w:val="20"/>
          <w:szCs w:val="20"/>
        </w:rPr>
        <w:t xml:space="preserve">Spend velocity monitoring with configurable alert thresholds per program type and cost category.</w:t>
      </w:r>
    </w:p>
    <w:p>
      <w:pPr>
        <w:pStyle w:val="ListParagraph"/>
        <w:numPr>
          <w:ilvl w:val="0"/>
          <w:numId w:val="2"/>
        </w:numPr>
        <w:spacing w:after="40" w:before="40"/>
      </w:pPr>
      <w:r>
        <w:rPr>
          <w:rFonts w:ascii="Arial" w:cs="Arial" w:eastAsia="Arial" w:hAnsi="Arial"/>
          <w:sz w:val="20"/>
          <w:szCs w:val="20"/>
        </w:rPr>
        <w:t xml:space="preserve">Cross-grantee vendor risk intelligence database identifying vendors flagged across multiple programs.</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D. Preventive Controls</w:t>
      </w:r>
    </w:p>
    <w:p>
      <w:pPr>
        <w:pStyle w:val="ListParagraph"/>
        <w:numPr>
          <w:ilvl w:val="0"/>
          <w:numId w:val="2"/>
        </w:numPr>
        <w:spacing w:after="40" w:before="40"/>
      </w:pPr>
      <w:r>
        <w:rPr>
          <w:rFonts w:ascii="Arial" w:cs="Arial" w:eastAsia="Arial" w:hAnsi="Arial"/>
          <w:sz w:val="20"/>
          <w:szCs w:val="20"/>
        </w:rPr>
        <w:t xml:space="preserve">Suppress payment on invoices matching a duplicate pattern until human review clears.</w:t>
      </w:r>
    </w:p>
    <w:p>
      <w:pPr>
        <w:pStyle w:val="ListParagraph"/>
        <w:numPr>
          <w:ilvl w:val="0"/>
          <w:numId w:val="2"/>
        </w:numPr>
        <w:spacing w:after="40" w:before="40"/>
      </w:pPr>
      <w:r>
        <w:rPr>
          <w:rFonts w:ascii="Arial" w:cs="Arial" w:eastAsia="Arial" w:hAnsi="Arial"/>
          <w:sz w:val="20"/>
          <w:szCs w:val="20"/>
        </w:rPr>
        <w:t xml:space="preserve">Block payment to vendors on SAM.gov exclusions list at transaction level (not only at award).</w:t>
      </w:r>
    </w:p>
    <w:p>
      <w:pPr>
        <w:pStyle w:val="ListParagraph"/>
        <w:numPr>
          <w:ilvl w:val="0"/>
          <w:numId w:val="2"/>
        </w:numPr>
        <w:spacing w:after="40" w:before="40"/>
      </w:pPr>
      <w:r>
        <w:rPr>
          <w:rFonts w:ascii="Arial" w:cs="Arial" w:eastAsia="Arial" w:hAnsi="Arial"/>
          <w:sz w:val="20"/>
          <w:szCs w:val="20"/>
        </w:rPr>
        <w:t xml:space="preserve">Require additional approval for transactions to vendors with active conflict-of-interest flags.</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E. Detective Controls</w:t>
      </w:r>
    </w:p>
    <w:p>
      <w:pPr>
        <w:pStyle w:val="ListParagraph"/>
        <w:numPr>
          <w:ilvl w:val="0"/>
          <w:numId w:val="2"/>
        </w:numPr>
        <w:spacing w:after="40" w:before="40"/>
      </w:pPr>
      <w:r>
        <w:rPr>
          <w:rFonts w:ascii="Arial" w:cs="Arial" w:eastAsia="Arial" w:hAnsi="Arial"/>
          <w:sz w:val="20"/>
          <w:szCs w:val="20"/>
        </w:rPr>
        <w:t xml:space="preserve">Daily anomaly scan of all posted transactions with risk score and flag reason documentation.</w:t>
      </w:r>
    </w:p>
    <w:p>
      <w:pPr>
        <w:pStyle w:val="ListParagraph"/>
        <w:numPr>
          <w:ilvl w:val="0"/>
          <w:numId w:val="2"/>
        </w:numPr>
        <w:spacing w:after="40" w:before="40"/>
      </w:pPr>
      <w:r>
        <w:rPr>
          <w:rFonts w:ascii="Arial" w:cs="Arial" w:eastAsia="Arial" w:hAnsi="Arial"/>
          <w:sz w:val="20"/>
          <w:szCs w:val="20"/>
        </w:rPr>
        <w:t xml:space="preserve">Monthly vendor risk report ranking vendors by cumulative risk score across all programs.</w:t>
      </w:r>
    </w:p>
    <w:p>
      <w:pPr>
        <w:pStyle w:val="ListParagraph"/>
        <w:numPr>
          <w:ilvl w:val="0"/>
          <w:numId w:val="2"/>
        </w:numPr>
        <w:spacing w:after="40" w:before="40"/>
      </w:pPr>
      <w:r>
        <w:rPr>
          <w:rFonts w:ascii="Arial" w:cs="Arial" w:eastAsia="Arial" w:hAnsi="Arial"/>
          <w:sz w:val="20"/>
          <w:szCs w:val="20"/>
        </w:rPr>
        <w:t xml:space="preserve">Quarterly spend pattern analysis comparing actual vs. expected expenditure profiles by cost category.</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F. Data Requirements</w:t>
      </w:r>
    </w:p>
    <w:p>
      <w:pPr>
        <w:pStyle w:val="ListParagraph"/>
        <w:numPr>
          <w:ilvl w:val="0"/>
          <w:numId w:val="2"/>
        </w:numPr>
        <w:spacing w:after="40" w:before="40"/>
      </w:pPr>
      <w:r>
        <w:rPr>
          <w:rFonts w:ascii="Arial" w:cs="Arial" w:eastAsia="Arial" w:hAnsi="Arial"/>
          <w:sz w:val="20"/>
          <w:szCs w:val="20"/>
        </w:rPr>
        <w:t xml:space="preserve">AP transaction detail (vendor ID, invoice number, amount, date, cost category, GL account, approver).</w:t>
      </w:r>
    </w:p>
    <w:p>
      <w:pPr>
        <w:pStyle w:val="ListParagraph"/>
        <w:numPr>
          <w:ilvl w:val="0"/>
          <w:numId w:val="2"/>
        </w:numPr>
        <w:spacing w:after="40" w:before="40"/>
      </w:pPr>
      <w:r>
        <w:rPr>
          <w:rFonts w:ascii="Arial" w:cs="Arial" w:eastAsia="Arial" w:hAnsi="Arial"/>
          <w:sz w:val="20"/>
          <w:szCs w:val="20"/>
        </w:rPr>
        <w:t xml:space="preserve">Vendor master file (name, EIN, address, banking details, principal officers).</w:t>
      </w:r>
    </w:p>
    <w:p>
      <w:pPr>
        <w:pStyle w:val="ListParagraph"/>
        <w:numPr>
          <w:ilvl w:val="0"/>
          <w:numId w:val="2"/>
        </w:numPr>
        <w:spacing w:after="40" w:before="40"/>
      </w:pPr>
      <w:r>
        <w:rPr>
          <w:rFonts w:ascii="Arial" w:cs="Arial" w:eastAsia="Arial" w:hAnsi="Arial"/>
          <w:sz w:val="20"/>
          <w:szCs w:val="20"/>
        </w:rPr>
        <w:t xml:space="preserve">SAM.gov exclusions and DUNS/UEI registry API feeds.</w:t>
      </w:r>
    </w:p>
    <w:p>
      <w:pPr>
        <w:pStyle w:val="ListParagraph"/>
        <w:numPr>
          <w:ilvl w:val="0"/>
          <w:numId w:val="2"/>
        </w:numPr>
        <w:spacing w:after="40" w:before="40"/>
      </w:pPr>
      <w:r>
        <w:rPr>
          <w:rFonts w:ascii="Arial" w:cs="Arial" w:eastAsia="Arial" w:hAnsi="Arial"/>
          <w:sz w:val="20"/>
          <w:szCs w:val="20"/>
        </w:rPr>
        <w:t xml:space="preserve">Historical transaction archive for model training and velocity baseline calculation.</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G. User Roles &amp; Needs</w:t>
      </w:r>
    </w:p>
    <w:p>
      <w:pPr>
        <w:pStyle w:val="ListParagraph"/>
        <w:numPr>
          <w:ilvl w:val="0"/>
          <w:numId w:val="2"/>
        </w:numPr>
        <w:spacing w:after="40" w:before="40"/>
      </w:pPr>
      <w:r>
        <w:rPr>
          <w:rFonts w:ascii="Arial" w:cs="Arial" w:eastAsia="Arial" w:hAnsi="Arial"/>
          <w:sz w:val="20"/>
          <w:szCs w:val="20"/>
        </w:rPr>
        <w:t xml:space="preserve">AP Managers: Need real-time alert queue with clear hold/release action prompts.</w:t>
      </w:r>
    </w:p>
    <w:p>
      <w:pPr>
        <w:pStyle w:val="ListParagraph"/>
        <w:numPr>
          <w:ilvl w:val="0"/>
          <w:numId w:val="2"/>
        </w:numPr>
        <w:spacing w:after="40" w:before="40"/>
      </w:pPr>
      <w:r>
        <w:rPr>
          <w:rFonts w:ascii="Arial" w:cs="Arial" w:eastAsia="Arial" w:hAnsi="Arial"/>
          <w:sz w:val="20"/>
          <w:szCs w:val="20"/>
        </w:rPr>
        <w:t xml:space="preserve">Program Monitors: Need transaction anomaly summary by program and vendor.</w:t>
      </w:r>
    </w:p>
    <w:p>
      <w:pPr>
        <w:pStyle w:val="ListParagraph"/>
        <w:numPr>
          <w:ilvl w:val="0"/>
          <w:numId w:val="2"/>
        </w:numPr>
        <w:spacing w:after="40" w:before="40"/>
      </w:pPr>
      <w:r>
        <w:rPr>
          <w:rFonts w:ascii="Arial" w:cs="Arial" w:eastAsia="Arial" w:hAnsi="Arial"/>
          <w:sz w:val="20"/>
          <w:szCs w:val="20"/>
        </w:rPr>
        <w:t xml:space="preserve">OIG Investigators: Need full transaction history with anomaly flags, risk scores, and vendor relationship maps.</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H. Expected Outcomes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 (Current State)</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(Post-Deployment)</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Unsupported costs identified per program</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$380M in CDBG-DR (HUD OIG H-2022-005)</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Target ≥50% reduction in unsupported cost rate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Duplicate invoice finding rate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Recurring in all reviewed programs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&lt;0.05% of invoices processed</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Vendor risk review coverage</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Manual; &lt;5% of vendor transactions reviewed</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100% of transactions scored; ≥90% of high-risk flagged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Time from fraudulent transaction to detection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6–18 months (next audit cycle)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&lt;48 hours (real-time monitoring)</w:t>
            </w:r>
          </w:p>
        </w:tc>
      </w:tr>
    </w:tbl>
    <w:p>
      <w:pPr>
        <w:pageBreakBefore/>
      </w:pPr>
      <w:r>
        <w:rPr>
          <w:sz w:val="20"/>
          <w:szCs w:val="20"/>
        </w:rPr>
        <w:t xml:space="preserve"/>
      </w:r>
    </w:p>
    <w:p>
      <w:pPr>
        <w:pStyle w:val="Heading2"/>
        <w:shd w:fill="1F3864" w:val="clear"/>
        <w:spacing w:after="0" w:before="240"/>
        <w:ind w:left="180" w:right="180"/>
      </w:pPr>
      <w:r>
        <w:rPr>
          <w:rFonts w:ascii="Arial" w:cs="Arial" w:eastAsia="Arial" w:hAnsi="Arial"/>
          <w:b/>
          <w:bCs/>
          <w:color w:val="FFFFFF"/>
          <w:sz w:val="24"/>
          <w:szCs w:val="24"/>
        </w:rPr>
        <w:t xml:space="preserve">III.7 — Non-Compliance with OMB Uniform Guidance (2 CFR Part 200)</w:t>
      </w:r>
    </w:p>
    <w:p>
      <w:pPr>
        <w:spacing w:after="0" w:before="4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A. Business Context &amp; Implications</w:t>
      </w:r>
    </w:p>
    <w:p>
      <w:pPr>
        <w:spacing w:after="60" w:before="60"/>
      </w:pPr>
      <w:r>
        <w:rPr>
          <w:rFonts w:ascii="Arial" w:cs="Arial" w:eastAsia="Arial" w:hAnsi="Arial"/>
          <w:color w:val="000000"/>
          <w:sz w:val="20"/>
          <w:szCs w:val="20"/>
        </w:rPr>
        <w:t xml:space="preserve">Single Audit findings related to 2 CFR Part 200 compliance appeared in 63% of HUD CDBG-DR audits reviewed in FY2023, making Uniform Guidance non-compliance the single most prevalent finding category in federally audited programs. The consequences range from questioned costs — which require grantee repayment to the federal agency — to material weakness determinations, which can trigger suspension of draw-down authority and in extreme cases, debarment from future awards. The $10 billion in annual questioned costs documented in Single Audit data represent only the fraction detected through periodic auditing; the actual scale of non-compliant expenditure is estimated to be substantially higher. For grantees managing multiple awards from multiple agencies, the compliance burden is multiplicative: each award may have program-specific requirements layered on top of the universal Uniform Guidance requirements.</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B. Root Causes</w:t>
      </w:r>
    </w:p>
    <w:p>
      <w:pPr>
        <w:pStyle w:val="ListParagraph"/>
        <w:numPr>
          <w:ilvl w:val="0"/>
          <w:numId w:val="2"/>
        </w:numPr>
        <w:spacing w:after="40" w:before="40"/>
      </w:pPr>
      <w:r>
        <w:rPr>
          <w:rFonts w:ascii="Arial" w:cs="Arial" w:eastAsia="Arial" w:hAnsi="Arial"/>
          <w:sz w:val="20"/>
          <w:szCs w:val="20"/>
        </w:rPr>
        <w:t xml:space="preserve">2 CFR Part 200's 400+ pages of requirements are not organized for operational use by grantee finance staff.</w:t>
      </w:r>
    </w:p>
    <w:p>
      <w:pPr>
        <w:pStyle w:val="ListParagraph"/>
        <w:numPr>
          <w:ilvl w:val="0"/>
          <w:numId w:val="2"/>
        </w:numPr>
        <w:spacing w:after="40" w:before="40"/>
      </w:pPr>
      <w:r>
        <w:rPr>
          <w:rFonts w:ascii="Arial" w:cs="Arial" w:eastAsia="Arial" w:hAnsi="Arial"/>
          <w:sz w:val="20"/>
          <w:szCs w:val="20"/>
        </w:rPr>
        <w:t xml:space="preserve">No real-time compliance monitoring tool exists that maps transactions to specific regulatory clauses as they are processed.</w:t>
      </w:r>
    </w:p>
    <w:p>
      <w:pPr>
        <w:pStyle w:val="ListParagraph"/>
        <w:numPr>
          <w:ilvl w:val="0"/>
          <w:numId w:val="2"/>
        </w:numPr>
        <w:spacing w:after="40" w:before="40"/>
      </w:pPr>
      <w:r>
        <w:rPr>
          <w:rFonts w:ascii="Arial" w:cs="Arial" w:eastAsia="Arial" w:hAnsi="Arial"/>
          <w:sz w:val="20"/>
          <w:szCs w:val="20"/>
        </w:rPr>
        <w:t xml:space="preserve">Subrecipient monitoring requirements (2 CFR 200.330–332) require grantees to monitor organizations they lack the resources to oversee effectively.</w:t>
      </w:r>
    </w:p>
    <w:p>
      <w:pPr>
        <w:pStyle w:val="ListParagraph"/>
        <w:numPr>
          <w:ilvl w:val="0"/>
          <w:numId w:val="2"/>
        </w:numPr>
        <w:spacing w:after="40" w:before="40"/>
      </w:pPr>
      <w:r>
        <w:rPr>
          <w:rFonts w:ascii="Arial" w:cs="Arial" w:eastAsia="Arial" w:hAnsi="Arial"/>
          <w:sz w:val="20"/>
          <w:szCs w:val="20"/>
        </w:rPr>
        <w:t xml:space="preserve">Cost principle violations (2 CFR 200.400–475) require adjudication of whether specific costs are allowable, allocable, and reasonable — a judgment requiring regulatory expertise most grantees lack.</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C. Required Functional Capabilities</w:t>
      </w:r>
    </w:p>
    <w:p>
      <w:pPr>
        <w:pStyle w:val="ListParagraph"/>
        <w:numPr>
          <w:ilvl w:val="0"/>
          <w:numId w:val="2"/>
        </w:numPr>
        <w:spacing w:after="40" w:before="40"/>
      </w:pPr>
      <w:r>
        <w:rPr>
          <w:rFonts w:ascii="Arial" w:cs="Arial" w:eastAsia="Arial" w:hAnsi="Arial"/>
          <w:sz w:val="20"/>
          <w:szCs w:val="20"/>
        </w:rPr>
        <w:t xml:space="preserve">Automated 2 CFR 200 compliance checklist runner validating each transaction against applicable cost principles at posting.</w:t>
      </w:r>
    </w:p>
    <w:p>
      <w:pPr>
        <w:pStyle w:val="ListParagraph"/>
        <w:numPr>
          <w:ilvl w:val="0"/>
          <w:numId w:val="2"/>
        </w:numPr>
        <w:spacing w:after="40" w:before="40"/>
      </w:pPr>
      <w:r>
        <w:rPr>
          <w:rFonts w:ascii="Arial" w:cs="Arial" w:eastAsia="Arial" w:hAnsi="Arial"/>
          <w:sz w:val="20"/>
          <w:szCs w:val="20"/>
        </w:rPr>
        <w:t xml:space="preserve">Subrecipient risk classification and monitoring schedule generator producing customized oversight plans per 2 CFR 200.330.</w:t>
      </w:r>
    </w:p>
    <w:p>
      <w:pPr>
        <w:pStyle w:val="ListParagraph"/>
        <w:numPr>
          <w:ilvl w:val="0"/>
          <w:numId w:val="2"/>
        </w:numPr>
        <w:spacing w:after="40" w:before="40"/>
      </w:pPr>
      <w:r>
        <w:rPr>
          <w:rFonts w:ascii="Arial" w:cs="Arial" w:eastAsia="Arial" w:hAnsi="Arial"/>
          <w:sz w:val="20"/>
          <w:szCs w:val="20"/>
        </w:rPr>
        <w:t xml:space="preserve">Cost allowability advisor providing transaction-level guidance on whether specific cost types are allowable under the award agreement.</w:t>
      </w:r>
    </w:p>
    <w:p>
      <w:pPr>
        <w:pStyle w:val="ListParagraph"/>
        <w:numPr>
          <w:ilvl w:val="0"/>
          <w:numId w:val="2"/>
        </w:numPr>
        <w:spacing w:after="40" w:before="40"/>
      </w:pPr>
      <w:r>
        <w:rPr>
          <w:rFonts w:ascii="Arial" w:cs="Arial" w:eastAsia="Arial" w:hAnsi="Arial"/>
          <w:sz w:val="20"/>
          <w:szCs w:val="20"/>
        </w:rPr>
        <w:t xml:space="preserve">Cross-program compliance matrix displaying compliance status across all active awards for multi-award grantees.</w:t>
      </w:r>
    </w:p>
    <w:p>
      <w:pPr>
        <w:pStyle w:val="ListParagraph"/>
        <w:numPr>
          <w:ilvl w:val="0"/>
          <w:numId w:val="2"/>
        </w:numPr>
        <w:spacing w:after="40" w:before="40"/>
      </w:pPr>
      <w:r>
        <w:rPr>
          <w:rFonts w:ascii="Arial" w:cs="Arial" w:eastAsia="Arial" w:hAnsi="Arial"/>
          <w:sz w:val="20"/>
          <w:szCs w:val="20"/>
        </w:rPr>
        <w:t xml:space="preserve">Regulatory change notification engine alerting grantees to OMB Uniform Guidance amendments within 5 business days of effective date.</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D. Preventive Controls</w:t>
      </w:r>
    </w:p>
    <w:p>
      <w:pPr>
        <w:pStyle w:val="ListParagraph"/>
        <w:numPr>
          <w:ilvl w:val="0"/>
          <w:numId w:val="2"/>
        </w:numPr>
        <w:spacing w:after="40" w:before="40"/>
      </w:pPr>
      <w:r>
        <w:rPr>
          <w:rFonts w:ascii="Arial" w:cs="Arial" w:eastAsia="Arial" w:hAnsi="Arial"/>
          <w:sz w:val="20"/>
          <w:szCs w:val="20"/>
        </w:rPr>
        <w:t xml:space="preserve">Block processing of transactions in cost categories not authorized under the specific award's cost structure.</w:t>
      </w:r>
    </w:p>
    <w:p>
      <w:pPr>
        <w:pStyle w:val="ListParagraph"/>
        <w:numPr>
          <w:ilvl w:val="0"/>
          <w:numId w:val="2"/>
        </w:numPr>
        <w:spacing w:after="40" w:before="40"/>
      </w:pPr>
      <w:r>
        <w:rPr>
          <w:rFonts w:ascii="Arial" w:cs="Arial" w:eastAsia="Arial" w:hAnsi="Arial"/>
          <w:sz w:val="20"/>
          <w:szCs w:val="20"/>
        </w:rPr>
        <w:t xml:space="preserve">Enforce prior approval requirements (2 CFR 200.308) by routing budget modifications above threshold to grantor workflow.</w:t>
      </w:r>
    </w:p>
    <w:p>
      <w:pPr>
        <w:pStyle w:val="ListParagraph"/>
        <w:numPr>
          <w:ilvl w:val="0"/>
          <w:numId w:val="2"/>
        </w:numPr>
        <w:spacing w:after="40" w:before="40"/>
      </w:pPr>
      <w:r>
        <w:rPr>
          <w:rFonts w:ascii="Arial" w:cs="Arial" w:eastAsia="Arial" w:hAnsi="Arial"/>
          <w:sz w:val="20"/>
          <w:szCs w:val="20"/>
        </w:rPr>
        <w:t xml:space="preserve">Flag indirect cost rate applications exceeding negotiated rate agreement with a hold for review.</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E. Detective Controls</w:t>
      </w:r>
    </w:p>
    <w:p>
      <w:pPr>
        <w:pStyle w:val="ListParagraph"/>
        <w:numPr>
          <w:ilvl w:val="0"/>
          <w:numId w:val="2"/>
        </w:numPr>
        <w:spacing w:after="40" w:before="40"/>
      </w:pPr>
      <w:r>
        <w:rPr>
          <w:rFonts w:ascii="Arial" w:cs="Arial" w:eastAsia="Arial" w:hAnsi="Arial"/>
          <w:sz w:val="20"/>
          <w:szCs w:val="20"/>
        </w:rPr>
        <w:t xml:space="preserve">Weekly compliance score update per award, per cost category, and per regulatory domain.</w:t>
      </w:r>
    </w:p>
    <w:p>
      <w:pPr>
        <w:pStyle w:val="ListParagraph"/>
        <w:numPr>
          <w:ilvl w:val="0"/>
          <w:numId w:val="2"/>
        </w:numPr>
        <w:spacing w:after="40" w:before="40"/>
      </w:pPr>
      <w:r>
        <w:rPr>
          <w:rFonts w:ascii="Arial" w:cs="Arial" w:eastAsia="Arial" w:hAnsi="Arial"/>
          <w:sz w:val="20"/>
          <w:szCs w:val="20"/>
        </w:rPr>
        <w:t xml:space="preserve">Automatic flag when subrecipient monitoring schedule milestones are missed.</w:t>
      </w:r>
    </w:p>
    <w:p>
      <w:pPr>
        <w:pStyle w:val="ListParagraph"/>
        <w:numPr>
          <w:ilvl w:val="0"/>
          <w:numId w:val="2"/>
        </w:numPr>
        <w:spacing w:after="40" w:before="40"/>
      </w:pPr>
      <w:r>
        <w:rPr>
          <w:rFonts w:ascii="Arial" w:cs="Arial" w:eastAsia="Arial" w:hAnsi="Arial"/>
          <w:sz w:val="20"/>
          <w:szCs w:val="20"/>
        </w:rPr>
        <w:t xml:space="preserve">Cross-award cost allocation check identifying costs charged to multiple awards without documented proportional allocation.</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F. Data Requirements</w:t>
      </w:r>
    </w:p>
    <w:p>
      <w:pPr>
        <w:pStyle w:val="ListParagraph"/>
        <w:numPr>
          <w:ilvl w:val="0"/>
          <w:numId w:val="2"/>
        </w:numPr>
        <w:spacing w:after="40" w:before="40"/>
      </w:pPr>
      <w:r>
        <w:rPr>
          <w:rFonts w:ascii="Arial" w:cs="Arial" w:eastAsia="Arial" w:hAnsi="Arial"/>
          <w:sz w:val="20"/>
          <w:szCs w:val="20"/>
        </w:rPr>
        <w:t xml:space="preserve">Complete 2 CFR Part 200 regulatory text mapped to operational checklist items (pre-loaded in control library).</w:t>
      </w:r>
    </w:p>
    <w:p>
      <w:pPr>
        <w:pStyle w:val="ListParagraph"/>
        <w:numPr>
          <w:ilvl w:val="0"/>
          <w:numId w:val="2"/>
        </w:numPr>
        <w:spacing w:after="40" w:before="40"/>
      </w:pPr>
      <w:r>
        <w:rPr>
          <w:rFonts w:ascii="Arial" w:cs="Arial" w:eastAsia="Arial" w:hAnsi="Arial"/>
          <w:sz w:val="20"/>
          <w:szCs w:val="20"/>
        </w:rPr>
        <w:t xml:space="preserve">Award-specific terms and conditions (cost categories, indirect cost rates, matching requirements, reporting deadlines).</w:t>
      </w:r>
    </w:p>
    <w:p>
      <w:pPr>
        <w:pStyle w:val="ListParagraph"/>
        <w:numPr>
          <w:ilvl w:val="0"/>
          <w:numId w:val="2"/>
        </w:numPr>
        <w:spacing w:after="40" w:before="40"/>
      </w:pPr>
      <w:r>
        <w:rPr>
          <w:rFonts w:ascii="Arial" w:cs="Arial" w:eastAsia="Arial" w:hAnsi="Arial"/>
          <w:sz w:val="20"/>
          <w:szCs w:val="20"/>
        </w:rPr>
        <w:t xml:space="preserve">Subrecipient database with award amounts, monitoring dates, and prior finding history.</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G. User Roles &amp; Needs</w:t>
      </w:r>
    </w:p>
    <w:p>
      <w:pPr>
        <w:pStyle w:val="ListParagraph"/>
        <w:numPr>
          <w:ilvl w:val="0"/>
          <w:numId w:val="2"/>
        </w:numPr>
        <w:spacing w:after="40" w:before="40"/>
      </w:pPr>
      <w:r>
        <w:rPr>
          <w:rFonts w:ascii="Arial" w:cs="Arial" w:eastAsia="Arial" w:hAnsi="Arial"/>
          <w:sz w:val="20"/>
          <w:szCs w:val="20"/>
        </w:rPr>
        <w:t xml:space="preserve">Grants Managers: Need award-level compliance scorecard with actionable next steps, not raw regulatory text.</w:t>
      </w:r>
    </w:p>
    <w:p>
      <w:pPr>
        <w:pStyle w:val="ListParagraph"/>
        <w:numPr>
          <w:ilvl w:val="0"/>
          <w:numId w:val="2"/>
        </w:numPr>
        <w:spacing w:after="40" w:before="40"/>
      </w:pPr>
      <w:r>
        <w:rPr>
          <w:rFonts w:ascii="Arial" w:cs="Arial" w:eastAsia="Arial" w:hAnsi="Arial"/>
          <w:sz w:val="20"/>
          <w:szCs w:val="20"/>
        </w:rPr>
        <w:t xml:space="preserve">Finance Officers: Need cost allowability advisor at point of transaction entry.</w:t>
      </w:r>
    </w:p>
    <w:p>
      <w:pPr>
        <w:pStyle w:val="ListParagraph"/>
        <w:numPr>
          <w:ilvl w:val="0"/>
          <w:numId w:val="2"/>
        </w:numPr>
        <w:spacing w:after="40" w:before="40"/>
      </w:pPr>
      <w:r>
        <w:rPr>
          <w:rFonts w:ascii="Arial" w:cs="Arial" w:eastAsia="Arial" w:hAnsi="Arial"/>
          <w:sz w:val="20"/>
          <w:szCs w:val="20"/>
        </w:rPr>
        <w:t xml:space="preserve">Subrecipient Monitors: Need automated monitoring schedule, checklist, and finding-documentation workflow.</w:t>
      </w:r>
    </w:p>
    <w:p>
      <w:pPr>
        <w:pStyle w:val="ListParagraph"/>
        <w:numPr>
          <w:ilvl w:val="0"/>
          <w:numId w:val="2"/>
        </w:numPr>
        <w:spacing w:after="40" w:before="40"/>
      </w:pPr>
      <w:r>
        <w:rPr>
          <w:rFonts w:ascii="Arial" w:cs="Arial" w:eastAsia="Arial" w:hAnsi="Arial"/>
          <w:sz w:val="20"/>
          <w:szCs w:val="20"/>
        </w:rPr>
        <w:t xml:space="preserve">Federal Program Officers: Need aggregate compliance score by grantee for desk review prioritization.</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H. Expected Outcomes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 (Current State)</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(Post-Deployment)</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 CFR 200 finding rate per audit</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63% of HUD audits (HUD OIG FY2023)</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&lt;20% within 24 months of enrollment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Questioned cost rate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$10B+ annually across all Single Audits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Target ≥30% reduction in enrolled grantee cohort</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Subrecipient monitoring completion</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Inconsistent; finding in majority of audits</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100% of monitoring schedules completed on time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Cost allowability advisory queries resolved</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Manual; 1–5 days to consult legal/program officer</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&lt;30 minutes through automated advisor</w:t>
            </w:r>
          </w:p>
        </w:tc>
      </w:tr>
    </w:tbl>
    <w:p>
      <w:pPr>
        <w:pageBreakBefore/>
      </w:pPr>
      <w:r>
        <w:rPr>
          <w:sz w:val="20"/>
          <w:szCs w:val="20"/>
        </w:rPr>
        <w:t xml:space="preserve"/>
      </w:r>
    </w:p>
    <w:p>
      <w:pPr>
        <w:pStyle w:val="Heading2"/>
        <w:shd w:fill="1F3864" w:val="clear"/>
        <w:spacing w:after="0" w:before="240"/>
        <w:ind w:left="180" w:right="180"/>
      </w:pPr>
      <w:r>
        <w:rPr>
          <w:rFonts w:ascii="Arial" w:cs="Arial" w:eastAsia="Arial" w:hAnsi="Arial"/>
          <w:b/>
          <w:bCs/>
          <w:color w:val="FFFFFF"/>
          <w:sz w:val="24"/>
          <w:szCs w:val="24"/>
        </w:rPr>
        <w:t xml:space="preserve">III.8 — Audit Readiness Failures and Single Audit Backlogs</w:t>
      </w:r>
    </w:p>
    <w:p>
      <w:pPr>
        <w:spacing w:after="0" w:before="4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A. Business Context &amp; Implications</w:t>
      </w:r>
    </w:p>
    <w:p>
      <w:pPr>
        <w:spacing w:after="60" w:before="60"/>
      </w:pPr>
      <w:r>
        <w:rPr>
          <w:rFonts w:ascii="Arial" w:cs="Arial" w:eastAsia="Arial" w:hAnsi="Arial"/>
          <w:color w:val="000000"/>
          <w:sz w:val="20"/>
          <w:szCs w:val="20"/>
        </w:rPr>
        <w:t xml:space="preserve">The Single Audit process — required for all organizations expending $750,000 or more in federal awards in a fiscal year — is the primary oversight mechanism for the majority of federal grant recipients. GAO's FY2022 analysis found that over 40% of Single Audits were submitted late, and HUD OIG reported a backlog of 1,800+ pending audit findings as of FY2023. Late audits mean that material weaknesses and fraud indicators are not identified until 12–18 months after the transactions occurred — by which time evidence has degraded, staff have turned over, and corrective action has a fraction of the impact it would have had in real time. Audit preparation is also extraordinarily resource-intensive for under-resourced grantees: the average small nonprofit grantee spends an estimated 300–500 staff hours per year preparing for its Single Audit, time entirely diverted from program delivery.</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B. Root Causes</w:t>
      </w:r>
    </w:p>
    <w:p>
      <w:pPr>
        <w:pStyle w:val="ListParagraph"/>
        <w:numPr>
          <w:ilvl w:val="0"/>
          <w:numId w:val="2"/>
        </w:numPr>
        <w:spacing w:after="40" w:before="40"/>
      </w:pPr>
      <w:r>
        <w:rPr>
          <w:rFonts w:ascii="Arial" w:cs="Arial" w:eastAsia="Arial" w:hAnsi="Arial"/>
          <w:sz w:val="20"/>
          <w:szCs w:val="20"/>
        </w:rPr>
        <w:t xml:space="preserve">Audit evidence is not captured continuously — grantees assemble documentation only at audit time from fragmented files.</w:t>
      </w:r>
    </w:p>
    <w:p>
      <w:pPr>
        <w:pStyle w:val="ListParagraph"/>
        <w:numPr>
          <w:ilvl w:val="0"/>
          <w:numId w:val="2"/>
        </w:numPr>
        <w:spacing w:after="40" w:before="40"/>
      </w:pPr>
      <w:r>
        <w:rPr>
          <w:rFonts w:ascii="Arial" w:cs="Arial" w:eastAsia="Arial" w:hAnsi="Arial"/>
          <w:sz w:val="20"/>
          <w:szCs w:val="20"/>
        </w:rPr>
        <w:t xml:space="preserve">Schedule of Expenditures of Federal Awards (SEFA) is prepared manually from financial records, introducing error risk.</w:t>
      </w:r>
    </w:p>
    <w:p>
      <w:pPr>
        <w:pStyle w:val="ListParagraph"/>
        <w:numPr>
          <w:ilvl w:val="0"/>
          <w:numId w:val="2"/>
        </w:numPr>
        <w:spacing w:after="40" w:before="40"/>
      </w:pPr>
      <w:r>
        <w:rPr>
          <w:rFonts w:ascii="Arial" w:cs="Arial" w:eastAsia="Arial" w:hAnsi="Arial"/>
          <w:sz w:val="20"/>
          <w:szCs w:val="20"/>
        </w:rPr>
        <w:t xml:space="preserve">Corrective Action Plans are managed through email and spreadsheets with no systematic tracking.</w:t>
      </w:r>
    </w:p>
    <w:p>
      <w:pPr>
        <w:pStyle w:val="ListParagraph"/>
        <w:numPr>
          <w:ilvl w:val="0"/>
          <w:numId w:val="2"/>
        </w:numPr>
        <w:spacing w:after="40" w:before="40"/>
      </w:pPr>
      <w:r>
        <w:rPr>
          <w:rFonts w:ascii="Arial" w:cs="Arial" w:eastAsia="Arial" w:hAnsi="Arial"/>
          <w:sz w:val="20"/>
          <w:szCs w:val="20"/>
        </w:rPr>
        <w:t xml:space="preserve">No standardized audit preparation checklist aligned to federal program-specific audit requirements.</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C. Required Functional Capabilities</w:t>
      </w:r>
    </w:p>
    <w:p>
      <w:pPr>
        <w:pStyle w:val="ListParagraph"/>
        <w:numPr>
          <w:ilvl w:val="0"/>
          <w:numId w:val="2"/>
        </w:numPr>
        <w:spacing w:after="40" w:before="40"/>
      </w:pPr>
      <w:r>
        <w:rPr>
          <w:rFonts w:ascii="Arial" w:cs="Arial" w:eastAsia="Arial" w:hAnsi="Arial"/>
          <w:sz w:val="20"/>
          <w:szCs w:val="20"/>
        </w:rPr>
        <w:t xml:space="preserve">Continuous evidence capture storing control test results, approval documentation, and transaction support at the point of activity.</w:t>
      </w:r>
    </w:p>
    <w:p>
      <w:pPr>
        <w:pStyle w:val="ListParagraph"/>
        <w:numPr>
          <w:ilvl w:val="0"/>
          <w:numId w:val="2"/>
        </w:numPr>
        <w:spacing w:after="40" w:before="40"/>
      </w:pPr>
      <w:r>
        <w:rPr>
          <w:rFonts w:ascii="Arial" w:cs="Arial" w:eastAsia="Arial" w:hAnsi="Arial"/>
          <w:sz w:val="20"/>
          <w:szCs w:val="20"/>
        </w:rPr>
        <w:t xml:space="preserve">Automated SEFA generator producing compliant SEFA from GL data with no manual data entry.</w:t>
      </w:r>
    </w:p>
    <w:p>
      <w:pPr>
        <w:pStyle w:val="ListParagraph"/>
        <w:numPr>
          <w:ilvl w:val="0"/>
          <w:numId w:val="2"/>
        </w:numPr>
        <w:spacing w:after="40" w:before="40"/>
      </w:pPr>
      <w:r>
        <w:rPr>
          <w:rFonts w:ascii="Arial" w:cs="Arial" w:eastAsia="Arial" w:hAnsi="Arial"/>
          <w:sz w:val="20"/>
          <w:szCs w:val="20"/>
        </w:rPr>
        <w:t xml:space="preserve">Single Audit preparation workflow guiding grantees through Schedule preparation, internal control questionnaire completion, and auditor document request fulfillment.</w:t>
      </w:r>
    </w:p>
    <w:p>
      <w:pPr>
        <w:pStyle w:val="ListParagraph"/>
        <w:numPr>
          <w:ilvl w:val="0"/>
          <w:numId w:val="2"/>
        </w:numPr>
        <w:spacing w:after="40" w:before="40"/>
      </w:pPr>
      <w:r>
        <w:rPr>
          <w:rFonts w:ascii="Arial" w:cs="Arial" w:eastAsia="Arial" w:hAnsi="Arial"/>
          <w:sz w:val="20"/>
          <w:szCs w:val="20"/>
        </w:rPr>
        <w:t xml:space="preserve">Corrective Action Plan (CAP) management system tracking all open findings with SLA enforcement and escalation.</w:t>
      </w:r>
    </w:p>
    <w:p>
      <w:pPr>
        <w:pStyle w:val="ListParagraph"/>
        <w:numPr>
          <w:ilvl w:val="0"/>
          <w:numId w:val="2"/>
        </w:numPr>
        <w:spacing w:after="40" w:before="40"/>
      </w:pPr>
      <w:r>
        <w:rPr>
          <w:rFonts w:ascii="Arial" w:cs="Arial" w:eastAsia="Arial" w:hAnsi="Arial"/>
          <w:sz w:val="20"/>
          <w:szCs w:val="20"/>
        </w:rPr>
        <w:t xml:space="preserve">Audit-ready evidence package export in formats accepted by CPA firms and the Federal Audit Clearinghouse.</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D. Preventive Controls</w:t>
      </w:r>
    </w:p>
    <w:p>
      <w:pPr>
        <w:pStyle w:val="ListParagraph"/>
        <w:numPr>
          <w:ilvl w:val="0"/>
          <w:numId w:val="2"/>
        </w:numPr>
        <w:spacing w:after="40" w:before="40"/>
      </w:pPr>
      <w:r>
        <w:rPr>
          <w:rFonts w:ascii="Arial" w:cs="Arial" w:eastAsia="Arial" w:hAnsi="Arial"/>
          <w:sz w:val="20"/>
          <w:szCs w:val="20"/>
        </w:rPr>
        <w:t xml:space="preserve">Mandatory evidence capture at each control point, preventing post-hoc assembly from memory.</w:t>
      </w:r>
    </w:p>
    <w:p>
      <w:pPr>
        <w:pStyle w:val="ListParagraph"/>
        <w:numPr>
          <w:ilvl w:val="0"/>
          <w:numId w:val="2"/>
        </w:numPr>
        <w:spacing w:after="40" w:before="40"/>
      </w:pPr>
      <w:r>
        <w:rPr>
          <w:rFonts w:ascii="Arial" w:cs="Arial" w:eastAsia="Arial" w:hAnsi="Arial"/>
          <w:sz w:val="20"/>
          <w:szCs w:val="20"/>
        </w:rPr>
        <w:t xml:space="preserve">SEFA pre-validation check 60 days before fiscal year-end, surfacing discrepancies while time to correct remains.</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E. Detective Controls</w:t>
      </w:r>
    </w:p>
    <w:p>
      <w:pPr>
        <w:pStyle w:val="ListParagraph"/>
        <w:numPr>
          <w:ilvl w:val="0"/>
          <w:numId w:val="2"/>
        </w:numPr>
        <w:spacing w:after="40" w:before="40"/>
      </w:pPr>
      <w:r>
        <w:rPr>
          <w:rFonts w:ascii="Arial" w:cs="Arial" w:eastAsia="Arial" w:hAnsi="Arial"/>
          <w:sz w:val="20"/>
          <w:szCs w:val="20"/>
        </w:rPr>
        <w:t xml:space="preserve">Audit readiness score (0–100) per grantee updated weekly, alerting management to deteriorating readiness.</w:t>
      </w:r>
    </w:p>
    <w:p>
      <w:pPr>
        <w:pStyle w:val="ListParagraph"/>
        <w:numPr>
          <w:ilvl w:val="0"/>
          <w:numId w:val="2"/>
        </w:numPr>
        <w:spacing w:after="40" w:before="40"/>
      </w:pPr>
      <w:r>
        <w:rPr>
          <w:rFonts w:ascii="Arial" w:cs="Arial" w:eastAsia="Arial" w:hAnsi="Arial"/>
          <w:sz w:val="20"/>
          <w:szCs w:val="20"/>
        </w:rPr>
        <w:t xml:space="preserve">Open-finding age tracker escalating unresolved findings to senior management at 30/60/90-day intervals.</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F. Data Requirements</w:t>
      </w:r>
    </w:p>
    <w:p>
      <w:pPr>
        <w:pStyle w:val="ListParagraph"/>
        <w:numPr>
          <w:ilvl w:val="0"/>
          <w:numId w:val="2"/>
        </w:numPr>
        <w:spacing w:after="40" w:before="40"/>
      </w:pPr>
      <w:r>
        <w:rPr>
          <w:rFonts w:ascii="Arial" w:cs="Arial" w:eastAsia="Arial" w:hAnsi="Arial"/>
          <w:sz w:val="20"/>
          <w:szCs w:val="20"/>
        </w:rPr>
        <w:t xml:space="preserve">Control test results and exception documentation (auto-captured from compliance engine).</w:t>
      </w:r>
    </w:p>
    <w:p>
      <w:pPr>
        <w:pStyle w:val="ListParagraph"/>
        <w:numPr>
          <w:ilvl w:val="0"/>
          <w:numId w:val="2"/>
        </w:numPr>
        <w:spacing w:after="40" w:before="40"/>
      </w:pPr>
      <w:r>
        <w:rPr>
          <w:rFonts w:ascii="Arial" w:cs="Arial" w:eastAsia="Arial" w:hAnsi="Arial"/>
          <w:sz w:val="20"/>
          <w:szCs w:val="20"/>
        </w:rPr>
        <w:t xml:space="preserve">ERP GL data for SEFA generation.</w:t>
      </w:r>
    </w:p>
    <w:p>
      <w:pPr>
        <w:pStyle w:val="ListParagraph"/>
        <w:numPr>
          <w:ilvl w:val="0"/>
          <w:numId w:val="2"/>
        </w:numPr>
        <w:spacing w:after="40" w:before="40"/>
      </w:pPr>
      <w:r>
        <w:rPr>
          <w:rFonts w:ascii="Arial" w:cs="Arial" w:eastAsia="Arial" w:hAnsi="Arial"/>
          <w:sz w:val="20"/>
          <w:szCs w:val="20"/>
        </w:rPr>
        <w:t xml:space="preserve">Prior-year audit findings and CAP status.</w:t>
      </w:r>
    </w:p>
    <w:p>
      <w:pPr>
        <w:pStyle w:val="ListParagraph"/>
        <w:numPr>
          <w:ilvl w:val="0"/>
          <w:numId w:val="2"/>
        </w:numPr>
        <w:spacing w:after="40" w:before="40"/>
      </w:pPr>
      <w:r>
        <w:rPr>
          <w:rFonts w:ascii="Arial" w:cs="Arial" w:eastAsia="Arial" w:hAnsi="Arial"/>
          <w:sz w:val="20"/>
          <w:szCs w:val="20"/>
        </w:rPr>
        <w:t xml:space="preserve">Federal Audit Clearinghouse API for direct submission and finding import.</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G. User Roles &amp; Needs</w:t>
      </w:r>
    </w:p>
    <w:p>
      <w:pPr>
        <w:pStyle w:val="ListParagraph"/>
        <w:numPr>
          <w:ilvl w:val="0"/>
          <w:numId w:val="2"/>
        </w:numPr>
        <w:spacing w:after="40" w:before="40"/>
      </w:pPr>
      <w:r>
        <w:rPr>
          <w:rFonts w:ascii="Arial" w:cs="Arial" w:eastAsia="Arial" w:hAnsi="Arial"/>
          <w:sz w:val="20"/>
          <w:szCs w:val="20"/>
        </w:rPr>
        <w:t xml:space="preserve">CFOs: Need audit readiness scorecard with executive-level summary and projected finding count.</w:t>
      </w:r>
    </w:p>
    <w:p>
      <w:pPr>
        <w:pStyle w:val="ListParagraph"/>
        <w:numPr>
          <w:ilvl w:val="0"/>
          <w:numId w:val="2"/>
        </w:numPr>
        <w:spacing w:after="40" w:before="40"/>
      </w:pPr>
      <w:r>
        <w:rPr>
          <w:rFonts w:ascii="Arial" w:cs="Arial" w:eastAsia="Arial" w:hAnsi="Arial"/>
          <w:sz w:val="20"/>
          <w:szCs w:val="20"/>
        </w:rPr>
        <w:t xml:space="preserve">Compliance Teams: Need guided audit preparation workflow with document request checklist.</w:t>
      </w:r>
    </w:p>
    <w:p>
      <w:pPr>
        <w:pStyle w:val="ListParagraph"/>
        <w:numPr>
          <w:ilvl w:val="0"/>
          <w:numId w:val="2"/>
        </w:numPr>
        <w:spacing w:after="40" w:before="40"/>
      </w:pPr>
      <w:r>
        <w:rPr>
          <w:rFonts w:ascii="Arial" w:cs="Arial" w:eastAsia="Arial" w:hAnsi="Arial"/>
          <w:sz w:val="20"/>
          <w:szCs w:val="20"/>
        </w:rPr>
        <w:t xml:space="preserve">External Auditors: Need secure document portal for evidence request fulfillment and finding communication.</w:t>
      </w:r>
    </w:p>
    <w:p>
      <w:pPr>
        <w:pStyle w:val="ListParagraph"/>
        <w:numPr>
          <w:ilvl w:val="0"/>
          <w:numId w:val="2"/>
        </w:numPr>
        <w:spacing w:after="40" w:before="40"/>
      </w:pPr>
      <w:r>
        <w:rPr>
          <w:rFonts w:ascii="Arial" w:cs="Arial" w:eastAsia="Arial" w:hAnsi="Arial"/>
          <w:sz w:val="20"/>
          <w:szCs w:val="20"/>
        </w:rPr>
        <w:t xml:space="preserve">Federal Program Officers: Need Single Audit submission status tracking per grantee.</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H. Expected Outcomes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 (Current State)</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(Post-Deployment)</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Single Audit late submission rate</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40%+ (GAO FY2022)</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&lt;10% within 18 months of enrollment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Audit preparation labor hours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300–500 hours/grantee/year (estimated)</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&lt;100 hours/grantee/year through automation</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Open OIG finding backlog</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1,800+ findings (HUD OIG FY2023)</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&lt;200 within 24 months for enrolled grantees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SEFA preparation error rate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Unquantified; manual process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&lt;0.01% variance from GL source</w:t>
            </w:r>
          </w:p>
        </w:tc>
      </w:tr>
    </w:tbl>
    <w:p>
      <w:pPr>
        <w:pageBreakBefore/>
      </w:pPr>
      <w:r>
        <w:rPr>
          <w:sz w:val="20"/>
          <w:szCs w:val="20"/>
        </w:rPr>
        <w:t xml:space="preserve"/>
      </w:r>
    </w:p>
    <w:p>
      <w:pPr>
        <w:pStyle w:val="Heading2"/>
        <w:shd w:fill="1F3864" w:val="clear"/>
        <w:spacing w:after="0" w:before="240"/>
        <w:ind w:left="180" w:right="180"/>
      </w:pPr>
      <w:r>
        <w:rPr>
          <w:rFonts w:ascii="Arial" w:cs="Arial" w:eastAsia="Arial" w:hAnsi="Arial"/>
          <w:b/>
          <w:bCs/>
          <w:color w:val="FFFFFF"/>
          <w:sz w:val="24"/>
          <w:szCs w:val="24"/>
        </w:rPr>
        <w:t xml:space="preserve">III.9 — Equity and Access Gaps in Federal Grant Distribution</w:t>
      </w:r>
    </w:p>
    <w:p>
      <w:pPr>
        <w:spacing w:after="0" w:before="4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A. Business Context &amp; Implications</w:t>
      </w:r>
    </w:p>
    <w:p>
      <w:pPr>
        <w:spacing w:after="60" w:before="60"/>
      </w:pPr>
      <w:r>
        <w:rPr>
          <w:rFonts w:ascii="Arial" w:cs="Arial" w:eastAsia="Arial" w:hAnsi="Arial"/>
          <w:color w:val="000000"/>
          <w:sz w:val="20"/>
          <w:szCs w:val="20"/>
        </w:rPr>
        <w:t xml:space="preserve">OMB M-21-19 identified systemic underrepresentation of disadvantaged communities in federal award distribution, establishing equity in program delivery as an explicit federal governance priority. GAO-21-264 documented that Puerto Rico received fewer than 40% of its entitled CDBG-DR disbursements — not due to ineligibility, but due to capacity and administrative barriers. These equity gaps are not incidental — they are structural consequences of compliance frameworks designed for well-resourced institutional grantees. The administrative burden of 2 CFR Part 200 compliance, the cost of qualified audit firms, and the technical requirements of federal financial reporting systems all disproportionately exclude the organizations operating in the communities with the highest need for federal investment. A grant compliance platform that does not affirmatively address this structural barrier perpetuates the problem it is designed to solve.</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B. Root Causes</w:t>
      </w:r>
    </w:p>
    <w:p>
      <w:pPr>
        <w:pStyle w:val="ListParagraph"/>
        <w:numPr>
          <w:ilvl w:val="0"/>
          <w:numId w:val="2"/>
        </w:numPr>
        <w:spacing w:after="40" w:before="40"/>
      </w:pPr>
      <w:r>
        <w:rPr>
          <w:rFonts w:ascii="Arial" w:cs="Arial" w:eastAsia="Arial" w:hAnsi="Arial"/>
          <w:sz w:val="20"/>
          <w:szCs w:val="20"/>
        </w:rPr>
        <w:t xml:space="preserve">Program design and reporting requirements assume organizational capacity that under-resourced entities do not have.</w:t>
      </w:r>
    </w:p>
    <w:p>
      <w:pPr>
        <w:pStyle w:val="ListParagraph"/>
        <w:numPr>
          <w:ilvl w:val="0"/>
          <w:numId w:val="2"/>
        </w:numPr>
        <w:spacing w:after="40" w:before="40"/>
      </w:pPr>
      <w:r>
        <w:rPr>
          <w:rFonts w:ascii="Arial" w:cs="Arial" w:eastAsia="Arial" w:hAnsi="Arial"/>
          <w:sz w:val="20"/>
          <w:szCs w:val="20"/>
        </w:rPr>
        <w:t xml:space="preserve">No disaggregated data infrastructure enables federal agencies to track award distribution by community type, income level, or demographic group.</w:t>
      </w:r>
    </w:p>
    <w:p>
      <w:pPr>
        <w:pStyle w:val="ListParagraph"/>
        <w:numPr>
          <w:ilvl w:val="0"/>
          <w:numId w:val="2"/>
        </w:numPr>
        <w:spacing w:after="40" w:before="40"/>
      </w:pPr>
      <w:r>
        <w:rPr>
          <w:rFonts w:ascii="Arial" w:cs="Arial" w:eastAsia="Arial" w:hAnsi="Arial"/>
          <w:sz w:val="20"/>
          <w:szCs w:val="20"/>
        </w:rPr>
        <w:t xml:space="preserve">English-only interfaces and compliance materials exclude non-English-speaking grantee staff in tribal and immigrant communities.</w:t>
      </w:r>
    </w:p>
    <w:p>
      <w:pPr>
        <w:pStyle w:val="ListParagraph"/>
        <w:numPr>
          <w:ilvl w:val="0"/>
          <w:numId w:val="2"/>
        </w:numPr>
        <w:spacing w:after="40" w:before="40"/>
      </w:pPr>
      <w:r>
        <w:rPr>
          <w:rFonts w:ascii="Arial" w:cs="Arial" w:eastAsia="Arial" w:hAnsi="Arial"/>
          <w:sz w:val="20"/>
          <w:szCs w:val="20"/>
        </w:rPr>
        <w:t xml:space="preserve">Flat-fee compliance consulting creates access barriers for organizations with limited operating budgets.</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C. Required Functional Capabilities</w:t>
      </w:r>
    </w:p>
    <w:p>
      <w:pPr>
        <w:pStyle w:val="ListParagraph"/>
        <w:numPr>
          <w:ilvl w:val="0"/>
          <w:numId w:val="2"/>
        </w:numPr>
        <w:spacing w:after="40" w:before="40"/>
      </w:pPr>
      <w:r>
        <w:rPr>
          <w:rFonts w:ascii="Arial" w:cs="Arial" w:eastAsia="Arial" w:hAnsi="Arial"/>
          <w:sz w:val="20"/>
          <w:szCs w:val="20"/>
        </w:rPr>
        <w:t xml:space="preserve">OMB M-21-19 equity metrics tracker measuring disaggregated award distribution by community type and disadvantage indicator.</w:t>
      </w:r>
    </w:p>
    <w:p>
      <w:pPr>
        <w:pStyle w:val="ListParagraph"/>
        <w:numPr>
          <w:ilvl w:val="0"/>
          <w:numId w:val="2"/>
        </w:numPr>
        <w:spacing w:after="40" w:before="40"/>
      </w:pPr>
      <w:r>
        <w:rPr>
          <w:rFonts w:ascii="Arial" w:cs="Arial" w:eastAsia="Arial" w:hAnsi="Arial"/>
          <w:sz w:val="20"/>
          <w:szCs w:val="20"/>
        </w:rPr>
        <w:t xml:space="preserve">Barrier identification scorecard assessing each grantee's administrative capacity against program requirements and surfacing specific gap areas.</w:t>
      </w:r>
    </w:p>
    <w:p>
      <w:pPr>
        <w:pStyle w:val="ListParagraph"/>
        <w:numPr>
          <w:ilvl w:val="0"/>
          <w:numId w:val="2"/>
        </w:numPr>
        <w:spacing w:after="40" w:before="40"/>
      </w:pPr>
      <w:r>
        <w:rPr>
          <w:rFonts w:ascii="Arial" w:cs="Arial" w:eastAsia="Arial" w:hAnsi="Arial"/>
          <w:sz w:val="20"/>
          <w:szCs w:val="20"/>
        </w:rPr>
        <w:t xml:space="preserve">Multi-language UI framework supporting Spanish and tribal languages for primary grant administration functions.</w:t>
      </w:r>
    </w:p>
    <w:p>
      <w:pPr>
        <w:pStyle w:val="ListParagraph"/>
        <w:numPr>
          <w:ilvl w:val="0"/>
          <w:numId w:val="2"/>
        </w:numPr>
        <w:spacing w:after="40" w:before="40"/>
      </w:pPr>
      <w:r>
        <w:rPr>
          <w:rFonts w:ascii="Arial" w:cs="Arial" w:eastAsia="Arial" w:hAnsi="Arial"/>
          <w:sz w:val="20"/>
          <w:szCs w:val="20"/>
        </w:rPr>
        <w:t xml:space="preserve">Simplified Tier 3 compliance path reducing administrative burden while maintaining regulatory compliance.</w:t>
      </w:r>
    </w:p>
    <w:p>
      <w:pPr>
        <w:pStyle w:val="ListParagraph"/>
        <w:numPr>
          <w:ilvl w:val="0"/>
          <w:numId w:val="2"/>
        </w:numPr>
        <w:spacing w:after="40" w:before="40"/>
      </w:pPr>
      <w:r>
        <w:rPr>
          <w:rFonts w:ascii="Arial" w:cs="Arial" w:eastAsia="Arial" w:hAnsi="Arial"/>
          <w:sz w:val="20"/>
          <w:szCs w:val="20"/>
        </w:rPr>
        <w:t xml:space="preserve">Integration with Census TIGER/Line, HUD Qualified Census Tracts, EJScreen, and CDFI Fund data for geographic equity analysis.</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D. Preventive Controls</w:t>
      </w:r>
    </w:p>
    <w:p>
      <w:pPr>
        <w:pStyle w:val="ListParagraph"/>
        <w:numPr>
          <w:ilvl w:val="0"/>
          <w:numId w:val="2"/>
        </w:numPr>
        <w:spacing w:after="40" w:before="40"/>
      </w:pPr>
      <w:r>
        <w:rPr>
          <w:rFonts w:ascii="Arial" w:cs="Arial" w:eastAsia="Arial" w:hAnsi="Arial"/>
          <w:sz w:val="20"/>
          <w:szCs w:val="20"/>
        </w:rPr>
        <w:t xml:space="preserve">Program design equity check alerting grantors when proposed application requirements would structurally exclude eligible under-resourced applicants.</w:t>
      </w:r>
    </w:p>
    <w:p>
      <w:pPr>
        <w:pStyle w:val="ListParagraph"/>
        <w:numPr>
          <w:ilvl w:val="0"/>
          <w:numId w:val="2"/>
        </w:numPr>
        <w:spacing w:after="40" w:before="40"/>
      </w:pPr>
      <w:r>
        <w:rPr>
          <w:rFonts w:ascii="Arial" w:cs="Arial" w:eastAsia="Arial" w:hAnsi="Arial"/>
          <w:sz w:val="20"/>
          <w:szCs w:val="20"/>
        </w:rPr>
        <w:t xml:space="preserve">Language-accessible notification system ensuring compliance deadlines reach grantees in preferred languages.</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E. Detective Controls</w:t>
      </w:r>
    </w:p>
    <w:p>
      <w:pPr>
        <w:pStyle w:val="ListParagraph"/>
        <w:numPr>
          <w:ilvl w:val="0"/>
          <w:numId w:val="2"/>
        </w:numPr>
        <w:spacing w:after="40" w:before="40"/>
      </w:pPr>
      <w:r>
        <w:rPr>
          <w:rFonts w:ascii="Arial" w:cs="Arial" w:eastAsia="Arial" w:hAnsi="Arial"/>
          <w:sz w:val="20"/>
          <w:szCs w:val="20"/>
        </w:rPr>
        <w:t xml:space="preserve">Quarterly equity analytics report showing award distribution by disadvantage tier, geography, and organization type.</w:t>
      </w:r>
    </w:p>
    <w:p>
      <w:pPr>
        <w:pStyle w:val="ListParagraph"/>
        <w:numPr>
          <w:ilvl w:val="0"/>
          <w:numId w:val="2"/>
        </w:numPr>
        <w:spacing w:after="40" w:before="40"/>
      </w:pPr>
      <w:r>
        <w:rPr>
          <w:rFonts w:ascii="Arial" w:cs="Arial" w:eastAsia="Arial" w:hAnsi="Arial"/>
          <w:sz w:val="20"/>
          <w:szCs w:val="20"/>
        </w:rPr>
        <w:t xml:space="preserve">Under-utilization flag identifying programs where eligible disadvantaged organizations have disproportionately low application or award rates.</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F. Data Requirements</w:t>
      </w:r>
    </w:p>
    <w:p>
      <w:pPr>
        <w:pStyle w:val="ListParagraph"/>
        <w:numPr>
          <w:ilvl w:val="0"/>
          <w:numId w:val="2"/>
        </w:numPr>
        <w:spacing w:after="40" w:before="40"/>
      </w:pPr>
      <w:r>
        <w:rPr>
          <w:rFonts w:ascii="Arial" w:cs="Arial" w:eastAsia="Arial" w:hAnsi="Arial"/>
          <w:sz w:val="20"/>
          <w:szCs w:val="20"/>
        </w:rPr>
        <w:t xml:space="preserve">Census TIGER/Line shapefiles and American Community Survey data for geographic equity mapping.</w:t>
      </w:r>
    </w:p>
    <w:p>
      <w:pPr>
        <w:pStyle w:val="ListParagraph"/>
        <w:numPr>
          <w:ilvl w:val="0"/>
          <w:numId w:val="2"/>
        </w:numPr>
        <w:spacing w:after="40" w:before="40"/>
      </w:pPr>
      <w:r>
        <w:rPr>
          <w:rFonts w:ascii="Arial" w:cs="Arial" w:eastAsia="Arial" w:hAnsi="Arial"/>
          <w:sz w:val="20"/>
          <w:szCs w:val="20"/>
        </w:rPr>
        <w:t xml:space="preserve">HUD Qualified Census Tract database.</w:t>
      </w:r>
    </w:p>
    <w:p>
      <w:pPr>
        <w:pStyle w:val="ListParagraph"/>
        <w:numPr>
          <w:ilvl w:val="0"/>
          <w:numId w:val="2"/>
        </w:numPr>
        <w:spacing w:after="40" w:before="40"/>
      </w:pPr>
      <w:r>
        <w:rPr>
          <w:rFonts w:ascii="Arial" w:cs="Arial" w:eastAsia="Arial" w:hAnsi="Arial"/>
          <w:sz w:val="20"/>
          <w:szCs w:val="20"/>
        </w:rPr>
        <w:t xml:space="preserve">CDFI Fund and NMTC allocation data.</w:t>
      </w:r>
    </w:p>
    <w:p>
      <w:pPr>
        <w:pStyle w:val="ListParagraph"/>
        <w:numPr>
          <w:ilvl w:val="0"/>
          <w:numId w:val="2"/>
        </w:numPr>
        <w:spacing w:after="40" w:before="40"/>
      </w:pPr>
      <w:r>
        <w:rPr>
          <w:rFonts w:ascii="Arial" w:cs="Arial" w:eastAsia="Arial" w:hAnsi="Arial"/>
          <w:sz w:val="20"/>
          <w:szCs w:val="20"/>
        </w:rPr>
        <w:t xml:space="preserve">EPA EJScreen environmental justice layer.</w:t>
      </w:r>
    </w:p>
    <w:p>
      <w:pPr>
        <w:pStyle w:val="ListParagraph"/>
        <w:numPr>
          <w:ilvl w:val="0"/>
          <w:numId w:val="2"/>
        </w:numPr>
        <w:spacing w:after="40" w:before="40"/>
      </w:pPr>
      <w:r>
        <w:rPr>
          <w:rFonts w:ascii="Arial" w:cs="Arial" w:eastAsia="Arial" w:hAnsi="Arial"/>
          <w:sz w:val="20"/>
          <w:szCs w:val="20"/>
        </w:rPr>
        <w:t xml:space="preserve">USASpending.gov award distribution data disaggregated by recipient type and geography.</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G. User Roles &amp; Needs</w:t>
      </w:r>
    </w:p>
    <w:p>
      <w:pPr>
        <w:pStyle w:val="ListParagraph"/>
        <w:numPr>
          <w:ilvl w:val="0"/>
          <w:numId w:val="2"/>
        </w:numPr>
        <w:spacing w:after="40" w:before="40"/>
      </w:pPr>
      <w:r>
        <w:rPr>
          <w:rFonts w:ascii="Arial" w:cs="Arial" w:eastAsia="Arial" w:hAnsi="Arial"/>
          <w:sz w:val="20"/>
          <w:szCs w:val="20"/>
        </w:rPr>
        <w:t xml:space="preserve">Federal Equity Officers: Need disaggregated award distribution dashboards with trend analysis.</w:t>
      </w:r>
    </w:p>
    <w:p>
      <w:pPr>
        <w:pStyle w:val="ListParagraph"/>
        <w:numPr>
          <w:ilvl w:val="0"/>
          <w:numId w:val="2"/>
        </w:numPr>
        <w:spacing w:after="40" w:before="40"/>
      </w:pPr>
      <w:r>
        <w:rPr>
          <w:rFonts w:ascii="Arial" w:cs="Arial" w:eastAsia="Arial" w:hAnsi="Arial"/>
          <w:sz w:val="20"/>
          <w:szCs w:val="20"/>
        </w:rPr>
        <w:t xml:space="preserve">Program Designers: Need equity impact analysis tool for evaluating proposed application requirements.</w:t>
      </w:r>
    </w:p>
    <w:p>
      <w:pPr>
        <w:pStyle w:val="ListParagraph"/>
        <w:numPr>
          <w:ilvl w:val="0"/>
          <w:numId w:val="2"/>
        </w:numPr>
        <w:spacing w:after="40" w:before="40"/>
      </w:pPr>
      <w:r>
        <w:rPr>
          <w:rFonts w:ascii="Arial" w:cs="Arial" w:eastAsia="Arial" w:hAnsi="Arial"/>
          <w:sz w:val="20"/>
          <w:szCs w:val="20"/>
        </w:rPr>
        <w:t xml:space="preserve">Tribal Grant Administrators: Need language-accessible interface and simplified compliance path.</w:t>
      </w:r>
    </w:p>
    <w:p>
      <w:pPr>
        <w:pStyle w:val="ListParagraph"/>
        <w:numPr>
          <w:ilvl w:val="0"/>
          <w:numId w:val="2"/>
        </w:numPr>
        <w:spacing w:after="40" w:before="40"/>
      </w:pPr>
      <w:r>
        <w:rPr>
          <w:rFonts w:ascii="Arial" w:cs="Arial" w:eastAsia="Arial" w:hAnsi="Arial"/>
          <w:sz w:val="20"/>
          <w:szCs w:val="20"/>
        </w:rPr>
        <w:t xml:space="preserve">Congressional Oversight Staff: Need exportable equity metrics reports for program evaluation.</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H. Expected Outcomes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 (Current State)</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(Post-Deployment)</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Disbursement rate — disadvantaged communities</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Puerto Rico: &lt;40% of entitled disbursements</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≥80% disbursement rate for eligible qualified recipients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Award uptake rate — Tier 3 organizations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Significantly below eligible population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≥30% increase within 3 years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Compliance cost per Tier 3 grantee</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$20,000–$80,000/year (consulting-dependent)</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&lt;$5,000/year using platform self-service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Multi-language compliance support</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English-only (standard)</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Spanish and select tribal languages within 18 months</w:t>
            </w:r>
          </w:p>
        </w:tc>
      </w:tr>
    </w:tbl>
    <w:p>
      <w:pPr>
        <w:pageBreakBefore/>
      </w:pPr>
      <w:r>
        <w:rPr>
          <w:sz w:val="20"/>
          <w:szCs w:val="20"/>
        </w:rPr>
        <w:t xml:space="preserve"/>
      </w:r>
    </w:p>
    <w:p>
      <w:pPr>
        <w:pStyle w:val="Heading2"/>
        <w:shd w:fill="1F3864" w:val="clear"/>
        <w:spacing w:after="0" w:before="240"/>
        <w:ind w:left="180" w:right="180"/>
      </w:pPr>
      <w:r>
        <w:rPr>
          <w:rFonts w:ascii="Arial" w:cs="Arial" w:eastAsia="Arial" w:hAnsi="Arial"/>
          <w:b/>
          <w:bCs/>
          <w:color w:val="FFFFFF"/>
          <w:sz w:val="24"/>
          <w:szCs w:val="24"/>
        </w:rPr>
        <w:t xml:space="preserve">III.10 — Absence of Real-Time Risk Dashboards and Automated Monitoring</w:t>
      </w:r>
    </w:p>
    <w:p>
      <w:pPr>
        <w:spacing w:after="0" w:before="4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A. Business Context &amp; Implications</w:t>
      </w:r>
    </w:p>
    <w:p>
      <w:pPr>
        <w:spacing w:after="60" w:before="60"/>
      </w:pPr>
      <w:r>
        <w:rPr>
          <w:rFonts w:ascii="Arial" w:cs="Arial" w:eastAsia="Arial" w:hAnsi="Arial"/>
          <w:color w:val="000000"/>
          <w:sz w:val="20"/>
          <w:szCs w:val="20"/>
        </w:rPr>
        <w:t xml:space="preserve">Build America Bureau's 2022 Project Finance Guidance review found that none of the 50 reviewed infrastructure projects used real-time financial monitoring. GAO-23-105678 cited the absence of automated monitoring infrastructure as the root cause in 18 of 22 examined improper payment cases — making it the single most frequently cited structural cause of preventable financial loss. The current state of federal grant monitoring is fundamentally retrospective: program officers review periodic financial reports; OIG teams conduct annual or biannual audits; Single Audit findings are published 9–18 months after the period they cover. This temporal gap between activity and oversight is the operational environment in which fraud thrives. Real-time dashboards do not merely improve visibility — they fundamentally alter the risk calculus for would-be fraudsters who currently operate in a monitoring-free environment for most of the grant period.</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B. Root Causes</w:t>
      </w:r>
    </w:p>
    <w:p>
      <w:pPr>
        <w:pStyle w:val="ListParagraph"/>
        <w:numPr>
          <w:ilvl w:val="0"/>
          <w:numId w:val="2"/>
        </w:numPr>
        <w:spacing w:after="40" w:before="40"/>
      </w:pPr>
      <w:r>
        <w:rPr>
          <w:rFonts w:ascii="Arial" w:cs="Arial" w:eastAsia="Arial" w:hAnsi="Arial"/>
          <w:sz w:val="20"/>
          <w:szCs w:val="20"/>
        </w:rPr>
        <w:t xml:space="preserve">Federal grant management systems (e.g., GrantSolutions, G5) provide award administration but not real-time financial analytics.</w:t>
      </w:r>
    </w:p>
    <w:p>
      <w:pPr>
        <w:pStyle w:val="ListParagraph"/>
        <w:numPr>
          <w:ilvl w:val="0"/>
          <w:numId w:val="2"/>
        </w:numPr>
        <w:spacing w:after="40" w:before="40"/>
      </w:pPr>
      <w:r>
        <w:rPr>
          <w:rFonts w:ascii="Arial" w:cs="Arial" w:eastAsia="Arial" w:hAnsi="Arial"/>
          <w:sz w:val="20"/>
          <w:szCs w:val="20"/>
        </w:rPr>
        <w:t xml:space="preserve">Grantee financial data is transmitted through periodic reports rather than continuous feeds.</w:t>
      </w:r>
    </w:p>
    <w:p>
      <w:pPr>
        <w:pStyle w:val="ListParagraph"/>
        <w:numPr>
          <w:ilvl w:val="0"/>
          <w:numId w:val="2"/>
        </w:numPr>
        <w:spacing w:after="40" w:before="40"/>
      </w:pPr>
      <w:r>
        <w:rPr>
          <w:rFonts w:ascii="Arial" w:cs="Arial" w:eastAsia="Arial" w:hAnsi="Arial"/>
          <w:sz w:val="20"/>
          <w:szCs w:val="20"/>
        </w:rPr>
        <w:t xml:space="preserve">No government-grade, open-access dashboard platform has been developed for multi-program, multi-grantee monitoring.</w:t>
      </w:r>
    </w:p>
    <w:p>
      <w:pPr>
        <w:pStyle w:val="ListParagraph"/>
        <w:numPr>
          <w:ilvl w:val="0"/>
          <w:numId w:val="2"/>
        </w:numPr>
        <w:spacing w:after="40" w:before="40"/>
      </w:pPr>
      <w:r>
        <w:rPr>
          <w:rFonts w:ascii="Arial" w:cs="Arial" w:eastAsia="Arial" w:hAnsi="Arial"/>
          <w:sz w:val="20"/>
          <w:szCs w:val="20"/>
        </w:rPr>
        <w:t xml:space="preserve">Commercial BI tools (Tableau, Power BI) require technical configuration beyond the capacity of most program offices.</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C. Required Functional Capabilities</w:t>
      </w:r>
    </w:p>
    <w:p>
      <w:pPr>
        <w:pStyle w:val="ListParagraph"/>
        <w:numPr>
          <w:ilvl w:val="0"/>
          <w:numId w:val="2"/>
        </w:numPr>
        <w:spacing w:after="40" w:before="40"/>
      </w:pPr>
      <w:r>
        <w:rPr>
          <w:rFonts w:ascii="Arial" w:cs="Arial" w:eastAsia="Arial" w:hAnsi="Arial"/>
          <w:sz w:val="20"/>
          <w:szCs w:val="20"/>
        </w:rPr>
        <w:t xml:space="preserve">Live executive dashboard with configurable KPI widgets refreshed at configurable intervals (minimum: hourly).</w:t>
      </w:r>
    </w:p>
    <w:p>
      <w:pPr>
        <w:pStyle w:val="ListParagraph"/>
        <w:numPr>
          <w:ilvl w:val="0"/>
          <w:numId w:val="2"/>
        </w:numPr>
        <w:spacing w:after="40" w:before="40"/>
      </w:pPr>
      <w:r>
        <w:rPr>
          <w:rFonts w:ascii="Arial" w:cs="Arial" w:eastAsia="Arial" w:hAnsi="Arial"/>
          <w:sz w:val="20"/>
          <w:szCs w:val="20"/>
        </w:rPr>
        <w:t xml:space="preserve">Program-level spend heat maps showing actual vs. budgeted expenditure by cost category and time period.</w:t>
      </w:r>
    </w:p>
    <w:p>
      <w:pPr>
        <w:pStyle w:val="ListParagraph"/>
        <w:numPr>
          <w:ilvl w:val="0"/>
          <w:numId w:val="2"/>
        </w:numPr>
        <w:spacing w:after="40" w:before="40"/>
      </w:pPr>
      <w:r>
        <w:rPr>
          <w:rFonts w:ascii="Arial" w:cs="Arial" w:eastAsia="Arial" w:hAnsi="Arial"/>
          <w:sz w:val="20"/>
          <w:szCs w:val="20"/>
        </w:rPr>
        <w:t xml:space="preserve">Risk scoring leaderboard ranking grantees by composite risk score for monitoring prioritization.</w:t>
      </w:r>
    </w:p>
    <w:p>
      <w:pPr>
        <w:pStyle w:val="ListParagraph"/>
        <w:numPr>
          <w:ilvl w:val="0"/>
          <w:numId w:val="2"/>
        </w:numPr>
        <w:spacing w:after="40" w:before="40"/>
      </w:pPr>
      <w:r>
        <w:rPr>
          <w:rFonts w:ascii="Arial" w:cs="Arial" w:eastAsia="Arial" w:hAnsi="Arial"/>
          <w:sz w:val="20"/>
          <w:szCs w:val="20"/>
        </w:rPr>
        <w:t xml:space="preserve">Alert triage queue aggregating all active flags from all detection engines in a single case management interface.</w:t>
      </w:r>
    </w:p>
    <w:p>
      <w:pPr>
        <w:pStyle w:val="ListParagraph"/>
        <w:numPr>
          <w:ilvl w:val="0"/>
          <w:numId w:val="2"/>
        </w:numPr>
        <w:spacing w:after="40" w:before="40"/>
      </w:pPr>
      <w:r>
        <w:rPr>
          <w:rFonts w:ascii="Arial" w:cs="Arial" w:eastAsia="Arial" w:hAnsi="Arial"/>
          <w:sz w:val="20"/>
          <w:szCs w:val="20"/>
        </w:rPr>
        <w:t xml:space="preserve">Role-based dashboard views: executive summary, program officer view, auditor view, grantee self-service view.</w:t>
      </w:r>
    </w:p>
    <w:p>
      <w:pPr>
        <w:pStyle w:val="ListParagraph"/>
        <w:numPr>
          <w:ilvl w:val="0"/>
          <w:numId w:val="2"/>
        </w:numPr>
        <w:spacing w:after="40" w:before="40"/>
      </w:pPr>
      <w:r>
        <w:rPr>
          <w:rFonts w:ascii="Arial" w:cs="Arial" w:eastAsia="Arial" w:hAnsi="Arial"/>
          <w:sz w:val="20"/>
          <w:szCs w:val="20"/>
        </w:rPr>
        <w:t xml:space="preserve">Automated regulatory report generation (financial status reports, SF-425 Federal Financial Reports) pre-populated from system data.</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D. Preventive Controls</w:t>
      </w:r>
    </w:p>
    <w:p>
      <w:pPr>
        <w:pStyle w:val="ListParagraph"/>
        <w:numPr>
          <w:ilvl w:val="0"/>
          <w:numId w:val="2"/>
        </w:numPr>
        <w:spacing w:after="40" w:before="40"/>
      </w:pPr>
      <w:r>
        <w:rPr>
          <w:rFonts w:ascii="Arial" w:cs="Arial" w:eastAsia="Arial" w:hAnsi="Arial"/>
          <w:sz w:val="20"/>
          <w:szCs w:val="20"/>
        </w:rPr>
        <w:t xml:space="preserve">Configurable spend threshold alerts preventing unauthorized expenditure categories from exceeding budget line items.</w:t>
      </w:r>
    </w:p>
    <w:p>
      <w:pPr>
        <w:pStyle w:val="ListParagraph"/>
        <w:numPr>
          <w:ilvl w:val="0"/>
          <w:numId w:val="2"/>
        </w:numPr>
        <w:spacing w:after="40" w:before="40"/>
      </w:pPr>
      <w:r>
        <w:rPr>
          <w:rFonts w:ascii="Arial" w:cs="Arial" w:eastAsia="Arial" w:hAnsi="Arial"/>
          <w:sz w:val="20"/>
          <w:szCs w:val="20"/>
        </w:rPr>
        <w:t xml:space="preserve">Milestone-based fund release controls requiring completion of defined program milestones before next-tranche disbursement.</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E. Detective Controls</w:t>
      </w:r>
    </w:p>
    <w:p>
      <w:pPr>
        <w:pStyle w:val="ListParagraph"/>
        <w:numPr>
          <w:ilvl w:val="0"/>
          <w:numId w:val="2"/>
        </w:numPr>
        <w:spacing w:after="40" w:before="40"/>
      </w:pPr>
      <w:r>
        <w:rPr>
          <w:rFonts w:ascii="Arial" w:cs="Arial" w:eastAsia="Arial" w:hAnsi="Arial"/>
          <w:sz w:val="20"/>
          <w:szCs w:val="20"/>
        </w:rPr>
        <w:t xml:space="preserve">Hourly anomaly scan of all active program data surfacing deviations from expected financial and operational patterns.</w:t>
      </w:r>
    </w:p>
    <w:p>
      <w:pPr>
        <w:pStyle w:val="ListParagraph"/>
        <w:numPr>
          <w:ilvl w:val="0"/>
          <w:numId w:val="2"/>
        </w:numPr>
        <w:spacing w:after="40" w:before="40"/>
      </w:pPr>
      <w:r>
        <w:rPr>
          <w:rFonts w:ascii="Arial" w:cs="Arial" w:eastAsia="Arial" w:hAnsi="Arial"/>
          <w:sz w:val="20"/>
          <w:szCs w:val="20"/>
        </w:rPr>
        <w:t xml:space="preserve">Automated SF-425 variance analysis identifying discrepancies between reported and system-calculated figures.</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F. Data Requirements</w:t>
      </w:r>
    </w:p>
    <w:p>
      <w:pPr>
        <w:pStyle w:val="ListParagraph"/>
        <w:numPr>
          <w:ilvl w:val="0"/>
          <w:numId w:val="2"/>
        </w:numPr>
        <w:spacing w:after="40" w:before="40"/>
      </w:pPr>
      <w:r>
        <w:rPr>
          <w:rFonts w:ascii="Arial" w:cs="Arial" w:eastAsia="Arial" w:hAnsi="Arial"/>
          <w:sz w:val="20"/>
          <w:szCs w:val="20"/>
        </w:rPr>
        <w:t xml:space="preserve">Aggregated feeds from all upstream engines (compliance, payment integrity, transaction monitoring, audit readiness).</w:t>
      </w:r>
    </w:p>
    <w:p>
      <w:pPr>
        <w:pStyle w:val="ListParagraph"/>
        <w:numPr>
          <w:ilvl w:val="0"/>
          <w:numId w:val="2"/>
        </w:numPr>
        <w:spacing w:after="40" w:before="40"/>
      </w:pPr>
      <w:r>
        <w:rPr>
          <w:rFonts w:ascii="Arial" w:cs="Arial" w:eastAsia="Arial" w:hAnsi="Arial"/>
          <w:sz w:val="20"/>
          <w:szCs w:val="20"/>
        </w:rPr>
        <w:t xml:space="preserve">USASpending.gov and FPDS-NG data for cross-program benchmarking.</w:t>
      </w:r>
    </w:p>
    <w:p>
      <w:pPr>
        <w:pStyle w:val="ListParagraph"/>
        <w:numPr>
          <w:ilvl w:val="0"/>
          <w:numId w:val="2"/>
        </w:numPr>
        <w:spacing w:after="40" w:before="40"/>
      </w:pPr>
      <w:r>
        <w:rPr>
          <w:rFonts w:ascii="Arial" w:cs="Arial" w:eastAsia="Arial" w:hAnsi="Arial"/>
          <w:sz w:val="20"/>
          <w:szCs w:val="20"/>
        </w:rPr>
        <w:t xml:space="preserve">Grantee-submitted financial status reports.</w:t>
      </w:r>
    </w:p>
    <w:p>
      <w:pPr>
        <w:pStyle w:val="ListParagraph"/>
        <w:numPr>
          <w:ilvl w:val="0"/>
          <w:numId w:val="2"/>
        </w:numPr>
        <w:spacing w:after="40" w:before="40"/>
      </w:pPr>
      <w:r>
        <w:rPr>
          <w:rFonts w:ascii="Arial" w:cs="Arial" w:eastAsia="Arial" w:hAnsi="Arial"/>
          <w:sz w:val="20"/>
          <w:szCs w:val="20"/>
        </w:rPr>
        <w:t xml:space="preserve">Program milestone and deliverable tracking data.</w:t>
      </w:r>
    </w:p>
    <w:p>
      <w:pPr>
        <w:spacing w:after="0" w:before="20"/>
      </w:pPr>
      <w:r>
        <w:rPr>
          <w:rFonts w:ascii="Arial" w:cs="Arial" w:eastAsia="Arial" w:hAnsi="Arial"/>
        </w:rPr>
        <w:t xml:space="preserve"/>
      </w:r>
    </w:p>
    <w:p>
      <w:pPr>
        <w:shd w:fill="F2F2F2" w:val="clear"/>
        <w:spacing w:after="40" w:before="80"/>
        <w:ind w:left="180"/>
      </w:pPr>
      <w:r>
        <w:rPr>
          <w:rFonts w:ascii="Arial" w:cs="Arial" w:eastAsia="Arial" w:hAnsi="Arial"/>
          <w:b/>
          <w:bCs/>
          <w:color w:val="1F3864"/>
          <w:sz w:val="19"/>
          <w:szCs w:val="19"/>
        </w:rPr>
        <w:t xml:space="preserve">G. User Roles &amp; Needs</w:t>
      </w:r>
    </w:p>
    <w:p>
      <w:pPr>
        <w:pStyle w:val="ListParagraph"/>
        <w:numPr>
          <w:ilvl w:val="0"/>
          <w:numId w:val="2"/>
        </w:numPr>
        <w:spacing w:after="40" w:before="40"/>
      </w:pPr>
      <w:r>
        <w:rPr>
          <w:rFonts w:ascii="Arial" w:cs="Arial" w:eastAsia="Arial" w:hAnsi="Arial"/>
          <w:sz w:val="20"/>
          <w:szCs w:val="20"/>
        </w:rPr>
        <w:t xml:space="preserve">Agency Executives: Need one-page executive scorecard with program-level risk summary.</w:t>
      </w:r>
    </w:p>
    <w:p>
      <w:pPr>
        <w:pStyle w:val="ListParagraph"/>
        <w:numPr>
          <w:ilvl w:val="0"/>
          <w:numId w:val="2"/>
        </w:numPr>
        <w:spacing w:after="40" w:before="40"/>
      </w:pPr>
      <w:r>
        <w:rPr>
          <w:rFonts w:ascii="Arial" w:cs="Arial" w:eastAsia="Arial" w:hAnsi="Arial"/>
          <w:sz w:val="20"/>
          <w:szCs w:val="20"/>
        </w:rPr>
        <w:t xml:space="preserve">Program Officers: Need grantee-level risk leaderboard with drill-down to transaction detail.</w:t>
      </w:r>
    </w:p>
    <w:p>
      <w:pPr>
        <w:pStyle w:val="ListParagraph"/>
        <w:numPr>
          <w:ilvl w:val="0"/>
          <w:numId w:val="2"/>
        </w:numPr>
        <w:spacing w:after="40" w:before="40"/>
      </w:pPr>
      <w:r>
        <w:rPr>
          <w:rFonts w:ascii="Arial" w:cs="Arial" w:eastAsia="Arial" w:hAnsi="Arial"/>
          <w:sz w:val="20"/>
          <w:szCs w:val="20"/>
        </w:rPr>
        <w:t xml:space="preserve">OIG Teams: Need full data export capability for investigation case-building.</w:t>
      </w:r>
    </w:p>
    <w:p>
      <w:pPr>
        <w:pStyle w:val="ListParagraph"/>
        <w:numPr>
          <w:ilvl w:val="0"/>
          <w:numId w:val="2"/>
        </w:numPr>
        <w:spacing w:after="40" w:before="40"/>
      </w:pPr>
      <w:r>
        <w:rPr>
          <w:rFonts w:ascii="Arial" w:cs="Arial" w:eastAsia="Arial" w:hAnsi="Arial"/>
          <w:sz w:val="20"/>
          <w:szCs w:val="20"/>
        </w:rPr>
        <w:t xml:space="preserve">Grantees: Need self-service compliance status view showing their own risk scores and open items.</w:t>
      </w:r>
    </w:p>
    <w:p>
      <w:pPr>
        <w:spacing w:after="0" w:before="20"/>
      </w:pPr>
      <w:r>
        <w:rPr>
          <w:rFonts w:ascii="Arial" w:cs="Arial" w:eastAsia="Arial" w:hAnsi="Arial"/>
        </w:rPr>
        <w:t xml:space="preserve"/>
      </w:r>
    </w:p>
    <w:p>
      <w:pPr>
        <w:shd w:fill="D6E4F0" w:val="clear"/>
        <w:spacing w:after="40" w:before="80"/>
        <w:ind w:left="180"/>
      </w:pPr>
      <w:r>
        <w:rPr>
          <w:rFonts w:ascii="Arial" w:cs="Arial" w:eastAsia="Arial" w:hAnsi="Arial"/>
          <w:b/>
          <w:bCs/>
          <w:color w:val="1F3864"/>
          <w:sz w:val="19"/>
          <w:szCs w:val="19"/>
        </w:rPr>
        <w:t xml:space="preserve">H. Expected Outcomes /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Baseline (Current State)</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(Post-Deployment)</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Programs using real-time financial monitoring</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 of 50 reviewed Build America projects</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100% of enrolled programs within 12 months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Time from anomaly occurrence to detection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6–18 months (audit cycle)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&lt;1 hour (real-time monitoring)</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Fraud cases detected within grant period</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Rare; most detected post-closeout</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Target ≥70% of fraud cases detected within grant period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Financial report preparation time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Average 3–5 days manual preparation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&lt;4 hours through automated pre-population</w:t>
            </w:r>
          </w:p>
        </w:tc>
      </w:tr>
    </w:tbl>
    <w:p>
      <w:pPr>
        <w:pageBreakBefore/>
      </w:pPr>
      <w:r>
        <w:rPr>
          <w:sz w:val="20"/>
          <w:szCs w:val="20"/>
        </w:rPr>
        <w:t xml:space="preserve"/>
      </w:r>
    </w:p>
    <w:p>
      <w:pPr>
        <w:pStyle w:val="Heading1"/>
        <w:shd w:fill="1F3864" w:val="clear"/>
        <w:spacing w:after="0" w:before="360"/>
        <w:ind w:left="240" w:right="240"/>
      </w:pPr>
      <w:r>
        <w:rPr>
          <w:rFonts w:ascii="Arial" w:cs="Arial" w:eastAsia="Arial" w:hAnsi="Arial"/>
          <w:b/>
          <w:bCs/>
          <w:color w:val="FFFFFF"/>
          <w:sz w:val="30"/>
          <w:szCs w:val="30"/>
        </w:rPr>
        <w:t xml:space="preserve">SECTION IV — SYSTEM ARCHITECTURE OVERVIEW</w:t>
      </w:r>
    </w:p>
    <w:p>
      <w:pPr>
        <w:spacing w:after="0" w:before="60"/>
      </w:pPr>
      <w:r>
        <w:rPr>
          <w:rFonts w:ascii="Arial" w:cs="Arial" w:eastAsia="Arial" w:hAnsi="Arial"/>
        </w:rPr>
        <w:t xml:space="preserve"/>
      </w:r>
    </w:p>
    <w:p>
      <w:pPr>
        <w:spacing w:after="80" w:before="0"/>
      </w:pPr>
      <w:r>
        <w:rPr>
          <w:rFonts w:ascii="Arial" w:cs="Arial" w:eastAsia="Arial" w:hAnsi="Arial"/>
          <w:color w:val="000000"/>
          <w:sz w:val="20"/>
          <w:szCs w:val="20"/>
        </w:rPr>
        <w:t xml:space="preserve">GovGuard™ is architected as a cloud-native, multi-tenant SaaS platform deployed on FedRAMP Moderate-authorized cloud infrastructure (AWS GovCloud or Azure Government). The architecture follows a microservices pattern enabling independent scaling of high-load components (payment risk scoring; transaction monitoring) without affecting other modules. All inter-service communication is encrypted; all data at rest uses AES-256 encryption; all data in transit uses TLS 1.3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 / Layer</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Core Components</w:t>
            </w:r>
          </w:p>
        </w:tc>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Integration &amp; Data Sources</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Pre-Award Fraud Screener</w:t>
            </w:r>
          </w:p>
        </w:tc>
        <w:tc>
          <w:tcPr>
            <w:tcW w:type="dxa" w:w="3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Entity deduplication engine; identity risk scoring; budget reasonableness analyzer; cross-program application screening; SAM.gov &amp; DUNS/UEI validation connector.</w:t>
            </w:r>
          </w:p>
        </w:tc>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SAM.gov API; Treasury Do Not Pay (DNP); DUNS/UEI registry; Grants.gov submission feed; state grant portal connectors.</w:t>
            </w:r>
          </w:p>
        </w:tc>
      </w:tr>
      <w:tr>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Compliance Validation Engine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130+ controls mapped to 2 CFR 200 and GAO Green Book; automated clause checklist runner; cost-principle validator; subrecipient risk tier classifier.</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ERP general ledger; grant award documents; subrecipient contracts; FFATA/USASpending data; OMB Uniform Guidance ruleset.</w:t>
            </w:r>
          </w:p>
        </w:tc>
      </w:tr>
      <w:tr>
        <w:tc>
          <w:tcPr>
            <w:tcW w:type="dxa" w:w="2200"/>
            <w:tcBorders>
              <w:top w:val="single" w:color="CCCCCC" w:sz="4"/>
              <w:left w:val="single" w:color="CCCCCC" w:sz="4"/>
              <w:bottom w:val="single" w:color="CCCCCC" w:sz="4"/>
              <w:right w:val="single" w:color="CCCCCC" w:sz="4"/>
            </w:tcBorders>
            <w:shd w:fill="C55A11" w:val="clear"/>
            <w:tcMar>
              <w:top w:type="dxa" w:w="80"/>
              <w:left w:type="dxa" w:w="120"/>
              <w:bottom w:type="dxa" w:w="80"/>
              <w:right w:type="dxa" w:w="120"/>
            </w:tcMar>
            <w:vAlign w:val="top"/>
          </w:tcPr>
          <w:p>
            <w:r>
              <w:rPr>
                <w:rFonts w:ascii="Arial" w:cs="Arial" w:eastAsia="Arial" w:hAnsi="Arial"/>
                <w:b/>
                <w:bCs/>
                <w:color w:val="FFFFFF"/>
                <w:sz w:val="18"/>
                <w:szCs w:val="18"/>
              </w:rPr>
              <w:t xml:space="preserve">Payment Integrity Engine</w:t>
            </w:r>
          </w:p>
        </w:tc>
        <w:tc>
          <w:tcPr>
            <w:tcW w:type="dxa" w:w="35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AI anomaly detection (isolation forest, LSTM); pre-disbursement risk score; duplicate payment suppression; velocity-check rules; threshold-based alert engine.</w:t>
            </w:r>
          </w:p>
        </w:tc>
        <w:tc>
          <w:tcPr>
            <w:tcW w:type="dxa" w:w="3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ERP AP module; ACH/payment gateway feed; Treasury G-Invoicing; federal payment registries; historical payment archives.</w:t>
            </w:r>
          </w:p>
        </w:tc>
      </w:tr>
      <w:tr>
        <w:tc>
          <w:tcPr>
            <w:tcW w:type="dxa" w:w="2200"/>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vAlign w:val="top"/>
          </w:tcPr>
          <w:p>
            <w:r>
              <w:rPr>
                <w:rFonts w:ascii="Arial" w:cs="Arial" w:eastAsia="Arial" w:hAnsi="Arial"/>
                <w:b/>
                <w:bCs/>
                <w:color w:val="FFFFFF"/>
                <w:sz w:val="18"/>
                <w:szCs w:val="18"/>
              </w:rPr>
              <w:t xml:space="preserve">Transaction Monitor &amp; Vendor Risk Engine</w:t>
            </w:r>
          </w:p>
        </w:tc>
        <w:tc>
          <w:tcPr>
            <w:tcW w:type="dxa" w:w="356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Continuous transaction monitoring; invoice deduplication (fuzzy match + exact); vendor entity-relationship graph; spend-pattern analytics; abnormal timing detection.</w:t>
            </w:r>
          </w:p>
        </w:tc>
        <w:tc>
          <w:tcPr>
            <w:tcW w:type="dxa" w:w="36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ERP PO/AP data; vendor master file; DUNS/UEI registry; SAM exclusions list; banking reference data; invoice PDF parser (OCR).</w:t>
            </w:r>
          </w:p>
        </w:tc>
      </w:tr>
      <w:tr>
        <w:tc>
          <w:tcPr>
            <w:tcW w:type="dxa" w:w="22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top"/>
          </w:tcPr>
          <w:p>
            <w:r>
              <w:rPr>
                <w:rFonts w:ascii="Arial" w:cs="Arial" w:eastAsia="Arial" w:hAnsi="Arial"/>
                <w:b/>
                <w:bCs/>
                <w:color w:val="FFFFFF"/>
                <w:sz w:val="18"/>
                <w:szCs w:val="18"/>
              </w:rPr>
              <w:t xml:space="preserve">ERP Integration Hub</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Bi-directional API middleware; standard chart-of-accounts mapper; real-time data sync; ETL pipeline for legacy/manual systems; field-level audit trail.</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SAP Grants Management; Oracle EBS/Cloud; Workday Financial Mgmt; Microsoft Dynamics 365; QuickBooks (SME grantees); CSV flat-file ingestion for no-ERP entities.</w:t>
            </w:r>
          </w:p>
        </w:tc>
      </w:tr>
      <w:t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Audit Readiness &amp; Evidence Hub</w:t>
            </w:r>
          </w:p>
        </w:tc>
        <w:tc>
          <w:tcPr>
            <w:tcW w:type="dxa" w:w="3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Continuous evidence capture; Single Audit preparation workflow; GAO/OIG finding tracker; corrective-action plan (CAP) manager; automated schedule of expenditures of federal awards (SEFA) generator.</w:t>
            </w:r>
          </w:p>
        </w:tc>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ERP GL/subledgers; document management system; audit firm portal connector; Federal Audit Clearinghouse (FAC) API; HHS Payment Management System.</w:t>
            </w:r>
          </w:p>
        </w:tc>
      </w:tr>
      <w:tr>
        <w:tc>
          <w:tcPr>
            <w:tcW w:type="dxa" w:w="2200"/>
            <w:tcBorders>
              <w:top w:val="single" w:color="CCCCCC" w:sz="4"/>
              <w:left w:val="single" w:color="CCCCCC" w:sz="4"/>
              <w:bottom w:val="single" w:color="CCCCCC" w:sz="4"/>
              <w:right w:val="single" w:color="CCCCCC" w:sz="4"/>
            </w:tcBorders>
            <w:shd w:fill="375623" w:val="clear"/>
            <w:tcMar>
              <w:top w:type="dxa" w:w="80"/>
              <w:left w:type="dxa" w:w="120"/>
              <w:bottom w:type="dxa" w:w="80"/>
              <w:right w:type="dxa" w:w="120"/>
            </w:tcMar>
            <w:vAlign w:val="top"/>
          </w:tcPr>
          <w:p>
            <w:r>
              <w:rPr>
                <w:rFonts w:ascii="Arial" w:cs="Arial" w:eastAsia="Arial" w:hAnsi="Arial"/>
                <w:b/>
                <w:bCs/>
                <w:color w:val="FFFFFF"/>
                <w:sz w:val="18"/>
                <w:szCs w:val="18"/>
              </w:rPr>
              <w:t xml:space="preserve">Real-Time Governance Dashboard</w:t>
            </w:r>
          </w:p>
        </w:tc>
        <w:tc>
          <w:tcPr>
            <w:tcW w:type="dxa" w:w="35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Configurable KPI widgets; program-level spend heatmaps; risk scoring leaderboard; alert triage queue; role-based view filters; executive vs. operational views.</w:t>
            </w:r>
          </w:p>
        </w:tc>
        <w:tc>
          <w:tcPr>
            <w:tcW w:type="dxa" w:w="3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All upstream engines (aggregated feeds); USASpending.gov; FPDS-NG; federal agency FABS/FAADS data; Tableau/Power BI embed-ready API.</w:t>
            </w:r>
          </w:p>
        </w:tc>
      </w:tr>
      <w:tr>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top"/>
          </w:tcPr>
          <w:p>
            <w:r>
              <w:rPr>
                <w:rFonts w:ascii="Arial" w:cs="Arial" w:eastAsia="Arial" w:hAnsi="Arial"/>
                <w:b/>
                <w:bCs/>
                <w:color w:val="FFFFFF"/>
                <w:sz w:val="18"/>
                <w:szCs w:val="18"/>
              </w:rPr>
              <w:t xml:space="preserve">Grantee Onboarding &amp; Compliance Portal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Guided setup wizard; plain-language control checklists; role-based training modules; offline-capable data entry; multi-language UI framework; helpdesk ticketing.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Identity provider (SSO / PIV); grantee profile database; training LMS; HUD/EDA/USDA program-specific requirement libraries.</w:t>
            </w:r>
          </w:p>
        </w:tc>
      </w:tr>
      <w:tr>
        <w:tc>
          <w:tcPr>
            <w:tcW w:type="dxa" w:w="22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vAlign w:val="top"/>
          </w:tcPr>
          <w:p>
            <w:r>
              <w:rPr>
                <w:rFonts w:ascii="Arial" w:cs="Arial" w:eastAsia="Arial" w:hAnsi="Arial"/>
                <w:b/>
                <w:bCs/>
                <w:color w:val="FFFFFF"/>
                <w:sz w:val="18"/>
                <w:szCs w:val="18"/>
              </w:rPr>
              <w:t xml:space="preserve">Equity &amp; Access Analytics Module</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OMB M-21-19 equity metrics tracker; disaggregated award distribution analytics; underserved-community flag engine; barrier identification scorecard.</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Census TIGER/Line shapefiles; HUD qualified census tracts; CDFI Fund data; IRS NMTC data; EJScreen EPA environmental justice layer.</w:t>
            </w:r>
          </w:p>
        </w:tc>
      </w:tr>
    </w:tbl>
    <w:p>
      <w:pPr>
        <w:spacing w:after="0" w:before="80"/>
      </w:pPr>
      <w:r>
        <w:rPr>
          <w:rFonts w:ascii="Arial" w:cs="Arial" w:eastAsia="Arial" w:hAnsi="Arial"/>
        </w:rPr>
        <w:t xml:space="preserve"/>
      </w:r>
    </w:p>
    <w:p>
      <w:pPr>
        <w:pBdr>
          <w:bottom w:val="single" w:color="1F3864" w:sz="4" w:space="2"/>
        </w:pBdr>
        <w:spacing w:after="60" w:before="180"/>
      </w:pPr>
      <w:r>
        <w:rPr>
          <w:rFonts w:ascii="Arial" w:cs="Arial" w:eastAsia="Arial" w:hAnsi="Arial"/>
          <w:b/>
          <w:bCs/>
          <w:color w:val="1F3864"/>
          <w:sz w:val="21"/>
          <w:szCs w:val="21"/>
        </w:rPr>
        <w:t xml:space="preserve">Architecture Principles</w:t>
      </w:r>
    </w:p>
    <w:p>
      <w:pPr>
        <w:pStyle w:val="ListParagraph"/>
        <w:numPr>
          <w:ilvl w:val="0"/>
          <w:numId w:val="2"/>
        </w:numPr>
        <w:spacing w:after="40" w:before="40"/>
      </w:pPr>
      <w:r>
        <w:rPr>
          <w:rFonts w:ascii="Arial" w:cs="Arial" w:eastAsia="Arial" w:hAnsi="Arial"/>
          <w:sz w:val="20"/>
          <w:szCs w:val="20"/>
        </w:rPr>
        <w:t xml:space="preserve">Tenant Isolation: Each agency and grantee organization operates in a logically isolated data environment; cross-tenant data access is architecturally prevented.</w:t>
      </w:r>
    </w:p>
    <w:p>
      <w:pPr>
        <w:pStyle w:val="ListParagraph"/>
        <w:numPr>
          <w:ilvl w:val="0"/>
          <w:numId w:val="2"/>
        </w:numPr>
        <w:spacing w:after="40" w:before="40"/>
      </w:pPr>
      <w:r>
        <w:rPr>
          <w:rFonts w:ascii="Arial" w:cs="Arial" w:eastAsia="Arial" w:hAnsi="Arial"/>
          <w:sz w:val="20"/>
          <w:szCs w:val="20"/>
        </w:rPr>
        <w:t xml:space="preserve">API-First Design: All platform capabilities are exposed through documented REST APIs, enabling federal agency integration without vendor dependency.</w:t>
      </w:r>
    </w:p>
    <w:p>
      <w:pPr>
        <w:pStyle w:val="ListParagraph"/>
        <w:numPr>
          <w:ilvl w:val="0"/>
          <w:numId w:val="2"/>
        </w:numPr>
        <w:spacing w:after="40" w:before="40"/>
      </w:pPr>
      <w:r>
        <w:rPr>
          <w:rFonts w:ascii="Arial" w:cs="Arial" w:eastAsia="Arial" w:hAnsi="Arial"/>
          <w:sz w:val="20"/>
          <w:szCs w:val="20"/>
        </w:rPr>
        <w:t xml:space="preserve">Offline-First for Tier 3 Grantees: Core data-capture functionality operates offline with automatic sync, addressing rural/tribal connectivity constraints.</w:t>
      </w:r>
    </w:p>
    <w:p>
      <w:pPr>
        <w:pStyle w:val="ListParagraph"/>
        <w:numPr>
          <w:ilvl w:val="0"/>
          <w:numId w:val="2"/>
        </w:numPr>
        <w:spacing w:after="40" w:before="40"/>
      </w:pPr>
      <w:r>
        <w:rPr>
          <w:rFonts w:ascii="Arial" w:cs="Arial" w:eastAsia="Arial" w:hAnsi="Arial"/>
          <w:sz w:val="20"/>
          <w:szCs w:val="20"/>
        </w:rPr>
        <w:t xml:space="preserve">Immutable Audit Log: A write-once event log captures all system actions, user interactions, and data changes using append-only storage with cryptographic hash chaining.</w:t>
      </w:r>
    </w:p>
    <w:p>
      <w:pPr>
        <w:pStyle w:val="ListParagraph"/>
        <w:numPr>
          <w:ilvl w:val="0"/>
          <w:numId w:val="2"/>
        </w:numPr>
        <w:spacing w:after="40" w:before="40"/>
      </w:pPr>
      <w:r>
        <w:rPr>
          <w:rFonts w:ascii="Arial" w:cs="Arial" w:eastAsia="Arial" w:hAnsi="Arial"/>
          <w:sz w:val="20"/>
          <w:szCs w:val="20"/>
        </w:rPr>
        <w:t xml:space="preserve">Explainable AI: All AI model decisions include a feature-attribution explanation viewable by authorized users, satisfying OIG evidentiary requirements.</w:t>
      </w:r>
    </w:p>
    <w:p>
      <w:pPr>
        <w:pStyle w:val="ListParagraph"/>
        <w:numPr>
          <w:ilvl w:val="0"/>
          <w:numId w:val="2"/>
        </w:numPr>
        <w:spacing w:after="40" w:before="40"/>
      </w:pPr>
      <w:r>
        <w:rPr>
          <w:rFonts w:ascii="Arial" w:cs="Arial" w:eastAsia="Arial" w:hAnsi="Arial"/>
          <w:sz w:val="20"/>
          <w:szCs w:val="20"/>
        </w:rPr>
        <w:t xml:space="preserve">Open Standards: Platform uses OAuth 2.0 / OpenID Connect for identity, SCIM for user provisioning, and OpenAPI 3.0 for API documentation.</w:t>
      </w:r>
    </w:p>
    <w:p>
      <w:pPr>
        <w:pageBreakBefore/>
      </w:pPr>
      <w:r>
        <w:rPr>
          <w:sz w:val="20"/>
          <w:szCs w:val="20"/>
        </w:rPr>
        <w:t xml:space="preserve"/>
      </w:r>
    </w:p>
    <w:p>
      <w:pPr>
        <w:pStyle w:val="Heading1"/>
        <w:shd w:fill="1F3864" w:val="clear"/>
        <w:spacing w:after="0" w:before="360"/>
        <w:ind w:left="240" w:right="240"/>
      </w:pPr>
      <w:r>
        <w:rPr>
          <w:rFonts w:ascii="Arial" w:cs="Arial" w:eastAsia="Arial" w:hAnsi="Arial"/>
          <w:b/>
          <w:bCs/>
          <w:color w:val="FFFFFF"/>
          <w:sz w:val="30"/>
          <w:szCs w:val="30"/>
        </w:rPr>
        <w:t xml:space="preserve">SECTION V — FUNCTIONAL REQUIREMENTS</w:t>
      </w:r>
    </w:p>
    <w:p>
      <w:pPr>
        <w:spacing w:after="0" w:before="60"/>
      </w:pPr>
      <w:r>
        <w:rPr>
          <w:rFonts w:ascii="Arial" w:cs="Arial" w:eastAsia="Arial" w:hAnsi="Arial"/>
        </w:rPr>
        <w:t xml:space="preserve"/>
      </w:r>
    </w:p>
    <w:p>
      <w:pPr>
        <w:spacing w:after="80" w:before="0"/>
      </w:pPr>
      <w:r>
        <w:rPr>
          <w:rFonts w:ascii="Arial" w:cs="Arial" w:eastAsia="Arial" w:hAnsi="Arial"/>
          <w:color w:val="000000"/>
          <w:sz w:val="20"/>
          <w:szCs w:val="20"/>
        </w:rPr>
        <w:t xml:space="preserve">The following functional requirements are derived directly from the ten problem areas analyzed in Section III. Requirements are categorized by functional domain and include specific acceptance criteria for validation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600"/>
        <w:gridCol w:w="2360"/>
      </w:tblGrid>
      <w:tr>
        <w:trPr>
          <w:tblHeader/>
        </w:trP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4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2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FR-01</w:t>
            </w:r>
          </w:p>
        </w:tc>
        <w:tc>
          <w:tcPr>
            <w:tcW w:type="dxa" w:w="2000"/>
            <w:tcBorders>
              <w:top w:val="single" w:color="CCCCCC" w:sz="4"/>
              <w:left w:val="single" w:color="CCCCCC" w:sz="4"/>
              <w:bottom w:val="single" w:color="CCCCCC" w:sz="4"/>
              <w:right w:val="single" w:color="CCCCCC"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Compliance Management</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validate all grant expenditures against applicable 2 CFR Part 200 cost principles in real time at the point of transaction entry.</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Zero non-compliant transactions processed without a compliance flag and workflow hold.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FR-02</w:t>
            </w:r>
          </w:p>
        </w:tc>
        <w:tc>
          <w:tcPr>
            <w:tcW w:type="dxa" w:w="2000"/>
            <w:tcBorders>
              <w:top w:val="single" w:color="CCCCCC" w:sz="4"/>
              <w:left w:val="single" w:color="CCCCCC" w:sz="4"/>
              <w:bottom w:val="single" w:color="CCCCCC" w:sz="4"/>
              <w:right w:val="single" w:color="CCCCCC"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Compliance Management</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maintain a control library of 130+ controls mapped to 2 CFR 200 clauses and GAO Green Book principles, updateable by administrators without code deployment.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Control library updated within 5 business days of regulatory change; version history maintained.</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FR-03</w:t>
            </w:r>
          </w:p>
        </w:tc>
        <w:tc>
          <w:tcPr>
            <w:tcW w:type="dxa" w:w="2000"/>
            <w:tcBorders>
              <w:top w:val="single" w:color="CCCCCC" w:sz="4"/>
              <w:left w:val="single" w:color="CCCCCC" w:sz="4"/>
              <w:bottom w:val="single" w:color="CCCCCC" w:sz="4"/>
              <w:right w:val="single" w:color="CCCCCC"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Compliance Management</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automatically generate a Schedule of Expenditures of Federal Awards (SEFA) from GL data with no manual data entry required.</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SEFA output matches ERP source data with &lt;0.01% variance; generation time &lt;30 seconds.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FR-04</w:t>
            </w:r>
          </w:p>
        </w:tc>
        <w:tc>
          <w:tcPr>
            <w:tcW w:type="dxa" w:w="2000"/>
            <w:tcBorders>
              <w:top w:val="single" w:color="CCCCCC" w:sz="4"/>
              <w:left w:val="single" w:color="CCCCCC" w:sz="4"/>
              <w:bottom w:val="single" w:color="CCCCCC" w:sz="4"/>
              <w:right w:val="single" w:color="CCCCCC"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Compliance Management</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classify each subrecipient into a risk tier (High/Medium/Low) based on prior audit history, financial capacity, and award complexity, and generate a monitoring plan accordingly.</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100% of subrecipients classified within 2 business days of award execution.</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FR-05</w:t>
            </w:r>
          </w:p>
        </w:tc>
        <w:tc>
          <w:tcPr>
            <w:tcW w:type="dxa" w:w="2000"/>
            <w:tcBorders>
              <w:top w:val="single" w:color="CCCCCC" w:sz="4"/>
              <w:left w:val="single" w:color="CCCCCC" w:sz="4"/>
              <w:bottom w:val="single" w:color="CCCCCC" w:sz="4"/>
              <w:right w:val="single" w:color="CCCCCC"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Compliance Management</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enforce procurement integrity checks against 2 CFR 200.317–327, flagging non-competitive procurements, missing justifications, and threshold violations.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All procurement transactions &gt;$10,000 threshold reviewed; flagging latency &lt;5 minutes.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FR-06</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Fraud Detection</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apply an AI risk-scoring model to all payment requests before disbursement, assigning a risk score of 0–100 and routing high-risk items (score ≥75) to human review.</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Risk scores assigned to 100% of payment requests; false-positive rate &lt;8%; model accuracy ≥92%.</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FR-07</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Fraud Detection</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detect duplicate invoices using exact-match and fuzzy-match algorithms, suppressing duplicate payments until human review is completed.</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Duplicate detection sensitivity ≥99%; no duplicate payments processed without review override.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FR-08</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Fraud Detection</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screen all grant applicants against Treasury's Do Not Pay (DNP) list, SAM.gov exclusions, and internal deduplication engine before award recommendation.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100% of applicants screened; no award issued to an excluded entity.</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FR-09</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Fraud Detection</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construct and continuously update a vendor entity-relationship graph, flagging connected entities (shared addresses, principals, bank accounts) with a conflict-of-interest risk score.</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Vendor graph updated within 24 hours of new data ingestion; conflict flags surfaced before payment.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FR-10</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Fraud Detection</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monitor transaction velocity patterns and flag rapid spending acceleration (&gt;150% of expected run rate) within a rolling 30-day window.</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Velocity alerts generated within 1 hour of threshold breach; alert routed to program officer.</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FR-11</w:t>
            </w:r>
          </w:p>
        </w:tc>
        <w:tc>
          <w:tcPr>
            <w:tcW w:type="dxa" w:w="20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Audit &amp; Reporting</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maintain an immutable, timestamped audit log of all system actions, data changes, user overrides, and alert dispositions, retentable for a minimum of 7 years.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Audit log write-once enforced; retrieval of any record within 5 seconds; 7-year retention confirmed.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FR-12</w:t>
            </w:r>
          </w:p>
        </w:tc>
        <w:tc>
          <w:tcPr>
            <w:tcW w:type="dxa" w:w="20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Audit &amp; Reporting</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produce audit-ready evidence packages, including control test documentation, exception reports, and corrective action plans, exportable in PDF and XLSX formats.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Evidence package generation time &lt;10 minutes; accepted by Federal Audit Clearinghouse format standards.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FR-13</w:t>
            </w:r>
          </w:p>
        </w:tc>
        <w:tc>
          <w:tcPr>
            <w:tcW w:type="dxa" w:w="20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Audit &amp; Reporting</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track and manage all OIG/auditor findings through a corrective action plan (CAP) workflow, with automated status reminders at 30, 60, and 90 days.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CAP closure rate tracked; overdue items escalated automatically; 100% of open findings visible to management.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FR-14</w:t>
            </w:r>
          </w:p>
        </w:tc>
        <w:tc>
          <w:tcPr>
            <w:tcW w:type="dxa" w:w="20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Audit &amp; Reporting</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generate executive dashboards showing program-level compliance scores, improper payment rates, audit finding trends, and risk heat maps, refreshed at configurable intervals (minimum: hourly).</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Dashboard latency &lt;5 seconds; data freshness lag &lt;1 hour; role-based view access enforced.</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FR-15</w:t>
            </w:r>
          </w:p>
        </w:tc>
        <w:tc>
          <w:tcPr>
            <w:tcW w:type="dxa" w:w="2000"/>
            <w:tcBorders>
              <w:top w:val="single" w:color="CCCCCC" w:sz="4"/>
              <w:left w:val="single" w:color="CCCCCC" w:sz="4"/>
              <w:bottom w:val="single" w:color="CCCCCC" w:sz="4"/>
              <w:right w:val="single" w:color="CCCCCC" w:sz="4"/>
            </w:tcBorders>
            <w:shd w:fill="1F6B75"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Workflow &amp; Case Management</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route all flagged items through a configurable case management workflow with defined SLAs, escalation paths, and disposition outcomes (Approve / Refer / Reject).</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100% of flags assigned to a case; SLA breach rate &lt;2%; all dispositions timestamped and attributed.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FR-16</w:t>
            </w:r>
          </w:p>
        </w:tc>
        <w:tc>
          <w:tcPr>
            <w:tcW w:type="dxa" w:w="2000"/>
            <w:tcBorders>
              <w:top w:val="single" w:color="CCCCCC" w:sz="4"/>
              <w:left w:val="single" w:color="CCCCCC" w:sz="4"/>
              <w:bottom w:val="single" w:color="CCCCCC" w:sz="4"/>
              <w:right w:val="single" w:color="CCCCCC" w:sz="4"/>
            </w:tcBorders>
            <w:shd w:fill="1F6B75"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Workflow &amp; Case Management</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support multi-level approval workflows with segregation of duties enforcement, preventing the same user from initiating, approving, and posting a transaction.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SoD violations blocked by system; exception requests logged with justification and supervisor approval.</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FR-17</w:t>
            </w:r>
          </w:p>
        </w:tc>
        <w:tc>
          <w:tcPr>
            <w:tcW w:type="dxa" w:w="2000"/>
            <w:tcBorders>
              <w:top w:val="single" w:color="CCCCCC" w:sz="4"/>
              <w:left w:val="single" w:color="CCCCCC" w:sz="4"/>
              <w:bottom w:val="single" w:color="CCCCCC" w:sz="4"/>
              <w:right w:val="single" w:color="CCCCCC" w:sz="4"/>
            </w:tcBorders>
            <w:shd w:fill="1F6B75"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Workflow &amp; Case Management</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provide grantee-facing guided compliance wizards that walk users through award setup, budget loading, reporting requirements, and closeout steps with plain-language instructions.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Wizard completion rate ≥85% among Tier 2/3 grantees; support ticket volume reduced by ≥30% post-deployment.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FR-18</w:t>
            </w:r>
          </w:p>
        </w:tc>
        <w:tc>
          <w:tcPr>
            <w:tcW w:type="dxa" w:w="2000"/>
            <w:tcBorders>
              <w:top w:val="single" w:color="CCCCCC" w:sz="4"/>
              <w:left w:val="single" w:color="CCCCCC" w:sz="4"/>
              <w:bottom w:val="single" w:color="CCCCCC" w:sz="4"/>
              <w:right w:val="single" w:color="CCCCCC" w:sz="4"/>
            </w:tcBorders>
            <w:shd w:fill="1F6B75"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Workflow &amp; Case Management</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integrate a grantor–grantee communication portal with document exchange, messaging, and milestone-tracking capabilities, replacing ad-hoc email chains.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All official grant communications logged in system; document exchange audit trail maintained.</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FR-19</w:t>
            </w:r>
          </w:p>
        </w:tc>
        <w:tc>
          <w:tcPr>
            <w:tcW w:type="dxa" w:w="2000"/>
            <w:tcBorders>
              <w:top w:val="single" w:color="CCCCCC" w:sz="4"/>
              <w:left w:val="single" w:color="CCCCCC" w:sz="4"/>
              <w:bottom w:val="single" w:color="CCCCCC" w:sz="4"/>
              <w:right w:val="single" w:color="CCCCCC"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Data Integration</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provide pre-built API connectors for SAP, Oracle, Workday, and Microsoft Dynamics 365 ERP platforms, with data sync latency &lt;15 minutes.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Connector certification completed; data accuracy &gt;99.9%; reconciliation variance &lt;0.01%.</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FR-20</w:t>
            </w:r>
          </w:p>
        </w:tc>
        <w:tc>
          <w:tcPr>
            <w:tcW w:type="dxa" w:w="2000"/>
            <w:tcBorders>
              <w:top w:val="single" w:color="CCCCCC" w:sz="4"/>
              <w:left w:val="single" w:color="CCCCCC" w:sz="4"/>
              <w:bottom w:val="single" w:color="CCCCCC" w:sz="4"/>
              <w:right w:val="single" w:color="CCCCCC"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Data Integration</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accept CSV/XLSX flat-file uploads for grantees without ERP systems, with automated data validation and field-mapping tools requiring no technical expertise.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Flat-file ingestion success rate ≥98%; validation error messages intelligible to non-technical users.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FR-21</w:t>
            </w:r>
          </w:p>
        </w:tc>
        <w:tc>
          <w:tcPr>
            <w:tcW w:type="dxa" w:w="2000"/>
            <w:tcBorders>
              <w:top w:val="single" w:color="CCCCCC" w:sz="4"/>
              <w:left w:val="single" w:color="CCCCCC" w:sz="4"/>
              <w:bottom w:val="single" w:color="CCCCCC" w:sz="4"/>
              <w:right w:val="single" w:color="CCCCCC"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Data Integration</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integrate with USASpending.gov, FPDS-NG, and the Federal Audit Clearinghouse (FAC) APIs to enrich grantee profiles with federal spending history and prior audit findings.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API integration live; data enrichment latency &lt;24 hours; FAC finding import automated.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FR-22</w:t>
            </w:r>
          </w:p>
        </w:tc>
        <w:tc>
          <w:tcPr>
            <w:tcW w:type="dxa" w:w="2000"/>
            <w:tcBorders>
              <w:top w:val="single" w:color="CCCCCC" w:sz="4"/>
              <w:left w:val="single" w:color="CCCCCC" w:sz="4"/>
              <w:bottom w:val="single" w:color="CCCCCC" w:sz="4"/>
              <w:right w:val="single" w:color="CCCCCC"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Data Integration</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provide a data export API enabling federal agencies to extract program-level risk reports in machine-readable formats (JSON, CSV) for integration with agency financial systems.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Export API documented; data available within 2 hours of request; zero PII in non-authorized exports.</w:t>
            </w:r>
          </w:p>
        </w:tc>
      </w:tr>
    </w:tbl>
    <w:p>
      <w:pPr>
        <w:pageBreakBefore/>
      </w:pPr>
      <w:r>
        <w:rPr>
          <w:sz w:val="20"/>
          <w:szCs w:val="20"/>
        </w:rPr>
        <w:t xml:space="preserve"/>
      </w:r>
    </w:p>
    <w:p>
      <w:pPr>
        <w:pStyle w:val="Heading1"/>
        <w:shd w:fill="1F3864" w:val="clear"/>
        <w:spacing w:after="0" w:before="360"/>
        <w:ind w:left="240" w:right="240"/>
      </w:pPr>
      <w:r>
        <w:rPr>
          <w:rFonts w:ascii="Arial" w:cs="Arial" w:eastAsia="Arial" w:hAnsi="Arial"/>
          <w:b/>
          <w:bCs/>
          <w:color w:val="FFFFFF"/>
          <w:sz w:val="30"/>
          <w:szCs w:val="30"/>
        </w:rPr>
        <w:t xml:space="preserve">SECTION VI — NON-FUNCTIONAL REQUIREMENTS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260"/>
        <w:gridCol w:w="2600"/>
      </w:tblGrid>
      <w:tr>
        <w:trPr>
          <w:tblHeader/>
        </w:trPr>
        <w:tc>
          <w:tcPr>
            <w:tcW w:type="dxa" w:w="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42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 Metric</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NFR-01</w:t>
            </w:r>
          </w:p>
        </w:tc>
        <w:tc>
          <w:tcPr>
            <w:tcW w:type="dxa" w:w="2000"/>
            <w:tcBorders>
              <w:top w:val="single" w:color="CCCCCC" w:sz="4"/>
              <w:left w:val="single" w:color="CCCCCC" w:sz="4"/>
              <w:bottom w:val="single" w:color="CCCCCC" w:sz="4"/>
              <w:right w:val="single" w:color="CCCCCC"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Scalability</w:t>
            </w:r>
          </w:p>
        </w:tc>
        <w:tc>
          <w:tcPr>
            <w:tcW w:type="dxa" w:w="4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support concurrent onboarding of up to 10,000 grantee organizations across all 50 states, tribal jurisdictions, and U.S. territories without performance degradation.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Response time &lt;2 seconds at 10,000 concurrent users; auto-scaling triggers at 80% resource utilisation.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NFR-02</w:t>
            </w:r>
          </w:p>
        </w:tc>
        <w:tc>
          <w:tcPr>
            <w:tcW w:type="dxa" w:w="2000"/>
            <w:tcBorders>
              <w:top w:val="single" w:color="CCCCCC" w:sz="4"/>
              <w:left w:val="single" w:color="CCCCCC" w:sz="4"/>
              <w:bottom w:val="single" w:color="CCCCCC" w:sz="4"/>
              <w:right w:val="single" w:color="CCCCCC"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Scalability</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process a minimum of 5 million financial transactions per day across all tenants with consistent anomaly-detection latency.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Transaction throughput ≥5M/day; anomaly scoring latency &lt;200ms per transaction.</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NFR-03</w:t>
            </w:r>
          </w:p>
        </w:tc>
        <w:tc>
          <w:tcPr>
            <w:tcW w:type="dxa" w:w="2000"/>
            <w:tcBorders>
              <w:top w:val="single" w:color="CCCCCC" w:sz="4"/>
              <w:left w:val="single" w:color="CCCCCC" w:sz="4"/>
              <w:bottom w:val="single" w:color="CCCCCC" w:sz="4"/>
              <w:right w:val="single" w:color="CCCCCC"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Scalability</w:t>
            </w:r>
          </w:p>
        </w:tc>
        <w:tc>
          <w:tcPr>
            <w:tcW w:type="dxa" w:w="4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support multi-tenant architecture with strict data isolation between federal agencies, state grantees, and tribal entities.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Zero cross-tenant data leakage; tenant isolation validated by independent penetration test.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NFR-04</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Security</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comply with FISMA Moderate baseline controls (NIST SP 800-53 Rev 5), FedRAMP Moderate authorization, and NIST Cybersecurity Framework.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FedRAMP Moderate ATO obtained within 18 months of deployment; annual penetration testing; SIEM integrated.</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NFR-05</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Security</w:t>
            </w:r>
          </w:p>
        </w:tc>
        <w:tc>
          <w:tcPr>
            <w:tcW w:type="dxa" w:w="4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enforce role-based access control (RBAC) with least-privilege principles; all privileged actions require multi-factor authentication (MFA).</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MFA enforced for 100% of users; RBAC violations blocked; access reviews conducted quarterly.</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NFR-06</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Security</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All data at rest SHALL be encrypted using AES-256; all data in transit SHALL use TLS 1.3 minimum.</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Encryption compliance verified by quarterly security audit; zero plaintext PII in storage.</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NFR-07</w:t>
            </w:r>
          </w:p>
        </w:tc>
        <w:tc>
          <w:tcPr>
            <w:tcW w:type="dxa" w:w="200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Reliability</w:t>
            </w:r>
          </w:p>
        </w:tc>
        <w:tc>
          <w:tcPr>
            <w:tcW w:type="dxa" w:w="4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maintain 99.9% availability (≤8.7 hours unplanned downtime per year) with a Recovery Time Objective (RTO) of ≤4 hours and Recovery Point Objective (RPO) of ≤1 hour.</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Uptime SLA: 99.9%; RTO ≤4 hours; RPO ≤1 hour; tested via quarterly DR drills.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NFR-08</w:t>
            </w:r>
          </w:p>
        </w:tc>
        <w:tc>
          <w:tcPr>
            <w:tcW w:type="dxa" w:w="200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Reliability</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maintain full functionality in offline/limited-connectivity mode for grantees in rural or tribal areas, syncing when connectivity is restored.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Offline data capture tested; sync accuracy 100% on reconnection; data loss tolerance: zero.</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NFR-09</w:t>
            </w:r>
          </w:p>
        </w:tc>
        <w:tc>
          <w:tcPr>
            <w:tcW w:type="dxa" w:w="2000"/>
            <w:tcBorders>
              <w:top w:val="single" w:color="CCCCCC" w:sz="4"/>
              <w:left w:val="single" w:color="CCCCCC" w:sz="4"/>
              <w:bottom w:val="single" w:color="CCCCCC" w:sz="4"/>
              <w:right w:val="single" w:color="CCCCCC" w:sz="4"/>
            </w:tcBorders>
            <w:shd w:fill="1F6B75"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Data Privacy</w:t>
            </w:r>
          </w:p>
        </w:tc>
        <w:tc>
          <w:tcPr>
            <w:tcW w:type="dxa" w:w="4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comply with the Privacy Act of 1974, OMB Circular A-130, and applicable state privacy laws; no PII shall be shared between tenants or used for model training without anonymization.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Privacy Impact Assessment (PIA) completed; zero cross-tenant PII sharing; model training uses anonymized data only.</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NFR-10</w:t>
            </w:r>
          </w:p>
        </w:tc>
        <w:tc>
          <w:tcPr>
            <w:tcW w:type="dxa" w:w="2000"/>
            <w:tcBorders>
              <w:top w:val="single" w:color="CCCCCC" w:sz="4"/>
              <w:left w:val="single" w:color="CCCCCC" w:sz="4"/>
              <w:bottom w:val="single" w:color="CCCCCC" w:sz="4"/>
              <w:right w:val="single" w:color="CCCCCC" w:sz="4"/>
            </w:tcBorders>
            <w:shd w:fill="1F6B75"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Data Privacy</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maintain a full audit trail of all PII access events, exportable for Privacy Act compliance reviews.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100% of PII access logged; audit trail exportable within 24 hours of request.</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NFR-11</w:t>
            </w:r>
          </w:p>
        </w:tc>
        <w:tc>
          <w:tcPr>
            <w:tcW w:type="dxa" w:w="20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Auditability</w:t>
            </w:r>
          </w:p>
        </w:tc>
        <w:tc>
          <w:tcPr>
            <w:tcW w:type="dxa" w:w="4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All system-generated decisions (risk scores, flags, compliance determinations) SHALL be explainable and traceable to source data, rules, or model features.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Explainability report generated for every flag; adjudicator-readable rationale ≥95% of cases.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NFR-12</w:t>
            </w:r>
          </w:p>
        </w:tc>
        <w:tc>
          <w:tcPr>
            <w:tcW w:type="dxa" w:w="2000"/>
            <w:tcBorders>
              <w:top w:val="single" w:color="CCCCCC" w:sz="4"/>
              <w:left w:val="single" w:color="CCCCCC" w:sz="4"/>
              <w:bottom w:val="single" w:color="CCCCCC" w:sz="4"/>
              <w:right w:val="single" w:color="CCCCCC"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Interoperability</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publish a documented REST API and provide an OpenAPI 3.0 specification enabling federal agencies to build custom integrations without vendor dependency.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OpenAPI spec published; SDK available in Python and Java; integration documentation maintained.</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NFR-13</w:t>
            </w:r>
          </w:p>
        </w:tc>
        <w:tc>
          <w:tcPr>
            <w:tcW w:type="dxa" w:w="2000"/>
            <w:tcBorders>
              <w:top w:val="single" w:color="CCCCCC" w:sz="4"/>
              <w:left w:val="single" w:color="CCCCCC" w:sz="4"/>
              <w:bottom w:val="single" w:color="CCCCCC" w:sz="4"/>
              <w:right w:val="single" w:color="CCCCCC" w:sz="4"/>
            </w:tcBorders>
            <w:shd w:fill="1F6B75"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Usability</w:t>
            </w:r>
          </w:p>
        </w:tc>
        <w:tc>
          <w:tcPr>
            <w:tcW w:type="dxa" w:w="4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The system SHALL achieve a System Usability Scale (SUS) score ≥75 among Tier 3 grantees (no dedicated IT staff) without requiring formal IT training beyond an onboarding wizard.</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SUS ≥75 in user acceptance testing with Tier 3 grantee cohort; onboarding completion &lt;4 hours.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1F3864"/>
                <w:sz w:val="18"/>
                <w:szCs w:val="18"/>
              </w:rPr>
              <w:t xml:space="preserve">NFR-14</w:t>
            </w:r>
          </w:p>
        </w:tc>
        <w:tc>
          <w:tcPr>
            <w:tcW w:type="dxa" w:w="2000"/>
            <w:tcBorders>
              <w:top w:val="single" w:color="CCCCCC" w:sz="4"/>
              <w:left w:val="single" w:color="CCCCCC" w:sz="4"/>
              <w:bottom w:val="single" w:color="CCCCCC" w:sz="4"/>
              <w:right w:val="single" w:color="CCCCCC"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Performance</w:t>
            </w:r>
          </w:p>
        </w:tc>
        <w:tc>
          <w:tcPr>
            <w:tcW w:type="dxa" w:w="4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AI model inference (risk scoring, anomaly detection) SHALL complete within 200ms for any single transaction; batch overnight model retraining SHALL complete within a 4-hour window.</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P99 inference latency &lt;200ms; nightly batch retraining window ≤4 hours; model drift monitored weekly.</w:t>
            </w:r>
          </w:p>
        </w:tc>
      </w:tr>
    </w:tbl>
    <w:p>
      <w:pPr>
        <w:pageBreakBefore/>
      </w:pPr>
      <w:r>
        <w:rPr>
          <w:sz w:val="20"/>
          <w:szCs w:val="20"/>
        </w:rPr>
        <w:t xml:space="preserve"/>
      </w:r>
    </w:p>
    <w:p>
      <w:pPr>
        <w:pStyle w:val="Heading1"/>
        <w:shd w:fill="1F3864" w:val="clear"/>
        <w:spacing w:after="0" w:before="360"/>
        <w:ind w:left="240" w:right="240"/>
      </w:pPr>
      <w:r>
        <w:rPr>
          <w:rFonts w:ascii="Arial" w:cs="Arial" w:eastAsia="Arial" w:hAnsi="Arial"/>
          <w:b/>
          <w:bCs/>
          <w:color w:val="FFFFFF"/>
          <w:sz w:val="30"/>
          <w:szCs w:val="30"/>
        </w:rPr>
        <w:t xml:space="preserve">SECTION VII — CONTROL FRAMEWORK ALIGNMENT</w:t>
      </w:r>
    </w:p>
    <w:p>
      <w:pPr>
        <w:spacing w:after="0" w:before="60"/>
      </w:pPr>
      <w:r>
        <w:rPr>
          <w:rFonts w:ascii="Arial" w:cs="Arial" w:eastAsia="Arial" w:hAnsi="Arial"/>
        </w:rPr>
        <w:t xml:space="preserve"/>
      </w:r>
    </w:p>
    <w:p>
      <w:pPr>
        <w:spacing w:after="80" w:before="0"/>
      </w:pPr>
      <w:r>
        <w:rPr>
          <w:rFonts w:ascii="Arial" w:cs="Arial" w:eastAsia="Arial" w:hAnsi="Arial"/>
          <w:color w:val="000000"/>
          <w:sz w:val="20"/>
          <w:szCs w:val="20"/>
        </w:rPr>
        <w:t xml:space="preserve">The following table maps each GovGuard™ system capability to its control type (preventive, detective, or corrective), the applicable GAO Green Book principle, the corresponding COSO Internal Control component, and its specific contribution to audit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1400"/>
        <w:gridCol w:w="23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System Capability</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 Type</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GAO Green Book Principle</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COSO Component</w:t>
            </w:r>
          </w:p>
        </w:tc>
        <w:tc>
          <w:tcPr>
            <w:tcW w:type="dxa" w:w="2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Audit Readiness Contribution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Pre-Award Entity Screening</w:t>
            </w:r>
          </w:p>
        </w:tc>
        <w:tc>
          <w:tcPr>
            <w:tcW w:type="dxa" w:w="200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Preventive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Principle 3 – Establish Structure, Responsibility</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Control Environment</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Reduces pre-award fraud risk; supports SEFA accuracy; SAM.gov compliance documented.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1F3864"/>
                <w:sz w:val="18"/>
                <w:szCs w:val="18"/>
              </w:rPr>
              <w:t xml:space="preserve">AI Payment Risk Scoring</w:t>
            </w:r>
          </w:p>
        </w:tc>
        <w:tc>
          <w:tcPr>
            <w:tcW w:type="dxa" w:w="20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Preventive + Detective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Principle 16 – Perform Risk Assessments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Risk Assessment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Real-time risk evidence satisfies OIG sampling requirements; anomaly logs support finding resolution.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Duplicate Invoice Detection</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Preventive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Principle 10 – Design Control Activities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Control Activities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Eliminates duplicate payment finding category from Single Audit scope; direct improper payment reduction.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1F3864"/>
                <w:sz w:val="18"/>
                <w:szCs w:val="18"/>
              </w:rPr>
              <w:t xml:space="preserve">2 CFR 200 Compliance Checklist Automation</w:t>
            </w:r>
          </w:p>
        </w:tc>
        <w:tc>
          <w:tcPr>
            <w:tcW w:type="dxa" w:w="200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Preventive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Principle 12 – Implement Through Policies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Control Activities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130+ controls map directly to Single Audit compliance requirement testing matrix.</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Subrecipient Risk Classification</w:t>
            </w:r>
          </w:p>
        </w:tc>
        <w:tc>
          <w:tcPr>
            <w:tcW w:type="dxa" w:w="2000"/>
            <w:tcBorders>
              <w:top w:val="single" w:color="CCCCCC" w:sz="4"/>
              <w:left w:val="single" w:color="CCCCCC" w:sz="4"/>
              <w:bottom w:val="single" w:color="CCCCCC" w:sz="4"/>
              <w:right w:val="single" w:color="CCCCCC"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Preventive + Detective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Principle 13 – Use Quality Information</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Information &amp; Communication</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Supports pass-through entity monitoring requirements; risk tier documented for audit workpapers.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1F3864"/>
                <w:sz w:val="18"/>
                <w:szCs w:val="18"/>
              </w:rPr>
              <w:t xml:space="preserve">Continuous Transaction Monitoring</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Detective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Principle 16 – Perform Risk Assessments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Monitoring Activities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Provides continuous control monitoring evidence; reduces reliance on year-end testing.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Audit Trail &amp; Evidence Hub</w:t>
            </w:r>
          </w:p>
        </w:tc>
        <w:tc>
          <w:tcPr>
            <w:tcW w:type="dxa" w:w="200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Detective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Principle 17 – Monitor Internal Controls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Monitoring Activities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Immutable logs satisfy evidentiary requirements; SEFA auto-generation reduces manual audit prep by ≥60%.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1F3864"/>
                <w:sz w:val="18"/>
                <w:szCs w:val="18"/>
              </w:rPr>
              <w:t xml:space="preserve">Corrective Action Plan Workflow</w:t>
            </w:r>
          </w:p>
        </w:tc>
        <w:tc>
          <w:tcPr>
            <w:tcW w:type="dxa" w:w="2000"/>
            <w:tcBorders>
              <w:top w:val="single" w:color="CCCCCC" w:sz="4"/>
              <w:left w:val="single" w:color="CCCCCC" w:sz="4"/>
              <w:bottom w:val="single" w:color="CCCCCC" w:sz="4"/>
              <w:right w:val="single" w:color="CCCCCC" w:sz="4"/>
            </w:tcBorders>
            <w:shd w:fill="1F6B75"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Detective + Corrective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Principle 17 – Monitor Internal Controls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Monitoring Activities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Tracks finding resolution per FAC requirements; management response documented and timestamped.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1F3864"/>
                <w:sz w:val="18"/>
                <w:szCs w:val="18"/>
              </w:rPr>
              <w:t xml:space="preserve">Segregation of Duties Enforcement</w:t>
            </w:r>
          </w:p>
        </w:tc>
        <w:tc>
          <w:tcPr>
            <w:tcW w:type="dxa" w:w="200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Preventive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Principle 10 – Design Control Activities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Control Environment</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Eliminates SoD findings; transaction authorization matrix documented for auditor review.</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1F3864"/>
                <w:sz w:val="18"/>
                <w:szCs w:val="18"/>
              </w:rPr>
              <w:t xml:space="preserve">Real-Time Executive Dashboard</w:t>
            </w:r>
          </w:p>
        </w:tc>
        <w:tc>
          <w:tcPr>
            <w:tcW w:type="dxa" w:w="20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Detective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Principle 14 – Communicate Internally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Information &amp; Communication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Provides management oversight evidence; control environment monitoring documented for OIG review.</w:t>
            </w:r>
          </w:p>
        </w:tc>
      </w:tr>
    </w:tbl>
    <w:p>
      <w:pPr>
        <w:spacing w:after="0" w:before="80"/>
      </w:pPr>
      <w:r>
        <w:rPr>
          <w:rFonts w:ascii="Arial" w:cs="Arial" w:eastAsia="Arial" w:hAnsi="Arial"/>
        </w:rPr>
        <w:t xml:space="preserve"/>
      </w:r>
    </w:p>
    <w:p>
      <w:pPr>
        <w:pBdr>
          <w:left w:val="thick" w:color="375623" w:sz="24"/>
        </w:pBdr>
        <w:shd w:fill="E2EFDA" w:val="clear"/>
        <w:spacing w:after="80" w:before="80"/>
        <w:ind w:left="360" w:right="360"/>
      </w:pPr>
      <w:r>
        <w:rPr>
          <w:rFonts w:ascii="Arial" w:cs="Arial" w:eastAsia="Arial" w:hAnsi="Arial"/>
          <w:b/>
          <w:bCs/>
          <w:color w:val="000000"/>
          <w:sz w:val="20"/>
          <w:szCs w:val="20"/>
        </w:rPr>
        <w:t xml:space="preserve">Framework Alignment Summary: </w:t>
      </w:r>
      <w:r>
        <w:rPr>
          <w:rFonts w:ascii="Arial" w:cs="Arial" w:eastAsia="Arial" w:hAnsi="Arial"/>
          <w:color w:val="000000"/>
          <w:sz w:val="20"/>
          <w:szCs w:val="20"/>
        </w:rPr>
        <w:t xml:space="preserve">GovGuard™ provides coverage across all five COSO components (Control Environment, Risk Assessment, Control Activities, Information &amp; Communication, Monitoring Activities) and maps to all 17 GAO Green Book principles. No other currently available open-access platform provides this level of explicit framework alignment for federal grant recipients.</w:t>
      </w:r>
    </w:p>
    <w:p>
      <w:pPr>
        <w:pageBreakBefore/>
      </w:pPr>
      <w:r>
        <w:rPr>
          <w:sz w:val="20"/>
          <w:szCs w:val="20"/>
        </w:rPr>
        <w:t xml:space="preserve"/>
      </w:r>
    </w:p>
    <w:p>
      <w:pPr>
        <w:pStyle w:val="Heading1"/>
        <w:shd w:fill="1F3864" w:val="clear"/>
        <w:spacing w:after="0" w:before="360"/>
        <w:ind w:left="240" w:right="240"/>
      </w:pPr>
      <w:r>
        <w:rPr>
          <w:rFonts w:ascii="Arial" w:cs="Arial" w:eastAsia="Arial" w:hAnsi="Arial"/>
          <w:b/>
          <w:bCs/>
          <w:color w:val="FFFFFF"/>
          <w:sz w:val="30"/>
          <w:szCs w:val="30"/>
        </w:rPr>
        <w:t xml:space="preserve">SECTION VIII — IMPLEMENTATION CONSIDERATIONS</w:t>
      </w:r>
    </w:p>
    <w:p>
      <w:pPr>
        <w:spacing w:after="0" w:before="60"/>
      </w:pPr>
      <w:r>
        <w:rPr>
          <w:rFonts w:ascii="Arial" w:cs="Arial" w:eastAsia="Arial" w:hAnsi="Arial"/>
        </w:rPr>
        <w:t xml:space="preserve"/>
      </w:r>
    </w:p>
    <w:p>
      <w:pPr>
        <w:pBdr>
          <w:bottom w:val="single" w:color="1F3864" w:sz="4" w:space="2"/>
        </w:pBdr>
        <w:spacing w:after="60" w:before="180"/>
      </w:pPr>
      <w:r>
        <w:rPr>
          <w:rFonts w:ascii="Arial" w:cs="Arial" w:eastAsia="Arial" w:hAnsi="Arial"/>
          <w:b/>
          <w:bCs/>
          <w:color w:val="1F3864"/>
          <w:sz w:val="21"/>
          <w:szCs w:val="21"/>
        </w:rPr>
        <w:t xml:space="preserve">Phased Rollout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160"/>
        <w:gridCol w:w="2600"/>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Timeline</w:t>
            </w:r>
          </w:p>
        </w:tc>
        <w:tc>
          <w:tcPr>
            <w:tcW w:type="dxa" w:w="4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Scope</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Success Criteria</w:t>
            </w:r>
          </w:p>
        </w:tc>
      </w:tr>
      <w:tr>
        <w:tc>
          <w:tcPr>
            <w:tcW w:type="dxa" w:w="800"/>
            <w:tcBorders>
              <w:top w:val="single" w:color="CCCCCC" w:sz="4"/>
              <w:left w:val="single" w:color="CCCCCC" w:sz="4"/>
              <w:bottom w:val="single" w:color="CCCCCC" w:sz="4"/>
              <w:right w:val="single" w:color="CCCCCC"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Phase 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Months 1–6</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Architecture build; compliance engine; ERP connectors for SAP/Oracle/Workday; onboarding of 5–10 pilot grantees.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Core compliance module passing UAT; 3+ ERP connectors live; pilot grantee compliance scores established.</w:t>
            </w:r>
          </w:p>
        </w:tc>
      </w:tr>
      <w:tr>
        <w:tc>
          <w:tcPr>
            <w:tcW w:type="dxa" w:w="800"/>
            <w:tcBorders>
              <w:top w:val="single" w:color="CCCCCC" w:sz="4"/>
              <w:left w:val="single" w:color="CCCCCC" w:sz="4"/>
              <w:bottom w:val="single" w:color="CCCCCC" w:sz="4"/>
              <w:right w:val="single" w:color="CCCCCC" w:sz="4"/>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Phase 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Months 6–12</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AI payment risk scoring and transaction monitoring engines; pre-award fraud screener; real-time dashboard; FedRAMP authorization process initiated.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AI model accuracy ≥90%; duplicate invoice detection live; FedRAMP package submitted.</w:t>
            </w:r>
          </w:p>
        </w:tc>
      </w:tr>
      <w:tr>
        <w:tc>
          <w:tcPr>
            <w:tcW w:type="dxa" w:w="800"/>
            <w:tcBorders>
              <w:top w:val="single" w:color="CCCCCC" w:sz="4"/>
              <w:left w:val="single" w:color="CCCCCC" w:sz="4"/>
              <w:bottom w:val="single" w:color="CCCCCC" w:sz="4"/>
              <w:right w:val="single" w:color="CCCCCC" w:sz="4"/>
            </w:tcBorders>
            <w:shd w:fill="1F6B75"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Phase 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Months 12–18</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Audit readiness hub; Single Audit workflow; CAP management; equity analytics module; Tier 3 grantee onboarding wizard; offline mode.</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SEFA auto-generation validated; 50+ grantees enrolled; Tier 3 usability SUS ≥75.</w:t>
            </w:r>
          </w:p>
        </w:tc>
      </w:tr>
      <w:tr>
        <w:tc>
          <w:tcPr>
            <w:tcW w:type="dxa" w:w="8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Phase 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Months 18–24</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Scale to 500+ grantees; federal agency grantor portals; cross-program fraud intelligence database; API marketplace for agency integrations.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500+ grantees enrolled; federal agency pilot agreement signed; cross-program vendor intelligence operational.</w:t>
            </w:r>
          </w:p>
        </w:tc>
      </w:tr>
      <w:tr>
        <w:tc>
          <w:tcPr>
            <w:tcW w:type="dxa" w:w="80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Phase 5</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Months 24+</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National deployment; multi-language support; tribal-specific compliance modules; open-source component publication; policy advocacy for federal adoption mandate.</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FedRAMP Moderate ATO obtained; 2,000+ grantees; measurable reduction in improper payment rates documented.</w:t>
            </w:r>
          </w:p>
        </w:tc>
      </w:tr>
    </w:tbl>
    <w:p>
      <w:pPr>
        <w:spacing w:after="0" w:before="80"/>
      </w:pPr>
      <w:r>
        <w:rPr>
          <w:rFonts w:ascii="Arial" w:cs="Arial" w:eastAsia="Arial" w:hAnsi="Arial"/>
        </w:rPr>
        <w:t xml:space="preserve"/>
      </w:r>
    </w:p>
    <w:p>
      <w:pPr>
        <w:pBdr>
          <w:bottom w:val="single" w:color="1F3864" w:sz="4" w:space="2"/>
        </w:pBdr>
        <w:spacing w:after="60" w:before="180"/>
      </w:pPr>
      <w:r>
        <w:rPr>
          <w:rFonts w:ascii="Arial" w:cs="Arial" w:eastAsia="Arial" w:hAnsi="Arial"/>
          <w:b/>
          <w:bCs/>
          <w:color w:val="1F3864"/>
          <w:sz w:val="21"/>
          <w:szCs w:val="21"/>
        </w:rPr>
        <w:t xml:space="preserve">Adoption Challenges and Mitigation</w:t>
      </w:r>
    </w:p>
    <w:p>
      <w:pPr>
        <w:pStyle w:val="ListParagraph"/>
        <w:numPr>
          <w:ilvl w:val="0"/>
          <w:numId w:val="2"/>
        </w:numPr>
        <w:spacing w:after="40" w:before="40"/>
      </w:pPr>
      <w:r>
        <w:rPr>
          <w:rFonts w:ascii="Arial" w:cs="Arial" w:eastAsia="Arial" w:hAnsi="Arial"/>
          <w:sz w:val="20"/>
          <w:szCs w:val="20"/>
        </w:rPr>
        <w:t xml:space="default"/>
      </w:r>
    </w:p>
    <w:p>
      <w:pPr>
        <w:pStyle w:val="ListParagraph"/>
        <w:numPr>
          <w:ilvl w:val="0"/>
          <w:numId w:val="2"/>
        </w:numPr>
        <w:spacing w:after="40" w:before="40"/>
      </w:pPr>
      <w:r>
        <w:rPr>
          <w:rFonts w:ascii="Arial" w:cs="Arial" w:eastAsia="Arial" w:hAnsi="Arial"/>
          <w:sz w:val="20"/>
          <w:szCs w:val="20"/>
        </w:rPr>
        <w:t xml:space="default"/>
      </w:r>
    </w:p>
    <w:p>
      <w:pPr>
        <w:pStyle w:val="ListParagraph"/>
        <w:numPr>
          <w:ilvl w:val="0"/>
          <w:numId w:val="2"/>
        </w:numPr>
        <w:spacing w:after="40" w:before="40"/>
      </w:pPr>
      <w:r>
        <w:rPr>
          <w:rFonts w:ascii="Arial" w:cs="Arial" w:eastAsia="Arial" w:hAnsi="Arial"/>
          <w:sz w:val="20"/>
          <w:szCs w:val="20"/>
        </w:rPr>
        <w:t xml:space="default"/>
      </w:r>
    </w:p>
    <w:p>
      <w:pPr>
        <w:pStyle w:val="ListParagraph"/>
        <w:numPr>
          <w:ilvl w:val="0"/>
          <w:numId w:val="2"/>
        </w:numPr>
        <w:spacing w:after="40" w:before="40"/>
      </w:pPr>
      <w:r>
        <w:rPr>
          <w:rFonts w:ascii="Arial" w:cs="Arial" w:eastAsia="Arial" w:hAnsi="Arial"/>
          <w:sz w:val="20"/>
          <w:szCs w:val="20"/>
        </w:rPr>
        <w:t xml:space="default"/>
      </w:r>
    </w:p>
    <w:p>
      <w:pPr>
        <w:pStyle w:val="ListParagraph"/>
        <w:numPr>
          <w:ilvl w:val="0"/>
          <w:numId w:val="2"/>
        </w:numPr>
        <w:spacing w:after="40" w:before="40"/>
      </w:pPr>
      <w:r>
        <w:rPr>
          <w:rFonts w:ascii="Arial" w:cs="Arial" w:eastAsia="Arial" w:hAnsi="Arial"/>
          <w:sz w:val="20"/>
          <w:szCs w:val="20"/>
        </w:rPr>
        <w:t xml:space="default"/>
      </w:r>
    </w:p>
    <w:p>
      <w:pPr>
        <w:spacing w:after="0" w:before="80"/>
      </w:pPr>
      <w:r>
        <w:rPr>
          <w:rFonts w:ascii="Arial" w:cs="Arial" w:eastAsia="Arial" w:hAnsi="Arial"/>
        </w:rPr>
        <w:t xml:space="preserve"/>
      </w:r>
    </w:p>
    <w:p>
      <w:pPr>
        <w:pBdr>
          <w:bottom w:val="single" w:color="1F3864" w:sz="4" w:space="2"/>
        </w:pBdr>
        <w:spacing w:after="60" w:before="180"/>
      </w:pPr>
      <w:r>
        <w:rPr>
          <w:rFonts w:ascii="Arial" w:cs="Arial" w:eastAsia="Arial" w:hAnsi="Arial"/>
          <w:b/>
          <w:bCs/>
          <w:color w:val="1F3864"/>
          <w:sz w:val="21"/>
          <w:szCs w:val="21"/>
        </w:rPr>
        <w:t xml:space="preserve">Cost Model</w:t>
      </w:r>
    </w:p>
    <w:p>
      <w:pPr>
        <w:pStyle w:val="ListParagraph"/>
        <w:numPr>
          <w:ilvl w:val="0"/>
          <w:numId w:val="2"/>
        </w:numPr>
        <w:spacing w:after="40" w:before="40"/>
      </w:pPr>
      <w:r>
        <w:rPr>
          <w:rFonts w:ascii="Arial" w:cs="Arial" w:eastAsia="Arial" w:hAnsi="Arial"/>
          <w:sz w:val="20"/>
          <w:szCs w:val="20"/>
        </w:rPr>
        <w:t xml:space="preserve">Tier 1 (Federal Agencies / Large State Grantees): Enterprise SaaS subscription based on award volume and user count.</w:t>
      </w:r>
    </w:p>
    <w:p>
      <w:pPr>
        <w:pStyle w:val="ListParagraph"/>
        <w:numPr>
          <w:ilvl w:val="0"/>
          <w:numId w:val="2"/>
        </w:numPr>
        <w:spacing w:after="40" w:before="40"/>
      </w:pPr>
      <w:r>
        <w:rPr>
          <w:rFonts w:ascii="Arial" w:cs="Arial" w:eastAsia="Arial" w:hAnsi="Arial"/>
          <w:sz w:val="20"/>
          <w:szCs w:val="20"/>
        </w:rPr>
        <w:t xml:space="preserve">Tier 2 (State/Local Government): Per-seat SaaS subscription; volume discounts for state-wide deployment.</w:t>
      </w:r>
    </w:p>
    <w:p>
      <w:pPr>
        <w:pStyle w:val="ListParagraph"/>
        <w:numPr>
          <w:ilvl w:val="0"/>
          <w:numId w:val="2"/>
        </w:numPr>
        <w:spacing w:after="40" w:before="40"/>
      </w:pPr>
      <w:r>
        <w:rPr>
          <w:rFonts w:ascii="Arial" w:cs="Arial" w:eastAsia="Arial" w:hAnsi="Arial"/>
          <w:sz w:val="20"/>
          <w:szCs w:val="20"/>
        </w:rPr>
        <w:t xml:space="preserve">Tier 3 (Tribal / Small Nonprofit): Open-access at no cost for grantees with total federal expenditure &lt;$5M/year; supported through federal TA program funding or cross-subsidy from Tier 1/2 revenue.</w:t>
      </w:r>
    </w:p>
    <w:p>
      <w:pPr>
        <w:pStyle w:val="ListParagraph"/>
        <w:numPr>
          <w:ilvl w:val="0"/>
          <w:numId w:val="2"/>
        </w:numPr>
        <w:spacing w:after="40" w:before="40"/>
      </w:pPr>
      <w:r>
        <w:rPr>
          <w:rFonts w:ascii="Arial" w:cs="Arial" w:eastAsia="Arial" w:hAnsi="Arial"/>
          <w:sz w:val="20"/>
          <w:szCs w:val="20"/>
        </w:rPr>
        <w:t xml:space="preserve">Federal Agency Grantor Portals: Custom enterprise agreement with agency-level deployment support.</w:t>
      </w:r>
    </w:p>
    <w:p>
      <w:pPr>
        <w:pageBreakBefore/>
      </w:pPr>
      <w:r>
        <w:rPr>
          <w:sz w:val="20"/>
          <w:szCs w:val="20"/>
        </w:rPr>
        <w:t xml:space="preserve"/>
      </w:r>
    </w:p>
    <w:p>
      <w:pPr>
        <w:pStyle w:val="Heading1"/>
        <w:shd w:fill="1F3864" w:val="clear"/>
        <w:spacing w:after="0" w:before="360"/>
        <w:ind w:left="240" w:right="240"/>
      </w:pPr>
      <w:r>
        <w:rPr>
          <w:rFonts w:ascii="Arial" w:cs="Arial" w:eastAsia="Arial" w:hAnsi="Arial"/>
          <w:b/>
          <w:bCs/>
          <w:color w:val="FFFFFF"/>
          <w:sz w:val="30"/>
          <w:szCs w:val="30"/>
        </w:rPr>
        <w:t xml:space="preserve">SECTION IX — STRATEGIC VALUE PROPOSITION</w:t>
      </w:r>
    </w:p>
    <w:p>
      <w:pPr>
        <w:spacing w:after="0" w:before="60"/>
      </w:pPr>
      <w:r>
        <w:rPr>
          <w:rFonts w:ascii="Arial" w:cs="Arial" w:eastAsia="Arial" w:hAnsi="Arial"/>
        </w:rPr>
        <w:t xml:space="preserve"/>
      </w:r>
    </w:p>
    <w:p>
      <w:pPr>
        <w:pBdr>
          <w:bottom w:val="single" w:color="1F3864" w:sz="4" w:space="2"/>
        </w:pBdr>
        <w:spacing w:after="60" w:before="180"/>
      </w:pPr>
      <w:r>
        <w:rPr>
          <w:rFonts w:ascii="Arial" w:cs="Arial" w:eastAsia="Arial" w:hAnsi="Arial"/>
          <w:b/>
          <w:bCs/>
          <w:color w:val="1F3864"/>
          <w:sz w:val="21"/>
          <w:szCs w:val="21"/>
        </w:rPr>
        <w:t xml:space="preserve">How GovGuard™ Addresses Systemic National Problems</w:t>
      </w:r>
    </w:p>
    <w:p>
      <w:pPr>
        <w:spacing w:after="60" w:before="60"/>
      </w:pPr>
      <w:r>
        <w:rPr>
          <w:rFonts w:ascii="Arial" w:cs="Arial" w:eastAsia="Arial" w:hAnsi="Arial"/>
          <w:color w:val="000000"/>
          <w:sz w:val="20"/>
          <w:szCs w:val="20"/>
        </w:rPr>
        <w:t xml:space="preserve">GovGuard™ is the first purpose-built, open-access platform to address all ten of the systemic national problems documented in federal oversight reports — simultaneously and within a single integrated architecture. Existing solutions address fragments of this problem space: commercial ERP systems provide financial management but not compliance monitoring; audit firms provide periodic assurance but not real-time detection; TA programs provide guidance but not operational tools. GovGuard™ closes all three gaps in a single platform, eliminating the fragmentation that is itself identified as a root cause of fraud and non-compliance.</w:t>
      </w:r>
    </w:p>
    <w:p>
      <w:pPr>
        <w:spacing w:after="0" w:before="40"/>
      </w:pPr>
      <w:r>
        <w:rPr>
          <w:rFonts w:ascii="Arial" w:cs="Arial" w:eastAsia="Arial" w:hAnsi="Arial"/>
        </w:rPr>
        <w:t xml:space="preserve"/>
      </w:r>
    </w:p>
    <w:p>
      <w:pPr>
        <w:pBdr>
          <w:bottom w:val="single" w:color="1F3864" w:sz="4" w:space="2"/>
        </w:pBdr>
        <w:spacing w:after="60" w:before="180"/>
      </w:pPr>
      <w:r>
        <w:rPr>
          <w:rFonts w:ascii="Arial" w:cs="Arial" w:eastAsia="Arial" w:hAnsi="Arial"/>
          <w:b/>
          <w:bCs/>
          <w:color w:val="1F3864"/>
          <w:sz w:val="21"/>
          <w:szCs w:val="21"/>
        </w:rPr>
        <w:t xml:space="preserve">Why GovGuard™ Is Superior to Current Fragmented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Dimension</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Commercial ERP
(SAP/Oracle/Workday)</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 Programs / Consultants</w:t>
            </w:r>
          </w:p>
        </w:tc>
        <w:tc>
          <w:tcPr>
            <w:tcW w:type="dxa" w:w="2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GovGuard™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 CFR 200 real-time compliance</w:t>
            </w:r>
          </w:p>
        </w:tc>
        <w:tc>
          <w:tcPr>
            <w:tcW w:type="dxa" w:w="20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Partial</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Manual only</w:t>
            </w:r>
          </w:p>
        </w:tc>
        <w:tc>
          <w:tcPr>
            <w:tcW w:type="dxa" w:w="296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Automated — 130+ controls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AI fraud detection</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None</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None</w:t>
            </w:r>
          </w:p>
        </w:tc>
        <w:tc>
          <w:tcPr>
            <w:tcW w:type="dxa" w:w="296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Full — pre &amp; post award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Tribal/rural accessibility</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No</w:t>
            </w:r>
          </w:p>
        </w:tc>
        <w:tc>
          <w:tcPr>
            <w:tcW w:type="dxa" w:w="20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Limited</w:t>
            </w:r>
          </w:p>
        </w:tc>
        <w:tc>
          <w:tcPr>
            <w:tcW w:type="dxa" w:w="296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Yes — offline + open access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Cost for Tier 3 grantees</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$50K–$500K+</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$20K–$80K/year</w:t>
            </w:r>
          </w:p>
        </w:tc>
        <w:tc>
          <w:tcPr>
            <w:tcW w:type="dxa" w:w="296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Open access / free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Audit trail continuity</w:t>
            </w:r>
          </w:p>
        </w:tc>
        <w:tc>
          <w:tcPr>
            <w:tcW w:type="dxa" w:w="20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Partial</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None</w:t>
            </w:r>
          </w:p>
        </w:tc>
        <w:tc>
          <w:tcPr>
            <w:tcW w:type="dxa" w:w="296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Immutable / continuous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Equity analytics (OMB M-21-19)</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None</w:t>
            </w:r>
          </w:p>
        </w:tc>
        <w:tc>
          <w:tcPr>
            <w:tcW w:type="dxa" w:w="2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None</w:t>
            </w:r>
          </w:p>
        </w:tc>
        <w:tc>
          <w:tcPr>
            <w:tcW w:type="dxa" w:w="296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Built-in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FedRAMP target authorization</w:t>
            </w:r>
          </w:p>
        </w:tc>
        <w:tc>
          <w:tcPr>
            <w:tcW w:type="dxa" w:w="200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Yes (enterprise)</w:t>
            </w:r>
          </w:p>
        </w:tc>
        <w:tc>
          <w:tcPr>
            <w:tcW w:type="dxa" w:w="2000"/>
            <w:tcBorders>
              <w:top w:val="single" w:color="CCCCCC" w:sz="4"/>
              <w:left w:val="single" w:color="CCCCCC" w:sz="4"/>
              <w:bottom w:val="single" w:color="CCCCCC" w:sz="4"/>
              <w:right w:val="single" w:color="CCCCCC" w:sz="4"/>
            </w:tcBorders>
            <w:shd w:fill="1F6B75"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N/A</w:t>
            </w:r>
          </w:p>
        </w:tc>
        <w:tc>
          <w:tcPr>
            <w:tcW w:type="dxa" w:w="296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Moderate (target)</w:t>
            </w:r>
          </w:p>
        </w:tc>
      </w:tr>
    </w:tbl>
    <w:p>
      <w:pPr>
        <w:spacing w:after="0" w:before="80"/>
      </w:pPr>
      <w:r>
        <w:rPr>
          <w:rFonts w:ascii="Arial" w:cs="Arial" w:eastAsia="Arial" w:hAnsi="Arial"/>
        </w:rPr>
        <w:t xml:space="preserve"/>
      </w:r>
    </w:p>
    <w:p>
      <w:pPr>
        <w:pBdr>
          <w:bottom w:val="single" w:color="1F3864" w:sz="4" w:space="2"/>
        </w:pBdr>
        <w:spacing w:after="60" w:before="180"/>
      </w:pPr>
      <w:r>
        <w:rPr>
          <w:rFonts w:ascii="Arial" w:cs="Arial" w:eastAsia="Arial" w:hAnsi="Arial"/>
          <w:b/>
          <w:bCs/>
          <w:color w:val="1F3864"/>
          <w:sz w:val="21"/>
          <w:szCs w:val="21"/>
        </w:rPr>
        <w:t xml:space="preserve">National Impact and ROI Projection</w:t>
      </w:r>
    </w:p>
    <w:p>
      <w:pPr>
        <w:pStyle w:val="ListParagraph"/>
        <w:numPr>
          <w:ilvl w:val="0"/>
          <w:numId w:val="2"/>
        </w:numPr>
        <w:spacing w:after="40" w:before="40"/>
      </w:pPr>
      <w:r>
        <w:rPr>
          <w:rFonts w:ascii="Arial" w:cs="Arial" w:eastAsia="Arial" w:hAnsi="Arial"/>
          <w:sz w:val="20"/>
          <w:szCs w:val="20"/>
        </w:rPr>
        <w:t xml:space="default"/>
      </w:r>
    </w:p>
    <w:p>
      <w:pPr>
        <w:pStyle w:val="ListParagraph"/>
        <w:numPr>
          <w:ilvl w:val="0"/>
          <w:numId w:val="2"/>
        </w:numPr>
        <w:spacing w:after="40" w:before="40"/>
      </w:pPr>
      <w:r>
        <w:rPr>
          <w:rFonts w:ascii="Arial" w:cs="Arial" w:eastAsia="Arial" w:hAnsi="Arial"/>
          <w:sz w:val="20"/>
          <w:szCs w:val="20"/>
        </w:rPr>
        <w:t xml:space="default"/>
      </w:r>
    </w:p>
    <w:p>
      <w:pPr>
        <w:pStyle w:val="ListParagraph"/>
        <w:numPr>
          <w:ilvl w:val="0"/>
          <w:numId w:val="2"/>
        </w:numPr>
        <w:spacing w:after="40" w:before="40"/>
      </w:pPr>
      <w:r>
        <w:rPr>
          <w:rFonts w:ascii="Arial" w:cs="Arial" w:eastAsia="Arial" w:hAnsi="Arial"/>
          <w:sz w:val="20"/>
          <w:szCs w:val="20"/>
        </w:rPr>
        <w:t xml:space="default"/>
      </w:r>
    </w:p>
    <w:p>
      <w:pPr>
        <w:pStyle w:val="ListParagraph"/>
        <w:numPr>
          <w:ilvl w:val="0"/>
          <w:numId w:val="2"/>
        </w:numPr>
        <w:spacing w:after="40" w:before="40"/>
      </w:pPr>
      <w:r>
        <w:rPr>
          <w:rFonts w:ascii="Arial" w:cs="Arial" w:eastAsia="Arial" w:hAnsi="Arial"/>
          <w:sz w:val="20"/>
          <w:szCs w:val="20"/>
        </w:rPr>
        <w:t xml:space="default"/>
      </w:r>
    </w:p>
    <w:p>
      <w:pPr>
        <w:spacing w:after="0" w:before="80"/>
      </w:pPr>
      <w:r>
        <w:rPr>
          <w:rFonts w:ascii="Arial" w:cs="Arial" w:eastAsia="Arial" w:hAnsi="Arial"/>
        </w:rPr>
        <w:t xml:space="preserve"/>
      </w:r>
    </w:p>
    <w:p>
      <w:pPr>
        <w:pBdr>
          <w:left w:val="thick" w:color="2E75B6" w:sz="24"/>
        </w:pBdr>
        <w:shd w:fill="D6E4F0" w:val="clear"/>
        <w:spacing w:after="80" w:before="80"/>
        <w:ind w:left="360" w:right="360"/>
      </w:pPr>
      <w:r>
        <w:rPr>
          <w:rFonts w:ascii="Arial" w:cs="Arial" w:eastAsia="Arial" w:hAnsi="Arial"/>
          <w:b/>
          <w:bCs/>
          <w:color w:val="000000"/>
          <w:sz w:val="20"/>
          <w:szCs w:val="20"/>
        </w:rPr>
        <w:t xml:space="preserve">Conclusion: </w:t>
      </w:r>
      <w:r>
        <w:rPr>
          <w:rFonts w:ascii="Arial" w:cs="Arial" w:eastAsia="Arial" w:hAnsi="Arial"/>
          <w:color w:val="000000"/>
          <w:sz w:val="20"/>
          <w:szCs w:val="20"/>
        </w:rPr>
        <w:t xml:space="preserve">GovGuard™ Enterprise Platform converts a documented $236B annual improper payment problem — rooted in the structural absence of automated, real-time, open-access compliance infrastructure — into a solved problem through purpose-built technology. The platform is not a marginal improvement on existing solutions; it is the foundational infrastructure layer that the federal grant ecosystem currently lacks. Its national importance is established by the breadth and magnitude of the documented problem; its feasibility is established by the technical architecture described in this document; and its practical value to the United States is established by the projected financial, operational, and equity outcomes quantified in each problem section.</w:t>
      </w:r>
    </w:p>
    <w:p>
      <w:pPr>
        <w:spacing w:after="0" w:before="80"/>
      </w:pPr>
      <w:r>
        <w:rPr>
          <w:rFonts w:ascii="Arial" w:cs="Arial" w:eastAsia="Arial" w:hAnsi="Arial"/>
        </w:rPr>
        <w:t xml:space="preserve"/>
      </w:r>
    </w:p>
    <w:p>
      <w:pPr>
        <w:pBdr>
          <w:bottom w:val="single" w:color="2E75B6" w:sz="6" w:space="1"/>
        </w:pBdr>
        <w:spacing w:after="100" w:before="100"/>
      </w:pPr>
      <w:r>
        <w:rPr>
          <w:rFonts w:ascii="Arial" w:cs="Arial" w:eastAsia="Arial" w:hAnsi="Arial"/>
        </w:rPr>
        <w:t xml:space="preserve"/>
      </w:r>
    </w:p>
    <w:p>
      <w:pPr>
        <w:spacing w:after="60" w:before="60"/>
        <w:jc w:val="center"/>
      </w:pPr>
      <w:r>
        <w:rPr>
          <w:rFonts w:ascii="Arial" w:cs="Arial" w:eastAsia="Arial" w:hAnsi="Arial"/>
          <w:i/>
          <w:iCs/>
          <w:color w:val="555555"/>
          <w:sz w:val="17"/>
          <w:szCs w:val="17"/>
        </w:rPr>
        <w:t xml:space="preserve">Document ends. GovGuard™ Enterprise Platform — Business &amp; User Requirements Document v1.0. Prepared by Muhammad Bilal, FCA, FCCA, CFA. For internal strategy, product development, government procurement evaluation, and immigration petition use.</w:t>
      </w:r>
    </w:p>
    <w:p>
      <w:pPr>
        <w:pBdr>
          <w:bottom w:val="single" w:color="2E75B6" w:sz="6" w:space="1"/>
        </w:pBdr>
        <w:spacing w:after="100" w:before="100"/>
      </w:pPr>
      <w:r>
        <w:rPr>
          <w:rFonts w:ascii="Arial" w:cs="Arial" w:eastAsia="Arial" w:hAnsi="Arial"/>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lvl w:ilvl="1" w15:tentative="1">
      <w:start w:val="1"/>
      <w:numFmt w:val="bullet"/>
      <w:lvlText w:val="○"/>
      <w:lvlJc w:val="left"/>
      <w:pPr>
        <w:spacing w:after="20" w:before="20"/>
        <w:ind w:left="108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lvl w:ilvl="1" w15:tentative="1">
      <w:start w:val="1"/>
      <w:numFmt w:val="decimal"/>
      <w:lvlText w:val="%1.%2."/>
      <w:lvlJc w:val="left"/>
      <w:pPr>
        <w:spacing w:after="20" w:before="2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360"/>
      <w:outlineLvl w:val="0"/>
    </w:pPr>
    <w:rPr>
      <w:rFonts w:ascii="Arial" w:cs="Arial" w:eastAsia="Arial" w:hAnsi="Arial"/>
      <w:b/>
      <w:bCs/>
      <w:color w:val="FFFFFF"/>
      <w:sz w:val="30"/>
      <w:szCs w:val="30"/>
    </w:rPr>
  </w:style>
  <w:style w:type="paragraph" w:styleId="Heading2">
    <w:name w:val="Heading 2"/>
    <w:basedOn w:val="Normal"/>
    <w:next w:val="Normal"/>
    <w:qFormat/>
    <w:pPr>
      <w:spacing w:after="0" w:before="240"/>
      <w:outlineLvl w:val="1"/>
    </w:pPr>
    <w:rPr>
      <w:rFonts w:ascii="Arial" w:cs="Arial" w:eastAsia="Arial" w:hAnsi="Arial"/>
      <w:b/>
      <w:bCs/>
      <w:color w:val="FFFFFF"/>
      <w:sz w:val="24"/>
      <w:szCs w:val="24"/>
    </w:rPr>
  </w:style>
  <w:style w:type="paragraph" w:styleId="Heading3">
    <w:name w:val="Heading 3"/>
    <w:basedOn w:val="Normal"/>
    <w:next w:val="Normal"/>
    <w:qFormat/>
    <w:pPr>
      <w:spacing w:after="60" w:before="18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2026-05-08T11:52:49.059Z</dcterms:created>
  <dcterms:modified xsi:type="dcterms:W3CDTF">2026-05-08T11:52:49.080Z</dcterms:modified>
</cp:coreProperties>
</file>

<file path=docProps/custom.xml><?xml version="1.0" encoding="utf-8"?>
<Properties xmlns="http://schemas.openxmlformats.org/officeDocument/2006/custom-properties" xmlns:vt="http://schemas.openxmlformats.org/officeDocument/2006/docPropsVTypes"/>
</file>