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INTERNAL TECHNICAL DOCUMENT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GovGuard™ Enterprise Platform  |  Version 1.0</w:t>
      </w:r>
    </w:p>
    <w:p>
      <w:pPr>
        <w:pBdr>
          <w:bottom w:val="single" w:color="2E75B6" w:sz="6" w:space="1"/>
        </w:pBdr>
        <w:spacing w:after="100" w:before="100"/>
      </w:pPr>
      <w:r>
        <w:rPr>
          <w:rFonts w:ascii="Arial" w:cs="Arial" w:eastAsia="Arial" w:hAnsi="Arial"/>
        </w:rPr>
        <w:t xml:space="preserve"/>
      </w:r>
    </w:p>
    <w:p>
      <w:pPr>
        <w:spacing w:after="40" w:before="160"/>
        <w:jc w:val="center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SAAS ARCHITECTURE &amp;
TECHNOLOGY STACK DECISION DOCUMENT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Based on: Business &amp; User Requirements Document — Grant Compliance and Fraud Prevention System</w:t>
      </w:r>
    </w:p>
    <w:p>
      <w:pPr>
        <w:pBdr>
          <w:bottom w:val="single" w:color="2E75B6" w:sz="6" w:space="1"/>
        </w:pBdr>
        <w:spacing w:after="100" w:before="100"/>
      </w:pPr>
      <w:r>
        <w:rPr>
          <w:rFonts w:ascii="Arial" w:cs="Arial" w:eastAsia="Arial" w:hAnsi="Arial"/>
        </w:rPr>
        <w:t xml:space="preserve"/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Role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Senior SaaS Solutions Architect / Startup CTO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Input Document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GovGuard™ BRD/URS v1.0 — 22 Functional Requirements, 14 Non-Functional Requirements, 9 Modules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Architecture Principle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MVP-first  |  Monolith-first (no microservices until scale demands it)  |  1–3 engineer team  |  FedRAMP Moderate target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Sections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 Architecture Summary  |  2. Tech Stack Decisions  |  3. System Design  |  4. SaaS Infrastructure  |  5. Data Architecture  |  6. Security  |  7. Scalability  |  8. MVP Cost  |  9. Risks  |  10. Final Decision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pBdr>
          <w:left w:val="single" w:color="C00000" w:sz="36"/>
        </w:pBdr>
        <w:shd w:fill="FDECEA" w:val="clear"/>
        <w:spacing w:after="80" w:before="80"/>
        <w:ind w:left="360" w:right="3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Architecture Constraint: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The BRD identifies FedRAMP Moderate as a hard requirement (NFR-04). This single constraint eliminates Firebase Auth, Google Cloud Platform (GovCloud equivalent available but AWS has deeper FedRAMP precedent), and Vercel as a primary host for sensitive API workloads. Every technology choice below is evaluated against FedRAMP compatibility first.</w:t>
      </w:r>
    </w:p>
    <w:p>
      <w:pPr>
        <w:pageBreakBefore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shd w:fill="1F3864" w:val="clear"/>
        <w:spacing w:after="0" w:before="360"/>
        <w:ind w:left="240" w:right="24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1. ARCHITECTURE SUMMARY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GovGuard™ is a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multi-tenant SaaS monolith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deployed on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AWS GovCloud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, built with a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Next.js 14 frontend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, a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Python FastAPI backend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,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PostgreSQL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as the primary data store,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AWS Cognito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for FedRAMP-compliant authentication, and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Redis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for caching and background job brokering. The architecture deliberately avoids microservices in the MVP phase — the full 9-module BRD is implemented as a single deployable FastAPI application with internal module boundaries, deployed to AWS ECS Fargate containers behind an Application Load Balancer. Multi-tenancy is enforced at the PostgreSQL layer using Row-Level Security (RLS), ensuring tenant data is isolated without application-layer complexity. The frontend communicates exclusively through a versioned REST API (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/api/v1/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); the API layer handles authentication, RBAC enforcement, business logic, and writes to PostgreSQL and S3. A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Celery + Redis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background job layer handles all asynchronous work: ML model inference batches, nightly retraining, scheduled compliance alerts, audit evidence generation, and ERP data sync jobs. OpenSearch is added as a dedicated engine for fuzzy entity matching and duplicate invoice detection — the only component separated from the monolith because full-text fuzzy search at transaction scale cannot be efficiently handled by PostgreSQL alone. The entire stack is infrastructure-as-code (Terraform), CI/CD via GitHub Actions, with environments for dev / staging / production in separate AWS accounts.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p>
      <w:pPr>
        <w:pBdr>
          <w:left w:val="single" w:color="2E75B6" w:sz="36"/>
        </w:pBdr>
        <w:shd w:fill="D6E4F0" w:val="clear"/>
        <w:spacing w:after="80" w:before="80"/>
        <w:ind w:left="360" w:right="3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Design Philosophy: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Build a well-structured monolith that can be split later. Internal Python modules map 1:1 to BRD modules (pre_award, payment_integrity, compliance_engine, etc.). Each module has its own router, service layer, and repository — making future microservice extraction a refactoring exercise, not a rewrite.</w:t>
      </w:r>
    </w:p>
    <w:p>
      <w:pPr>
        <w:pageBreakBefore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shd w:fill="1F3864" w:val="clear"/>
        <w:spacing w:after="0" w:before="360"/>
        <w:ind w:left="240" w:right="24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2. FINAL TECHNOLOGY STACK DECISION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3160"/>
        <w:gridCol w:w="2400"/>
      </w:tblGrid>
      <w:tr>
        <w:trPr>
          <w:tblHeader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</w:t>
            </w:r>
          </w:p>
        </w:tc>
        <w:tc>
          <w:tcPr>
            <w:tcW w:type="dxa" w:w="3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Justification (BRD-driven)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Trade-off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Frontend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Next.js 14
(React)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BRD requires a real-time dashboard (FR-14), role-based views for 5+ distinct user types, a grantee onboarding wizard (FR-17), and offline-capable data entry for Tier 3 grantees. Next.js App Router provides SSR for data-heavy compliance pages, ISR for quasi-static control libraries, and React Server Components to minimise client-side bundle on low-bandwidth tribal networks. Built-in API routes reduce infrastructure for MVP.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SSR adds complexity vs plain React SPA. Acceptable trade-off because compliance dashboards contain sensitive data that must not be cached client-side.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6B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Backend API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562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Python
(FastAPI)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BRD requires AI anomaly detection (FR-06), ML risk scoring (LSTM, isolation forest), duplicate invoice fuzzy matching (FR-07, FR-10), and cross-program entity deduplication. Python is the only production-grade choice for these ML workloads. FastAPI provides async support for high-throughput transaction scoring (5M+ tx/day, NFR-02), auto-generates OpenAPI 3.0 spec (NFR-12), and has pydantic validation matching the strict data requirements in every problem section.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Python is slower than Node.js for pure I/O. Mitigated by async FastAPI + connection pooling. ML model serving at sub-200ms (NFR-14) is achievable with scikit-learn/PyTorch + in-process inference.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Background Jobs
&amp; Queue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55A1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Celery +
Redis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BRD requires nightly ML model retraining within 4-hour window (NFR-14), overnight batch transaction scanning, scheduled vendor risk updates, CAP reminder emails at 30/60/90 days (FR-13), and equity analytics batch runs. Celery on Redis handles all deferred and scheduled work without adding another infrastructure tier.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Redis adds a stateful component. Acceptable since Redis is already needed for caching risk scores and rate-limiting the API gateway.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Database
(Primary)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PostgreSQL
17 (RDS)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BRD requires an immutable audit log (FR-11, NFR-11), strict tenant isolation (NFR-03), complex relational data across grants/vendors/transactions/users, and 7-year data retention. PostgreSQL row-level security (RLS) implements multi-tenant isolation at the DB layer without application-level complexity. JSONB columns support the flexible regulatory ruleset store (control library, FR-02). Logical replication and point-in-time recovery satisfy RPO ≤1 hour (NFR-07).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PostgreSQL at very high write volume needs careful partitioning. Transactions table partitioned by month + tenant_id from day one.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6B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Cache Layer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6B7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Redis
(ElastiCache)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Risk scores, compliance scores, and control library snapshots must be readable in &lt;200ms (NFR-14) for the live dashboard (FR-14). Redis caches computed risk scores with configurable TTL; also serves as Celery broker and session store.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Adds operational complexity but essential for dashboard latency targets. Managed ElastiCache eliminates ops burden for small team.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Object Storage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474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AWS S3
(+ Glacier)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BRD requires continuous evidence capture (FR-12), audit-ready document packages, uploaded vendor invoices, ERP CSV flat-file ingestion (FR-20), and 7-year retention (FR-11). S3 + Glacier lifecycle policy handles hot/cold tiering automatically. S3 signed URLs enable secure, time-limited auditor document access without routing files through the API.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None significant for MVP. S3 is the de-facto standard.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Cloud Provider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AWS
(GovCloud)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BRD explicitly targets FedRAMP Moderate (NFR-04). AWS GovCloud is the only cloud region pre-authorized for FedRAMP High and Moderate workloads housing CUI/federal data. Managed services needed — RDS Aurora, ElastiCache, ECS Fargate, Cognito, WAF — are all GovCloud-available. AWS also provides direct Treasury DNP and SAM.gov API connectivity guidance for government SaaS.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GovCloud costs ~15% more than standard regions. Unavoidable given FedRAMP target.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Authentication
&amp; Identity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AWS Cognito
(+ PIV/CAC)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BRD requires FedRAMP-compliant auth (NFR-04), MFA for 100% of users (NFR-05), PIV/CAC support for federal agency users, role-based access control, and SCIM user provisioning (mentioned in architecture principles). AWS Cognito is FedRAMP Moderate authorized, supports SAML 2.0 federation (for agency SSO/PIV), OIDC, MFA, and SCIM. Auth0 is not FedRAMP authorized — eliminated. Firebase Auth is not FedRAMP authorized — eliminated.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Cognito's advanced customisation requires Lambda triggers. Acceptable complexity for a team of 1–3 since Cognito eliminates building auth from scratch.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Search &amp;
Fuzzy Match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55A1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OpenSearch
(AWS Managed)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BRD requires duplicate invoice detection using fuzzy matching (FR-07), entity deduplication across name/address/EIN variations (FR-08, FR-09), and vendor relationship graph queries. PostgreSQL full-text search is insufficient for fuzzy-match at 5M+ transaction scale. OpenSearch provides BM25 + phonetic/Levenshtein plugins for entity matching with sub-100ms query latency.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Adds infrastructure cost (~$150/mo managed). Required from Phase 1 — entity deduplication is a core MVP feature (FR-08).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6B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 Gateway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6B7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AWS API
Gateway + WAF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BRD requires rate limiting, DDoS protection, authentication enforcement, and documented REST API (NFR-12). AWS API Gateway + WAF provides managed OWASP rule sets, rate throttling per tenant, and integrates directly with Cognito authorizers. Also enables future webhook endpoints for ERP connectors.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Adds per-call cost ($3.50/million). At MVP scale, negligible.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p>
      <w:pPr>
        <w:pBdr>
          <w:left w:val="single" w:color="C55A11" w:sz="36"/>
        </w:pBdr>
        <w:shd w:fill="FCE4D6" w:val="clear"/>
        <w:spacing w:after="80" w:before="80"/>
        <w:ind w:left="360" w:right="3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Notable Eliminations: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(1) Firebase Auth — not FedRAMP authorized. (2) Google Cloud Platform — eliminated in favour of AWS GovCloud's deeper federal procurement track record. (3) GraphQL — eliminated in favour of REST; the BRD's data model is relational and well-understood; GraphQL adds schema complexity without benefit for a 1–3 engineer team. (4) Node.js backend — eliminated because the BRD requires ML inference (LSTM, isolation forest) that cannot be efficiently served from Node.js without spawning Python subprocesses anyway.</w:t>
      </w:r>
    </w:p>
    <w:p>
      <w:pPr>
        <w:pageBreakBefore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shd w:fill="1F3864" w:val="clear"/>
        <w:spacing w:after="0" w:before="360"/>
        <w:ind w:left="240" w:right="24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3. SYSTEM ARCHITECTURE DESIGN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1F3864" w:sz="4" w:space="2"/>
        </w:pBdr>
        <w:spacing w:after="4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3.1  Frontend → Backend → Database Flow</w:t>
      </w:r>
    </w:p>
    <w:p>
      <w:pPr>
        <w:spacing w:after="0" w:before="40"/>
      </w:pPr>
      <w:r>
        <w:rPr>
          <w:rFonts w:ascii="Arial" w:cs="Arial" w:eastAsia="Arial" w:hAnsi="Arial"/>
        </w:rPr>
        <w:t xml:space="preserve"/>
      </w:r>
    </w:p>
    <w:p>
      <w:pPr>
        <w:pBdr>
          <w:top w:val="single" w:color="CCCCCC" w:sz="2"/>
          <w:bottom w:val="single" w:color="CCCCCC" w:sz="2"/>
          <w:left w:val="single" w:color="1F6B75" w:sz="16"/>
          <w:right w:val="single" w:color="CCCCCC" w:sz="2"/>
        </w:pBdr>
        <w:shd w:fill="F8F9FA" w:val="clear"/>
        <w:spacing w:after="60" w:before="60"/>
        <w:ind w:left="360" w:right="240"/>
      </w:pPr>
      <w:r>
        <w:rPr>
          <w:rFonts w:ascii="Consolas" w:cs="Consolas" w:eastAsia="Consolas" w:hAnsi="Consolas"/>
          <w:color w:val="1A237E"/>
          <w:sz w:val="17"/>
          <w:szCs w:val="17"/>
        </w:rPr>
        <w:t xml:space="preserve">Browser / Mobile (Next.js 14)
        │  HTTPS  JWT in Authorization header
        ▼
AWS API Gateway  ──→  AWS WAF (OWASP rules, rate limit per tenant)
        │
        ▼
Application Load Balancer  (SSL termination, sticky sessions off)
        │
        ▼
ECS Fargate  →  FastAPI app  (Python 3.12, uvicorn workers)
        │              │
        │         ┌────┴─────────────┐
        │         │                  │
        │    PostgreSQL 17        ElastiCache Redis
        │    (RDS, RLS enabled)   (cache + Celery broker)
        │         │
        │    OpenSearch           S3 (evidence + flat files)
        │    (entity matching)
        │
   Celery Workers  ──→  ML jobs, alerts, ERP sync, report gen</w:t>
      </w:r>
    </w:p>
    <w:p>
      <w:pPr>
        <w:spacing w:after="0" w:before="4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1F3864" w:sz="4" w:space="2"/>
        </w:pBdr>
        <w:spacing w:after="4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3.2  API Structure — REST with versioned namespacing</w:t>
      </w:r>
    </w:p>
    <w:p>
      <w:pPr>
        <w:spacing w:after="0" w:before="40"/>
      </w:pPr>
      <w:r>
        <w:rPr>
          <w:rFonts w:ascii="Arial" w:cs="Arial" w:eastAsia="Arial" w:hAnsi="Arial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REST is chosen over GraphQL for four reasons: (1) the BRD's data model is tabular and relational — no deeply nested graph queries needed; (2) REST integrates trivially with SAM.gov/DNP government APIs which are all REST; (3) OpenAPI 3.0 auto-generation from FastAPI satisfies NFR-12 without extra tooling; (4) a 1–3 person team can maintain REST without a schema registry.</w:t>
      </w:r>
    </w:p>
    <w:p>
      <w:pPr>
        <w:spacing w:after="0" w:before="40"/>
      </w:pPr>
      <w:r>
        <w:rPr>
          <w:rFonts w:ascii="Arial" w:cs="Arial" w:eastAsia="Arial" w:hAnsi="Arial"/>
        </w:rPr>
        <w:t xml:space="preserve"/>
      </w:r>
    </w:p>
    <w:p>
      <w:pPr>
        <w:pBdr>
          <w:top w:val="single" w:color="CCCCCC" w:sz="2"/>
          <w:bottom w:val="single" w:color="CCCCCC" w:sz="2"/>
          <w:left w:val="single" w:color="1F6B75" w:sz="16"/>
          <w:right w:val="single" w:color="CCCCCC" w:sz="2"/>
        </w:pBdr>
        <w:shd w:fill="F8F9FA" w:val="clear"/>
        <w:spacing w:after="60" w:before="60"/>
        <w:ind w:left="360" w:right="240"/>
      </w:pPr>
      <w:r>
        <w:rPr>
          <w:rFonts w:ascii="Consolas" w:cs="Consolas" w:eastAsia="Consolas" w:hAnsi="Consolas"/>
          <w:color w:val="1A237E"/>
          <w:sz w:val="17"/>
          <w:szCs w:val="17"/>
        </w:rPr>
        <w:t xml:space="preserve">API Namespace Structure — /api/v1/
/auth/           → Cognito token exchange, refresh, MFA setup
/tenants/        → Tenant management (admin only)
/users/          → User CRUD, role assignment
/grants/         → Grant CRUD, budget loading, period management
/transactions/   → Transaction ingestion, risk score retrieval
/compliance/     → Control library, checklist runner, SoD checks
/fraud/          → Pre-award screening, duplicate detection, vendor graph
/audit/          → Evidence hub, SEFA generator, CAP management
/dashboard/      → KPI aggregations, heatmap data, alert queue
/equity/         → Disaggregated analytics, barrier scorecard
/notifications/  → Notification preferences, delivery status
/integrations/   → ERP connector config, flat-file upload, webhook mgmt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1F3864" w:sz="4" w:space="2"/>
        </w:pBdr>
        <w:spacing w:after="4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3.3  Module Internal Structure (per BRD module)</w:t>
      </w:r>
    </w:p>
    <w:p>
      <w:pPr>
        <w:spacing w:after="0" w:before="40"/>
      </w:pPr>
      <w:r>
        <w:rPr>
          <w:rFonts w:ascii="Arial" w:cs="Arial" w:eastAsia="Arial" w:hAnsi="Arial"/>
        </w:rPr>
        <w:t xml:space="preserve"/>
      </w:r>
    </w:p>
    <w:p>
      <w:pPr>
        <w:pBdr>
          <w:top w:val="single" w:color="CCCCCC" w:sz="2"/>
          <w:bottom w:val="single" w:color="CCCCCC" w:sz="2"/>
          <w:left w:val="single" w:color="1F6B75" w:sz="16"/>
          <w:right w:val="single" w:color="CCCCCC" w:sz="2"/>
        </w:pBdr>
        <w:shd w:fill="F8F9FA" w:val="clear"/>
        <w:spacing w:after="60" w:before="60"/>
        <w:ind w:left="360" w:right="240"/>
      </w:pPr>
      <w:r>
        <w:rPr>
          <w:rFonts w:ascii="Consolas" w:cs="Consolas" w:eastAsia="Consolas" w:hAnsi="Consolas"/>
          <w:color w:val="1A237E"/>
          <w:sz w:val="17"/>
          <w:szCs w:val="17"/>
        </w:rPr>
        <w:t xml:space="preserve">backend/
├── main.py                      # FastAPI app factory, middleware
├── core/
│   ├── auth.py                  # Cognito JWT validation, RBAC
│   ├── tenant.py                # RLS session variable injection
│   └── db.py                    # SQLAlchemy async engine + session
├── modules/
│   ├── pre_award/               # FR-08: entity dedup, DNP, budget score
│   ├── payment_integrity/       # FR-06,07,10: AI scoring, dup detection
│   ├── compliance_engine/       # FR-01–05: 2 CFR 200 checklist runner
│   ├── transaction_monitor/     # FR-09: vendor graph, spend patterns
│   ├── audit_hub/               # FR-11–13: evidence, SEFA, CAP
│   ├── dashboard/               # FR-14: KPI aggregation (reads Redis)
│   ├── erp_integration/         # FR-19–22: connectors, flat-file ETL
│   ├── equity_analytics/        # FR: geo analytics, M-21-19 metrics
│   └── notifications/           # Email/SMS/push dispatch
├── ml/
│   ├── risk_scorer.py           # Isolation forest + LSTM inference
│   ├── entity_matcher.py        # OpenSearch fuzzy match wrapper
│   ├── model_training/          # Celery tasks for nightly retraining
│   └── explainability.py        # SHAP feature attribution (NFR-11)
└── workers/
    └── celery_app.py            # Task definitions, schedules</w:t>
      </w:r>
    </w:p>
    <w:p>
      <w:pPr>
        <w:pageBreakBefore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shd w:fill="1F3864" w:val="clear"/>
        <w:spacing w:after="0" w:before="360"/>
        <w:ind w:left="240" w:right="24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4. ESSENTIAL SAAS INFRASTRUCTURE COMPONENTS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1F3864" w:sz="4" w:space="2"/>
        </w:pBdr>
        <w:spacing w:after="4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4.1  Multi-Tenancy Model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Schema: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Single shared schema with PostgreSQL Row-Level Security.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Every table includes a </w:t>
      </w:r>
      <w:r>
        <w:rPr>
          <w:rFonts w:ascii="Consolas" w:cs="Consolas" w:eastAsia="Consolas" w:hAnsi="Consolas"/>
          <w:color w:val="1F6B75"/>
          <w:sz w:val="18"/>
          <w:szCs w:val="18"/>
        </w:rPr>
        <w:t xml:space="preserve">tenant_id UUID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column. A Postgres session variable (</w:t>
      </w:r>
      <w:r>
        <w:rPr>
          <w:rFonts w:ascii="Consolas" w:cs="Consolas" w:eastAsia="Consolas" w:hAnsi="Consolas"/>
          <w:color w:val="1F6B75"/>
          <w:sz w:val="18"/>
          <w:szCs w:val="18"/>
        </w:rPr>
        <w:t xml:space="preserve">app.current_tenant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) is set at connection time by FastAPI middleware; RLS policies filter every query automatically. This is the simplest tenant model for a 1–3 person team — no schema-per-tenant management overhead, no cross-schema migrations. Tier 1 enterprise tenants can optionally receive a dedicated RDS instance (logical isolation → physical isolation) at Phase 3 for FedRAMP boundary segregation.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1F3864" w:sz="4" w:space="2"/>
        </w:pBdr>
        <w:spacing w:after="4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4.2  API Gateway Layer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AWS API Gateway (HTTP API):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Routes all external traffic to ALB. Enforces Cognito JWT authorizer — unauthenticated requests never reach FastAPI.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AWS WAF: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OWASP Core Rule Set (CRS); rate limiting at 1,000 req/min per tenant_id claim; SQL injection and XSS rules; geo-blocking for non-US traffic (FedRAMP scope).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ALB: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Internal routing to ECS tasks; health checks; TLS termination with ACM certificate.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1F3864" w:sz="4" w:space="2"/>
        </w:pBdr>
        <w:spacing w:after="4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4.3  CI/CD Pipeline</w:t>
      </w:r>
    </w:p>
    <w:p>
      <w:pPr>
        <w:pBdr>
          <w:top w:val="single" w:color="CCCCCC" w:sz="2"/>
          <w:bottom w:val="single" w:color="CCCCCC" w:sz="2"/>
          <w:left w:val="single" w:color="1F6B75" w:sz="16"/>
          <w:right w:val="single" w:color="CCCCCC" w:sz="2"/>
        </w:pBdr>
        <w:shd w:fill="F8F9FA" w:val="clear"/>
        <w:spacing w:after="60" w:before="60"/>
        <w:ind w:left="360" w:right="240"/>
      </w:pPr>
      <w:r>
        <w:rPr>
          <w:rFonts w:ascii="Consolas" w:cs="Consolas" w:eastAsia="Consolas" w:hAnsi="Consolas"/>
          <w:color w:val="1A237E"/>
          <w:sz w:val="17"/>
          <w:szCs w:val="17"/>
        </w:rPr>
        <w:t xml:space="preserve">GitHub → Push to main / PR merge
        │
        ▼
GitHub Actions:
  1. pytest (unit + integration, PostgreSQL testcontainer)
  2. ruff + mypy (linting, type checking)
  3. next build + next lint (frontend)
  4. docker build → push to ECR (backend)
  5. terraform plan (infrastructure diff)
  6. terraform apply (auto on main, manual approval on prod)
  7. ECS rolling deploy (zero-downtime, 50% min healthy)
  8. Smoke test suite (10 critical endpoint checks)
  9. Datadog deploy marker (Phase 2+)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1F3864" w:sz="4" w:space="2"/>
        </w:pBdr>
        <w:spacing w:after="4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4.4  Hosting &amp; Deployment Strategy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Backend: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AWS ECS Fargate (serverless containers). No EC2 management. Auto-scaling based on CPU/memory. Fargate Spot for Celery workers (70% cost reduction, acceptable for non-critical batch jobs).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Frontend: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Vercel (Phase 1 MVP) for instant deploys and preview URLs per PR. Migrate to AWS Amplify or self-hosted Next.js on Fargate at Phase 2 when FedRAMP boundary requires all components in GovCloud.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Database: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RDS PostgreSQL in private subnet. Multi-AZ from Phase 2. Read replica for dashboard aggregation queries.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Environments: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Three AWS accounts (dev / staging / prod) managed via AWS Organizations. Terraform workspaces per environment. Production is GovCloud from day one.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1F3864" w:sz="4" w:space="2"/>
        </w:pBdr>
        <w:spacing w:after="4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4.5  Billing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Engine: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Stripe Billing (metered + subscription). Three pricing tiers map directly to BRD Tier 1/2/3 grantee model.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Tier 1 / Tier 2: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Stripe subscription (monthly/annual) with metered overages on transaction volume above plan limit.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Tier 3 (open-access):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Free plan in Stripe with usage tracking; enables future TA-funded conversion to paid. Customer portal for self-service plan management.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Integration: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Stripe webhook → FastAPI </w:t>
      </w:r>
      <w:r>
        <w:rPr>
          <w:rFonts w:ascii="Consolas" w:cs="Consolas" w:eastAsia="Consolas" w:hAnsi="Consolas"/>
          <w:color w:val="1F6B75"/>
          <w:sz w:val="18"/>
          <w:szCs w:val="18"/>
        </w:rPr>
        <w:t xml:space="preserve">/webhooks/stripe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endpoint updates tenant plan in DB; Celery task enables/disables module access based on plan.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1F3864" w:sz="4" w:space="2"/>
        </w:pBdr>
        <w:spacing w:after="4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4.6  Logging &amp; Monitoring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Application Logs: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Structured JSON logging (Python structlog) → CloudWatch Logs → Log Insights for ad-hoc queries.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Metrics: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CloudWatch custom metrics for: risk score distribution, flag rate per tenant, API latency p50/p95/p99, Celery queue depth, ML model accuracy drift.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Tracing: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AWS X-Ray for request tracing across API Gateway → FastAPI → RDS. Identifies slow queries without a separate APM tool at MVP.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Alerting: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CloudWatch Alarms → SNS → PagerDuty (on-call rotation). Alerts on: 5xx error rate &gt;1%, API latency p99 &gt;2s, Celery queue depth &gt;1,000, RDS CPU &gt;80%.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Phase 2: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Migrate to Datadog for unified APM + logs + metrics with FedRAMP-authorized Datadog GovCloud instance.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1F3864" w:sz="4" w:space="2"/>
        </w:pBdr>
        <w:spacing w:after="4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4.7  File Storage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S3 Buckets (separate per purpose): </w:t>
      </w:r>
    </w:p>
    <w:p>govguard-evidence-prod: audit evidence, control test documentation. SSE-KMS. Versioning ON. MFA Delete enabled.</w:p>
    <w:p>govguard-uploads-prod: ERP flat-file ingestion, vendor invoice PDFs. 30-day lifecycle to Glacier after processing.</w:p>
    <w:p>govguard-exports-prod: generated report packages, SEFA PDFs. Pre-signed URL delivery (15-min expiry). No public access.</w:p>
    <w:p>govguard-ml-prod: model artefacts, training datasets (anonymized). Versioned. Access restricted to Celery task role.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1F3864" w:sz="4" w:space="2"/>
        </w:pBdr>
        <w:spacing w:after="4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4.8  Notification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Email: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AWS SES (FedRAMP authorized) for all transactional email. Templates stored in S3. Delivery status tracked in notifications table.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SMS: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AWS SNS for MFA OTP and critical fraud alerts to program officers. Carrier-agnostic.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In-App Push: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WebSocket connection (via AWS API Gateway WebSocket API) for real-time dashboard alert delivery. Falls back to polling every 60s if WebSocket unavailable (offline/low-bandwidth mode).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Templates: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30/60/90-day CAP reminder (FR-13), fraud flag notification, compliance score drop alert, audit deadline warning, SoD violation notification.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1F3864" w:sz="4" w:space="2"/>
        </w:pBdr>
        <w:spacing w:after="4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4.9  Role-Based Access Control (RBAC)</w:t>
      </w:r>
    </w:p>
    <w:p>
      <w:pPr>
        <w:spacing w:after="0" w:before="4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6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Permissions</w:t>
            </w:r>
          </w:p>
        </w:tc>
        <w:tc>
          <w:tcPr>
            <w:tcW w:type="dxa" w:w="2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BRD Requirement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System Admin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Platform-wide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 tenants; billing; user management; control library updates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Admin of control library (FR-02)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Agency Program Officer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 grantees in their program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View all grantee dashboards; trigger monitoring visits; export reports; read-only on transactions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FR-14 risk leaderboard; FR-04 subrecipient monitoring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6B7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Compliance Officer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Own tenant only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Full compliance module; write CAPs; manage subrecipients; view all transactions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FR-03 SEFA; FR-05 procurement; FR-15 case management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55A1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Finance Manager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Own tenant only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 transactions; approve payments (up to SoD limit); view risk scores; cannot override fraud holds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FR-16 SoD enforcement; FR-06 risk scores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Finance Staff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Own tenant only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Enter transactions; upload invoices; view own task queue; cannot approve or post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FR-16 SoD; FR-20 flat-file upload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474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Auditor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Own tenant — read-only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Full read access to all evidence, audit logs, control results; generate evidence packages; cannot modify any record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FR-12 evidence packages; FR-11 audit log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562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Equity Analyst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Platform-wide — aggregated only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Equity dashboard only; no PII; no individual tenant detail; export equity reports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Equity module; OMB M-21-19</w:t>
            </w:r>
          </w:p>
        </w:tc>
      </w:tr>
    </w:tbl>
    <w:p>
      <w:pPr>
        <w:pageBreakBefore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shd w:fill="1F3864" w:val="clear"/>
        <w:spacing w:after="0" w:before="360"/>
        <w:ind w:left="240" w:right="24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5. DATA ARCHITECTURE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data model reflects the BRD's three-dimensional complexity: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regulatory rules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(control library, CFR clauses),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financial records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(grants, transactions, vendors), and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compliance state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(control results, audit findings, risk scores). All tables carry </w:t>
      </w:r>
      <w:r>
        <w:rPr>
          <w:rFonts w:ascii="Consolas" w:cs="Consolas" w:eastAsia="Consolas" w:hAnsi="Consolas"/>
          <w:color w:val="1F6B75"/>
          <w:sz w:val="18"/>
          <w:szCs w:val="18"/>
        </w:rPr>
        <w:t xml:space="preserve">tenant_id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and are protected by RLS. The audit_events table is the only exception — it has no FK constraints to prevent deletion of referenced records from cascading to the audit log.</w:t>
      </w:r>
    </w:p>
    <w:p>
      <w:pPr>
        <w:spacing w:after="0" w:before="4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360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Entity / Table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Columns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Relationships</w:t>
            </w:r>
          </w:p>
        </w:tc>
        <w:tc>
          <w:tcPr>
            <w:tcW w:type="dxa" w:w="2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Security Note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tenants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id, name, tier (1/2/3), plan, fedramp_scope, created_at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Root of all RLS policies; every table foreign-keyed to tenant_id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RLS policy enforced at DB layer; tenant_id never returned in API responses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users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id, tenant_id, cognito_sub, role, mfa_enabled, last_login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belongs_to tenant; many-to-many roles via user_roles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PII encrypted at rest; role checked at API + DB layer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grants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id, tenant_id, award_number, agency, period_start, period_end, budget_json, status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has_many transactions, compliance_checks, audit_findings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budget_json stores approved cost categories; immutable after award execution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transactions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id, tenant_id, grant_id, vendor_id, amount, invoice_ref, tx_date, risk_score, flag_status, created_at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belongs_to grant, vendor; has_one risk_score_log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Partitioned by month+tenant; append-only; update restricted to flag_status only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vendors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id, tenant_id, ein, name, address_hash, bank_ref_hash, sam_status, risk_tier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has_many transactions; many-to-many entity_links (graph)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PII fields (address, bank) stored as SHA-256 hash for matching without exposing raw data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risk_score_logs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id, transaction_id, model_version, score, feature_weights_json, created_at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belongs_to transaction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Immutable; satisfies NFR-11 explainability requirement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compliance_controls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id, tenant_id, grant_id, control_code, cfr_clause, status, last_tested, evidence_s3_key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belongs_to grant; references control_library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evidence_s3_key points to encrypted S3 object; pre-signed URL generated on demand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control_library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id, code, title, cfr_clause, gao_principle, description, version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Global (no tenant_id); versioned; read-only to tenants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Admin-only write; cache in Redis with 1h TTL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audit_events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id, tenant_id, user_id, action, resource_type, resource_id, old_value_hash, new_value_hash, ip, ts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append-only; no FK constraints (immutable log)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Write-once enforced via DB trigger; never updated or deleted; 7yr retention via S3 archive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subrecipients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id, tenant_id, grant_id, org_name, ein, risk_tier, monitoring_due_date, finding_count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belongs_to grant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Monitoring schedule auto-generated; overdue items trigger Celery task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id, tenant_id, user_id, channel, template_id, payload_json, sent_at, status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belongs_to user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PII in payload_json; template_id references static template store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1F3864" w:sz="4" w:space="2"/>
        </w:pBdr>
        <w:spacing w:after="4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5.1  Partitioning Strategy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transactions: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Declarative range partitioning on </w:t>
      </w:r>
      <w:r>
        <w:rPr>
          <w:rFonts w:ascii="Consolas" w:cs="Consolas" w:eastAsia="Consolas" w:hAnsi="Consolas"/>
          <w:color w:val="1F6B75"/>
          <w:sz w:val="18"/>
          <w:szCs w:val="18"/>
        </w:rPr>
        <w:t xml:space="preserve">(tenant_id, tx_date)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by month. Automated via pg_partman. Query planner prunes irrelevant partitions for date-range scans.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audit_events: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Partitioned by month; old partitions archived to S3 via pg_dump + Glacier at 13-month mark. Query via Athena for historical audit access without touching live DB.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compliance_controls: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Partitioned by </w:t>
      </w:r>
      <w:r>
        <w:rPr>
          <w:rFonts w:ascii="Consolas" w:cs="Consolas" w:eastAsia="Consolas" w:hAnsi="Consolas"/>
          <w:color w:val="1F6B75"/>
          <w:sz w:val="18"/>
          <w:szCs w:val="18"/>
        </w:rPr>
        <w:t xml:space="preserve">tenant_id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hash (32 partitions). Prevents hot-spot on large tenants with thousands of active controls.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1F3864" w:sz="4" w:space="2"/>
        </w:pBdr>
        <w:spacing w:after="4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5.2  Data Security Controls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Column-level encryption: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vendor bank_ref, EIN stored as HMAC-SHA256 hashes. Raw values never in DB. S3-based encrypted evidence store holds originals.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Backup: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RDS automated snapshots daily (7-day retention). Weekly manual snapshot exported to S3 + cross-region copy for DR.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Data Masking: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Non-production environments use anonymised synthetic data generated by Faker + Mimesis. No production PII ever in dev/staging.</w:t>
      </w:r>
    </w:p>
    <w:p>
      <w:pPr>
        <w:pageBreakBefore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shd w:fill="1F3864" w:val="clear"/>
        <w:spacing w:after="0" w:before="360"/>
        <w:ind w:left="240" w:right="24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6. SECURITY &amp; COMPLIANCE ARCHITECTURE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160"/>
        <w:gridCol w:w="3800"/>
      </w:tblGrid>
      <w:tr>
        <w:trPr>
          <w:tblHeader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Security Domain</w:t>
            </w:r>
          </w:p>
        </w:tc>
        <w:tc>
          <w:tcPr>
            <w:tcW w:type="dxa" w:w="3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Mechanism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BRD Requirement Addressed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Identity &amp; Authentication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AWS Cognito User Pools + SAML 2.0 federation for agency PIV/CAC; MFA enforced for all users via Cognito MFA policy; JWT (RS256) access tokens with 15-min expiry; refresh token rotation on every use.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NFR-04 FedRAMP; NFR-05 MFA 100%; agency SSO requirement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Authorisation (RBAC)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Seven roles: System Admin, Agency Program Officer, Compliance Officer, Grantee Finance Manager, Grantee Staff, Auditor (read-only), Equity Analyst. Enforced at three layers: API Gateway (Cognito authorizer) → FastAPI middleware (role check) → PostgreSQL RLS (tenant_id + role). No layer can be bypassed independently.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NFR-05 RBAC; SoD enforcement (FR-16)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Data Encryption at Rest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AWS RDS encryption (AES-256 via KMS); S3 SSE-KMS per-object encryption; ElastiCache in-transit encryption + auth token; KMS CMK per tenant for Tier 1 enterprise grantees.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NFR-06 AES-256; FedRAMP Moderate baseline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Data Encryption in Transit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TLS 1.3 enforced at API Gateway, ALB, and RDS; HSTS header with 1-year max-age; certificate managed by ACM; ERP connector webhooks require mutual TLS (mTLS).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NFR-06 TLS 1.3 minimum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Multi-Tenant Isolation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PostgreSQL RLS: every query automatically filtered by tenant_id via session variable; verified by automated integration test suite on every deploy; OpenSearch index-per-tenant to prevent cross-tenant search bleed.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NFR-03 zero cross-tenant leakage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Audit &amp; Immutability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append-only audit_events table with DB-level INSERT-only trigger; events streamed to S3 via Kinesis Firehose for 7-year retention; CloudTrail enabled for all AWS API calls; no UPDATE/DELETE privilege granted on audit table.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FR-11 immutable audit log; 7-year retention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Network Security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VPC with public/private subnet split: API Gateway → ALB (public); FastAPI ECS tasks in private subnet; RDS/Redis/OpenSearch in isolated subnet with no internet route; WAF with OWASP Core Rule Set + rate-limiting (1,000 req/min per tenant).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NFR-04 FISMA; DDoS protection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Secrets Management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AWS Secrets Manager for DB credentials, API keys (SAM.gov, Treasury DNP), Stripe; automatic rotation every 30 days; no secrets in environment variables or code.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NFR-04 FedRAMP Moderate SC-28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PII Handling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PII fields (vendor address, bank ref) stored as hashed values; raw PII retained only in encrypted S3 evidence store with pre-signed URL access; Privacy Impact Assessment (PIA) document required before production launch.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NFR-09 Privacy Act compliance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Compliance Certifications (Roadmap)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SOC 2 Type II: target Month 12. FedRAMP Moderate ATO: target Month 24 (3PAO assessment). Annual penetration test from Month 6. NIST SP 800-53 Rev 5 control mapping document maintained as living artifact.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NFR-04; NFR-07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1F3864" w:sz="4" w:space="2"/>
        </w:pBdr>
        <w:spacing w:after="4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6.1  Authentication Flow</w:t>
      </w:r>
    </w:p>
    <w:p>
      <w:pPr>
        <w:pBdr>
          <w:top w:val="single" w:color="CCCCCC" w:sz="2"/>
          <w:bottom w:val="single" w:color="CCCCCC" w:sz="2"/>
          <w:left w:val="single" w:color="1F6B75" w:sz="16"/>
          <w:right w:val="single" w:color="CCCCCC" w:sz="2"/>
        </w:pBdr>
        <w:shd w:fill="F8F9FA" w:val="clear"/>
        <w:spacing w:after="60" w:before="60"/>
        <w:ind w:left="360" w:right="240"/>
      </w:pPr>
      <w:r>
        <w:rPr>
          <w:rFonts w:ascii="Consolas" w:cs="Consolas" w:eastAsia="Consolas" w:hAnsi="Consolas"/>
          <w:color w:val="1A237E"/>
          <w:sz w:val="17"/>
          <w:szCs w:val="17"/>
        </w:rPr>
        <w:t xml:space="preserve">User → Next.js login page
        │
        ▼
AWS Cognito Hosted UI (or custom UI with Amplify Auth SDK)
  ├── Standard: email + password + TOTP MFA
  └── Federal Agency: SAML 2.0 → Agency IdP (PIV/CAC)
        │
        ▼
Cognito issues:  access_token (JWT, 15 min)
                 id_token     (JWT, 15 min)
                 refresh_token (rotating, 30 days)
        │
        ▼
Next.js stores tokens in HttpOnly cookies (not localStorage)
        │
        ▼
All API calls:  Authorization: Bearer &lt;access_token&gt;
        │
        ▼
API Gateway Cognito Authorizer validates JWT signature + expiry
        │
        ▼
FastAPI middleware extracts tenant_id from JWT custom claim
  → Sets PostgreSQL session variable  SET app.current_tenant = '&lt;uuid&gt;'
  → RLS policies filter all queries automatically</w:t>
      </w:r>
    </w:p>
    <w:p>
      <w:pPr>
        <w:pageBreakBefore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shd w:fill="1F3864" w:val="clear"/>
        <w:spacing w:after="0" w:before="360"/>
        <w:ind w:left="240" w:right="24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7. SCALABILITY DESIGN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1F3864" w:sz="4" w:space="2"/>
        </w:pBdr>
        <w:spacing w:after="4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7.1  MVP → Growth Scaling Path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2000"/>
        <w:gridCol w:w="2000"/>
        <w:gridCol w:w="1960"/>
      </w:tblGrid>
      <w:tr>
        <w:trPr>
          <w:tblHeader/>
        </w:trP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MVP (0–50 tenants)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2 (50–500 tenants)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3 (500–5,000 tenants)</w:t>
            </w:r>
          </w:p>
        </w:tc>
        <w:tc>
          <w:tcPr>
            <w:tcW w:type="dxa" w:w="1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Scaling Mechanism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API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 ECS tasks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4–8 tasks (auto-scale)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10–20 tasks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ECS target tracking on CPU 60%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Database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db.t4g.medium single-AZ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db.r6g.large Multi-AZ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Aurora PostgreSQL Serverless v2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Aurora auto-scaling storage + read replicas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Cache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cache.t4g.small 1 node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cache.r6g.large cluster mode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Cluster mode 3 shards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Redis Cluster auto-sharding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ML Inference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In-process (FastAPI)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Dedicated ECS service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SageMaker real-time endpoint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SageMaker autoscaling; model A/B testing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Search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OpenSearch t3.small 1 node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r6g.large 2 nodes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r6g.xlarge 3 nodes + replicas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OpenSearch managed scaling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Multi-tenancy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Shared DB, RLS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Shared DB, RLS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Tier 1: dedicated RDS option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Dedicated instance per premium tenant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1F3864" w:sz="4" w:space="2"/>
        </w:pBdr>
        <w:spacing w:after="4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7.2  Stateless vs Stateful Components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Stateless (horizontally scalable):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FastAPI ECS tasks, Celery workers, Next.js frontend (Vercel). Any instance can handle any request. No session state in application memory — sessions stored in Cognito + Redis.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Stateful (vertical scale + HA):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PostgreSQL RDS (primary bottleneck), ElastiCache Redis, OpenSearch. These scale vertically first, then via read replicas and cluster mode.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Key Bottleneck — Transactions Table: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At 5M tx/day, the transactions table is the primary write bottleneck. Mitigation: monthly partitioning + async writes via Celery (non-blocking for UX) + eventual consistency for risk score display.</w:t>
      </w:r>
    </w:p>
    <w:p>
      <w:pPr>
        <w:pageBreakBefore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shd w:fill="1F3864" w:val="clear"/>
        <w:spacing w:after="0" w:before="360"/>
        <w:ind w:left="240" w:right="24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8. COST-EFFICIENT MVP DEPLOYMENT STRATEGY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1F3864" w:sz="4" w:space="2"/>
        </w:pBdr>
        <w:spacing w:after="4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8.1  MVP Scope Constraint</w:t>
      </w:r>
    </w:p>
    <w:p>
      <w:pPr>
        <w:pBdr>
          <w:left w:val="single" w:color="375623" w:sz="36"/>
        </w:pBdr>
        <w:shd w:fill="E2EFDA" w:val="clear"/>
        <w:spacing w:after="80" w:before="80"/>
        <w:ind w:left="360" w:right="3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MVP includes 3 of 9 modules only: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(1) Compliance Engine (FR-01–05), (2) ERP Integration Hub + CSV upload (FR-19–20), (3) Basic Real-Time Dashboard (FR-14). This is the minimum viable product that delivers immediate value to a pilot grantee and validates the core architecture before investing in ML infrastructure.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400"/>
        <w:gridCol w:w="2560"/>
      </w:tblGrid>
      <w:tr>
        <w:trPr>
          <w:tblHeader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MVP Spec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 Monthly Cost</w:t>
            </w:r>
          </w:p>
        </w:tc>
        <w:tc>
          <w:tcPr>
            <w:tcW w:type="dxa" w:w="2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ECS Fargate (API)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 tasks × 0.5 vCPU / 1GB RAM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~$35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Scale to 4 tasks at Phase 2; Fargate Spot for batch tasks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RDS PostgreSQL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db.t4g.medium, 100GB gp3, Multi-AZ off (MVP)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~$60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Enable Multi-AZ at Phase 2 (~$120/mo)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ElastiCache Redis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cache.t4g.small, 1 node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~$25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Cluster mode not needed until 500+ tenants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OpenSearch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t3.small.search, 1 node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~$50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Single-node sufficient for MVP entity matching at &lt;50 tenants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S3 + Glacier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500GB hot / 2TB archive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~$20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Lifecycle policy moves docs &gt;90 days to Glacier Instant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API Gateway + WAF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~1M req/mo (MVP)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~$15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WAF WebACL ~$10/mo base + $1/million requests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AWS Cognito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&lt;10,000 MAUs (free tier)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$0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MAU pricing kicks in at 50k+ users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Celery (Fargate)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worker task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~$18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Shared cluster with API; separate task definition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Next.js Frontend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Vercel Hobby → Pro or AWS Amplify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$0–$20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Vercel Pro recommended at Phase 2 for preview deployments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CloudWatch + Logs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Basic monitoring + log retention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~$15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Add Datadog at Phase 2 for APM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GitHub Actions CI/CD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2,000 min/mo (free for private)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$0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Domain + ACM SSL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Route53 + ACM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~$12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ACM certificates free</w:t>
            </w:r>
          </w:p>
        </w:tc>
      </w:tr>
      <w:tr>
        <w:tc>
          <w:tcPr>
            <w:tcW w:type="dxa" w:w="4400"/>
            <w:gridSpan w:val="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ESTIMATED MVP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37562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~$250–$270/mo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Excludes GovCloud premium (~+15%) and 3PAO FedRAMP assessment ($150–300K one-time at Phase 5)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1F3864" w:sz="4" w:space="2"/>
        </w:pBdr>
        <w:spacing w:after="4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8.2  Cost Reduction Strategies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Fargate Spot for Celery workers: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70% cost reduction on background jobs. ML retraining and batch scans are interruptible; Celery retries on Spot interruption.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S3 Intelligent-Tiering: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Automatically moves infrequently accessed evidence files to cheaper storage tiers without lifecycle rule management.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Reserved Instances at Phase 2: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1-year RDS Reserved Instance reduces DB cost by ~40% once usage pattern is confirmed.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Single NAT Gateway: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One NAT Gateway per AZ (not per subnet) reduces data transfer cost by ~60% at MVP scale.</w:t>
      </w:r>
    </w:p>
    <w:p>
      <w:pPr>
        <w:pageBreakBefore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shd w:fill="1F3864" w:val="clear"/>
        <w:spacing w:after="0" w:before="360"/>
        <w:ind w:left="240" w:right="24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9. KEY ARCHITECTURE RISKS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360"/>
        <w:gridCol w:w="3200"/>
      </w:tblGrid>
      <w:tr>
        <w:trPr>
          <w:tblHeader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FedRAMP Authorization Delay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Without FedRAMP Moderate ATO, no federal agency can procure the platform. ATO process averages 12–18 months and costs $150–300K.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Begin 3PAO selection at Month 6. Use FedRAMP-authorized services only from day one. Maintain SSP (System Security Plan) as a living document. Consider FedRAMP Ready designation as interim milestone.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AI Model False Positives &gt;8%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 false-positive rate in fraud scoring creates AP processing backlog, erodes user trust, and causes grantees to disable alerts.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Establish a labelled ground-truth dataset from Phase 1 pilot data. Implement continuous model evaluation pipeline. Offer threshold tuning per tenant. Design human-review workflow that handles 10× expected flag volume.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ERP Integration Complexity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SAP/Oracle/Workday connectors require vendor-specific expertise; field mapping errors cause data reconciliation failures.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Build connectors against published APIs only. Start with flat-file CSV fallback (FR-20) for MVP. Commission one SAP connector in Phase 1 with a design pattern reusable for Oracle/Workday. Hire one integration specialist in Phase 2.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PostgreSQL Partition Lag at Scale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transactions table at 5M tx/day = ~1.8B rows/year. Unpartitioned table will degrade query performance.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Implement declarative range partitioning on (tenant_id, month) from day one. Add pg_partman for automated partition creation. Test with synthetic 100M-row dataset before Phase 2 launch.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Offline Sync Data Conflicts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Tier 3 grantees operating offline may create conflicting records when reconnecting, corrupting compliance evidence.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Design offline module with last-write-wins + conflict flagging. Use a logical clock (Lamport timestamp) per record. Provide manual conflict resolution UI for compliance officers. Limit offline write scope to data-entry forms only (not rule engine writes).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Single-Region AWS Outage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RTO ≤4 hours (NFR-07) requires recovery capability not achievable with single-AZ RDS at MVP.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Enable Multi-AZ RDS from Phase 2. Implement S3-based DB snapshot restore procedure tested quarterly. Document manual failover runbook. Consider read replica in second AZ for dashboard read traffic.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 Creep from 9-Module BRD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BRD defines 9 modules and 22 FRs. Building all in Phase 1 will exhaust a 1–3 person team and delay market entry.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Strict MVP scope: Compliance Engine + ERP Integration Hub + Basic Dashboard only. Pre-award Screener and Payment Integrity Engine in Phase 2. Remaining modules in Phase 3. Use feature flags to ship code without activating features.</w:t>
            </w:r>
          </w:p>
        </w:tc>
      </w:tr>
    </w:tbl>
    <w:p>
      <w:pPr>
        <w:pageBreakBefore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shd w:fill="1F3864" w:val="clear"/>
        <w:spacing w:after="0" w:before="360"/>
        <w:ind w:left="240" w:right="24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10. FINAL ARCHITECTURE DECISION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p>
      <w:pPr>
        <w:pBdr>
          <w:left w:val="single" w:color="C00000" w:sz="36"/>
        </w:pBdr>
        <w:shd w:fill="FDECEA" w:val="clear"/>
        <w:spacing w:after="80" w:before="80"/>
        <w:ind w:left="360" w:right="3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This is the authoritative stack decision for GovGuard™ v1.0. Changes require CTO sign-off.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1F3864" w:sz="4" w:space="2"/>
        </w:pBdr>
        <w:spacing w:after="4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10.1  Final Stack — One Line Per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Final Decision</w:t>
            </w:r>
          </w:p>
        </w:tc>
        <w:tc>
          <w:tcPr>
            <w:tcW w:type="dxa" w:w="3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(one sentence)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Frontend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Next.js 14 (React)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SSR + offline PWA + role-based views in one framework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Backend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6B7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Python 3.12 + FastAPI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ML inference, async performance, and OpenAPI generation in one runtime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Background Jobs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55A1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Celery + Redis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Async ML scoring, batch scans, scheduled alerts without a separate service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Primary Database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PostgreSQL 17 (RDS)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RLS for multi-tenancy, JSONB for flexible rulesets, PITR for RPO compliance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Cache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0000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Redis (ElastiCache)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Risk score cache + Celery broker in one managed service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Search / Matching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B2D8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OpenSearch (AWS)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Only component that cannot be done in PostgreSQL at transaction scale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Object Storage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474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AWS S3 + Glacier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Evidence retention, ERP uploads, model artefacts — FedRAMP-authorized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Cloud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AWS GovCloud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Non-negotiable: FedRAMP Moderate boundary requirement (NFR-04)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Auth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562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AWS Cognito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Only FedRAMP-authorized auth option with PIV/CAC SAML federation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API Gateway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6B7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AWS API GW + WAF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Managed OWASP rules, rate limiting, Cognito authorizer integration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CI/CD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55A1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GitHub Actions + Terraform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Free for private repos at MVP; IaC from day one prevents configuration drift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Billing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B2D8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Stripe Billing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Supports metered + subscription model; Tier 3 free plan; self-service portal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Monitoring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474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CloudWatch → Datadog (Ph2)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CloudWatch free tier sufficient for MVP; Datadog adds APM at Phase 2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Email/SMS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562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AWS SES + SNS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FedRAMP authorized; no third-party dependency in GovCloud boundary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1F3864" w:sz="4" w:space="2"/>
        </w:pBdr>
        <w:spacing w:after="4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10.2  Why This Is The Simplest Viable Architecture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Monolith-first: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One deployable unit. One codebase. One deployment pipeline. Module boundaries are code structure, not network boundaries — dramatically reduces operational complexity for a small team.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Managed services everywhere: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RDS, ElastiCache, OpenSearch, ECS Fargate, Cognito — zero server management. The team writes application code, not infrastructure code.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PostgreSQL RLS for multi-tenancy: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Eliminates the need for a separate tenant isolation service, application-level query filtering, or a separate DB per tenant at MVP scale.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REST over GraphQL: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Eliminates schema registry, resolver complexity, and N+1 query management. OpenAPI 3.0 auto-generation from FastAPI provides the same discoverability benefit.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Celery over separate job server: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Background work runs in the same Python codebase as the API. No separate service, no separate deployment, no cross-service authentication.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1F3864" w:sz="4" w:space="2"/>
        </w:pBdr>
        <w:spacing w:after="4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10.3  What Has Been Intentionally Excluded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Microservices: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Each BRD module is a Python package, not a service. No service mesh, no inter-service auth, no distributed tracing overhead at MVP.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Kubernetes: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ECS Fargate provides container orchestration without the operational complexity of EKS. Migrate to EKS at Phase 4+ if service count exceeds 10.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Event streaming (Kafka/Kinesis):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Celery + Redis handles async workloads at MVP scale. Add Kinesis at Phase 3 when transaction volume requires guaranteed-delivery event streaming.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Separate ML serving infrastructure: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In-process FastAPI ML inference is sufficient for MVP. SageMaker added at Phase 2 when model serving latency becomes a bottleneck.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GraphQL: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REST with OpenAPI 3.0 meets all BRD API requirements without schema complexity.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Multi-region active-active: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Single-region AWS GovCloud with Multi-AZ RDS meets NFR-07 (RTO ≤4 hours, RPO ≤1 hour). Multi-region added at Phase 5 for enterprise SLA.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Blockchain / distributed ledger: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PostgreSQL append-only audit_events with hash chaining provides immutability (FR-11) without the operational complexity of a blockchain infrastructure.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2E75B6" w:sz="6" w:space="1"/>
        </w:pBdr>
        <w:spacing w:after="100" w:before="100"/>
      </w:pPr>
      <w:r>
        <w:rPr>
          <w:rFonts w:ascii="Arial" w:cs="Arial" w:eastAsia="Arial" w:hAnsi="Arial"/>
        </w:rPr>
        <w:t xml:space="preserve"/>
      </w: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GovGuard™ SaaS Architecture &amp; Technology Stack Decision Document  |  v1.0  |  Prepared by Senior Solutions Architect / CTO  |  Based on GovGuard™ BRD/URS v1.0</w:t>
      </w:r>
    </w:p>
    <w:p>
      <w:pPr>
        <w:pBdr>
          <w:bottom w:val="single" w:color="2E75B6" w:sz="6" w:space="1"/>
        </w:pBdr>
        <w:spacing w:after="100" w:before="100"/>
      </w:pPr>
      <w:r>
        <w:rPr>
          <w:rFonts w:ascii="Arial" w:cs="Arial" w:eastAsia="Arial" w:hAnsi="Arial"/>
        </w:rP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spacing w:after="40" w:before="40"/>
        <w:ind w:left="720" w:hanging="360"/>
      </w:pPr>
    </w:lvl>
    <w:lvl w:ilvl="1" w15:tentative="1">
      <w:start w:val="1"/>
      <w:numFmt w:val="bullet"/>
      <w:lvlText w:val="–"/>
      <w:lvlJc w:val="left"/>
      <w:pPr>
        <w:spacing w:after="20" w:before="20"/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40" w:before="40"/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0" w:before="36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0" w:before="280"/>
      <w:outlineLvl w:val="1"/>
    </w:pPr>
    <w:rPr>
      <w:rFonts w:ascii="Arial" w:cs="Arial" w:eastAsia="Arial" w:hAnsi="Arial"/>
      <w:b/>
      <w:bCs/>
      <w:color w:val="FFFFFF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40" w:before="160"/>
      <w:outlineLvl w:val="2"/>
    </w:pPr>
    <w:rPr>
      <w:rFonts w:ascii="Arial" w:cs="Arial" w:eastAsia="Arial" w:hAnsi="Arial"/>
      <w:b/>
      <w:bCs/>
      <w:color w:val="1F3864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2026-05-08T12:30:42.975Z</dcterms:created>
  <dcterms:modified xsi:type="dcterms:W3CDTF">2026-05-08T12:30:42.975Z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