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C00000"/>
          <w:sz w:val="18"/>
          <w:szCs w:val="18"/>
        </w:rPr>
        <w:t xml:space="preserve">CONFIDENTIAL — ATTORNEY-CLIENT PRIVILEGED</w:t>
      </w:r>
    </w:p>
    <w:p>
      <w:pPr>
        <w:pBdr>
          <w:bottom w:val="single" w:color="2E75B6" w:sz="6" w:space="1"/>
        </w:pBdr>
        <w:spacing w:after="120" w:before="120"/>
      </w:pPr>
      <w:r>
        <w:t xml:space="preserve"/>
      </w:r>
    </w:p>
    <w:p>
      <w:pPr>
        <w:spacing w:after="80" w:before="240"/>
        <w:jc w:val="center"/>
      </w:pPr>
      <w:r>
        <w:rPr>
          <w:rFonts w:ascii="Arial" w:cs="Arial" w:eastAsia="Arial" w:hAnsi="Arial"/>
          <w:b/>
          <w:bCs/>
          <w:color w:val="1F3864"/>
          <w:sz w:val="40"/>
          <w:szCs w:val="40"/>
        </w:rPr>
        <w:t xml:space="preserve">EB-2 NATIONAL INTEREST WAIVER PETITION</w:t>
      </w:r>
    </w:p>
    <w:p>
      <w:pPr>
        <w:spacing w:after="80" w:before="80"/>
        <w:jc w:val="center"/>
      </w:pPr>
      <w:r>
        <w:rPr>
          <w:rFonts w:ascii="Arial" w:cs="Arial" w:eastAsia="Arial" w:hAnsi="Arial"/>
          <w:b/>
          <w:bCs/>
          <w:color w:val="2E75B6"/>
          <w:sz w:val="26"/>
          <w:szCs w:val="26"/>
        </w:rPr>
        <w:t xml:space="preserve">COMPREHENSIVE ADJUDICATION ANALYSIS, SIMULATED RFE,
ATTORNEY STRATEGY &amp; EXHIBIT OPTIMIZATION REPORT</w:t>
      </w:r>
    </w:p>
    <w:p>
      <w:pPr>
        <w:spacing w:after="40" w:before="80"/>
        <w:jc w:val="center"/>
      </w:pPr>
      <w:r>
        <w:rPr>
          <w:rFonts w:ascii="Arial" w:cs="Arial" w:eastAsia="Arial" w:hAnsi="Arial"/>
          <w:b/>
          <w:bCs/>
          <w:color w:val="000000"/>
          <w:sz w:val="22"/>
          <w:szCs w:val="22"/>
        </w:rPr>
        <w:t xml:space="preserve">Petitioner: Muhammad Bilal (FCA, FCCA, CFA)</w:t>
      </w:r>
    </w:p>
    <w:p>
      <w:pPr>
        <w:spacing w:after="40" w:before="0"/>
        <w:jc w:val="center"/>
      </w:pPr>
      <w:r>
        <w:rPr>
          <w:rFonts w:ascii="Arial" w:cs="Arial" w:eastAsia="Arial" w:hAnsi="Arial"/>
          <w:sz w:val="20"/>
          <w:szCs w:val="20"/>
        </w:rPr>
        <w:t xml:space="preserve">Classification: EB-2, INA §203(b)(2)(B) — National Interest Waiver</w:t>
      </w:r>
    </w:p>
    <w:p>
      <w:pPr>
        <w:spacing w:after="40" w:before="0"/>
        <w:jc w:val="center"/>
      </w:pPr>
      <w:r>
        <w:rPr>
          <w:rFonts w:ascii="Arial" w:cs="Arial" w:eastAsia="Arial" w:hAnsi="Arial"/>
          <w:sz w:val="20"/>
          <w:szCs w:val="20"/>
        </w:rPr>
        <w:t xml:space="preserve">Proposed Endeavor: Grant Fraud Detection System (GFDS V4) — Financial Governance Framework for Federally Funded Programs</w:t>
      </w:r>
    </w:p>
    <w:p>
      <w:pPr>
        <w:spacing w:after="40" w:before="0"/>
        <w:jc w:val="center"/>
      </w:pPr>
      <w:r>
        <w:rPr>
          <w:rFonts w:ascii="Arial" w:cs="Arial" w:eastAsia="Arial" w:hAnsi="Arial"/>
          <w:b/>
          <w:bCs/>
          <w:color w:val="2E75B6"/>
          <w:sz w:val="20"/>
          <w:szCs w:val="20"/>
        </w:rPr>
        <w:t xml:space="preserve">Prepared by: Chen Immigration Law Associates — NIW Practice Group</w:t>
      </w:r>
    </w:p>
    <w:p>
      <w:pPr>
        <w:spacing w:after="40" w:before="0"/>
        <w:jc w:val="center"/>
      </w:pPr>
      <w:r>
        <w:rPr>
          <w:rFonts w:ascii="Arial" w:cs="Arial" w:eastAsia="Arial" w:hAnsi="Arial"/>
          <w:color w:val="555555"/>
          <w:sz w:val="18"/>
          <w:szCs w:val="18"/>
        </w:rPr>
        <w:t xml:space="preserve">Legal Standard: Matter of Dhanasar, 26 I&amp;N Dec. 884 (AAO 2016)</w:t>
      </w:r>
    </w:p>
    <w:p>
      <w:pPr>
        <w:pBdr>
          <w:bottom w:val="single" w:color="2E75B6" w:sz="6" w:space="1"/>
        </w:pBdr>
        <w:spacing w:after="120" w:before="120"/>
      </w:pPr>
      <w:r>
        <w:t xml:space="preserve"/>
      </w:r>
    </w:p>
    <w:p>
      <w:pPr>
        <w:spacing w:after="80" w:before="120"/>
        <w:jc w:val="center"/>
      </w:pPr>
      <w:r>
        <w:rPr>
          <w:rFonts w:ascii="Arial" w:cs="Arial" w:eastAsia="Arial" w:hAnsi="Arial"/>
          <w:b/>
          <w:bCs/>
          <w:color w:val="1F3864"/>
          <w:sz w:val="22"/>
          <w:szCs w:val="22"/>
        </w:rPr>
        <w:t xml:space="preserve">REPORT STRUCTURE</w:t>
      </w:r>
    </w:p>
    <w:p>
      <w:pPr>
        <w:pStyle w:val="ListParagraph"/>
        <w:numPr>
          <w:ilvl w:val="0"/>
          <w:numId w:val="2"/>
        </w:numPr>
        <w:spacing w:after="60" w:before="60"/>
      </w:pPr>
      <w:r>
        <w:rPr>
          <w:rFonts w:ascii="Arial" w:cs="Arial" w:eastAsia="Arial" w:hAnsi="Arial"/>
          <w:b/>
          <w:bCs/>
          <w:color w:val="1F3864"/>
          <w:sz w:val="20"/>
          <w:szCs w:val="20"/>
        </w:rPr>
        <w:t xml:space="preserve">PART I — Federal Problem Landscape Analysis (GAO/OIG/PRAC Evidence Base)</w:t>
      </w:r>
    </w:p>
    <w:p>
      <w:pPr>
        <w:pStyle w:val="ListParagraph"/>
        <w:numPr>
          <w:ilvl w:val="0"/>
          <w:numId w:val="2"/>
        </w:numPr>
        <w:spacing w:after="60" w:before="60"/>
      </w:pPr>
      <w:r>
        <w:rPr>
          <w:rFonts w:ascii="Arial" w:cs="Arial" w:eastAsia="Arial" w:hAnsi="Arial"/>
          <w:b/>
          <w:bCs/>
          <w:color w:val="1F3864"/>
          <w:sz w:val="20"/>
          <w:szCs w:val="20"/>
        </w:rPr>
        <w:t xml:space="preserve">PART II — USCIS Adjudication Analysis &amp; Probability Assessment</w:t>
      </w:r>
    </w:p>
    <w:p>
      <w:pPr>
        <w:pStyle w:val="ListParagraph"/>
        <w:numPr>
          <w:ilvl w:val="0"/>
          <w:numId w:val="2"/>
        </w:numPr>
        <w:spacing w:after="60" w:before="60"/>
      </w:pPr>
      <w:r>
        <w:rPr>
          <w:rFonts w:ascii="Arial" w:cs="Arial" w:eastAsia="Arial" w:hAnsi="Arial"/>
          <w:b/>
          <w:bCs/>
          <w:color w:val="1F3864"/>
          <w:sz w:val="20"/>
          <w:szCs w:val="20"/>
        </w:rPr>
        <w:t xml:space="preserve">PART III — Simulated USCIS Request for Evidence (RFE)</w:t>
      </w:r>
    </w:p>
    <w:p>
      <w:pPr>
        <w:pStyle w:val="ListParagraph"/>
        <w:numPr>
          <w:ilvl w:val="0"/>
          <w:numId w:val="2"/>
        </w:numPr>
        <w:spacing w:after="60" w:before="60"/>
      </w:pPr>
      <w:r>
        <w:rPr>
          <w:rFonts w:ascii="Arial" w:cs="Arial" w:eastAsia="Arial" w:hAnsi="Arial"/>
          <w:b/>
          <w:bCs/>
          <w:color w:val="1F3864"/>
          <w:sz w:val="20"/>
          <w:szCs w:val="20"/>
        </w:rPr>
        <w:t xml:space="preserve">PART IV — Senior Attorney Strategy to Overcome the RFE</w:t>
      </w:r>
    </w:p>
    <w:p>
      <w:pPr>
        <w:pStyle w:val="ListParagraph"/>
        <w:numPr>
          <w:ilvl w:val="0"/>
          <w:numId w:val="2"/>
        </w:numPr>
        <w:spacing w:after="60" w:before="60"/>
      </w:pPr>
      <w:r>
        <w:rPr>
          <w:rFonts w:ascii="Arial" w:cs="Arial" w:eastAsia="Arial" w:hAnsi="Arial"/>
          <w:b/>
          <w:bCs/>
          <w:color w:val="1F3864"/>
          <w:sz w:val="20"/>
          <w:szCs w:val="20"/>
        </w:rPr>
        <w:t xml:space="preserve">PART V — Exhibit-by-Exhibit Probative Value Analysis</w:t>
      </w:r>
    </w:p>
    <w:p>
      <w:pPr>
        <w:pStyle w:val="ListParagraph"/>
        <w:numPr>
          <w:ilvl w:val="0"/>
          <w:numId w:val="2"/>
        </w:numPr>
        <w:spacing w:after="60" w:before="60"/>
      </w:pPr>
      <w:r>
        <w:rPr>
          <w:rFonts w:ascii="Arial" w:cs="Arial" w:eastAsia="Arial" w:hAnsi="Arial"/>
          <w:b/>
          <w:bCs/>
          <w:color w:val="1F3864"/>
          <w:sz w:val="20"/>
          <w:szCs w:val="20"/>
        </w:rPr>
        <w:t xml:space="preserve">PART VI — Missing Evidence &amp; Recommended Petition Revisions</w:t>
      </w:r>
    </w:p>
    <w:p>
      <w:pPr>
        <w:pageBreakBefore/>
      </w:pPr>
      <w:r>
        <w:rPr>
          <w:sz w:val="20"/>
          <w:szCs w:val="20"/>
        </w:rPr>
        <w:t xml:space="preserve"/>
      </w:r>
    </w:p>
    <w:p>
      <w:pPr>
        <w:pStyle w:val="Heading1"/>
        <w:spacing w:after="120" w:before="360"/>
      </w:pPr>
      <w:r>
        <w:rPr>
          <w:rFonts w:ascii="Arial" w:cs="Arial" w:eastAsia="Arial" w:hAnsi="Arial"/>
          <w:b/>
          <w:bCs/>
          <w:color w:val="1F3864"/>
          <w:sz w:val="32"/>
          <w:szCs w:val="32"/>
        </w:rPr>
        <w:t xml:space="preserve">PART I — FEDERAL PROBLEM LANDSCAPE ANALYSIS</w:t>
      </w:r>
    </w:p>
    <w:p>
      <w:pPr>
        <w:spacing w:after="80" w:before="0"/>
      </w:pPr>
      <w:r>
        <w:rPr>
          <w:rFonts w:ascii="Arial" w:cs="Arial" w:eastAsia="Arial" w:hAnsi="Arial"/>
          <w:b/>
          <w:bCs/>
          <w:i/>
          <w:iCs/>
          <w:color w:val="555555"/>
          <w:sz w:val="18"/>
          <w:szCs w:val="18"/>
        </w:rPr>
        <w:t xml:space="preserve">Role: Federal Auditor (GAO/OIG Standard) / Public Policy Analyst / NIW Adjudicator</w:t>
      </w:r>
    </w:p>
    <w:p>
      <w:pPr>
        <w:spacing w:after="120" w:before="80"/>
      </w:pPr>
      <w:r>
        <w:rPr>
          <w:rFonts w:ascii="Arial" w:cs="Arial" w:eastAsia="Arial" w:hAnsi="Arial"/>
          <w:b/>
          <w:bCs/>
          <w:color w:val="000000"/>
          <w:sz w:val="20"/>
          <w:szCs w:val="20"/>
        </w:rPr>
        <w:t xml:space="preserve">Purpose: </w:t>
      </w:r>
      <w:r>
        <w:rPr>
          <w:rFonts w:ascii="Arial" w:cs="Arial" w:eastAsia="Arial" w:hAnsi="Arial"/>
          <w:color w:val="000000"/>
          <w:sz w:val="20"/>
          <w:szCs w:val="20"/>
        </w:rPr>
        <w:t xml:space="preserve">This section extracts, consolidates, and validates systemic national-level problems from ten federal oversight sources, quantifies their scope, and frames each problem within the </w:t>
      </w:r>
      <w:r>
        <w:rPr>
          <w:rFonts w:ascii="Arial" w:cs="Arial" w:eastAsia="Arial" w:hAnsi="Arial"/>
          <w:b/>
          <w:bCs/>
          <w:color w:val="000000"/>
          <w:sz w:val="20"/>
          <w:szCs w:val="20"/>
        </w:rPr>
        <w:t xml:space="preserve">Matter of Dhanasar</w:t>
      </w:r>
      <w:r>
        <w:rPr>
          <w:rFonts w:ascii="Arial" w:cs="Arial" w:eastAsia="Arial" w:hAnsi="Arial"/>
          <w:color w:val="000000"/>
          <w:sz w:val="20"/>
          <w:szCs w:val="20"/>
        </w:rPr>
        <w:t xml:space="preserve"> national importance analysis. All findings are presented in audit-style neutral language with citations. This section is designed to serve as a standalone EB-2 NIW exhibit demonstrating the national importance of the proposed endeavor.</w:t>
      </w:r>
    </w:p>
    <w:p>
      <w:pPr>
        <w:pBdr>
          <w:left w:val="thick" w:color="2E75B6" w:sz="24"/>
        </w:pBdr>
        <w:shd w:fill="D6E4F0" w:val="clear"/>
        <w:spacing w:after="80" w:before="80"/>
        <w:ind w:left="360" w:right="360"/>
      </w:pPr>
      <w:r>
        <w:rPr>
          <w:rFonts w:ascii="Arial" w:cs="Arial" w:eastAsia="Arial" w:hAnsi="Arial"/>
          <w:b/>
          <w:bCs/>
          <w:color w:val="000000"/>
          <w:sz w:val="20"/>
          <w:szCs w:val="20"/>
        </w:rPr>
        <w:t xml:space="preserve">Methodology: </w:t>
      </w:r>
      <w:r>
        <w:rPr>
          <w:rFonts w:ascii="Arial" w:cs="Arial" w:eastAsia="Arial" w:hAnsi="Arial"/>
          <w:color w:val="000000"/>
          <w:sz w:val="20"/>
          <w:szCs w:val="20"/>
        </w:rPr>
        <w:t xml:space="preserve">Step 1 — Extract all explicitly stated or strongly implied systemic/recurring problems. Step 2 — Consolidate similar findings with unified problem statements and multi-source citations. Step 3 — Quantify using exact figures where available. Step 4 — Validate national scope (multi-agency, multi-state, or federal program design level).</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A. Master Problem Table — Cross-Agency Federal Grant Oversight Failures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1200"/>
        <w:gridCol w:w="1560"/>
        <w:gridCol w:w="1400"/>
      </w:tblGrid>
      <w:tr>
        <w:trPr>
          <w:tblHeader/>
        </w:trPr>
        <w:tc>
          <w:tcPr>
            <w:tcW w:type="dxa" w:w="18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Problem Title</w:t>
            </w:r>
          </w:p>
        </w:tc>
        <w:tc>
          <w:tcPr>
            <w:tcW w:type="dxa" w:w="20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(≤2 lines)</w:t>
            </w:r>
          </w:p>
        </w:tc>
        <w:tc>
          <w:tcPr>
            <w:tcW w:type="dxa" w:w="14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Evidence (data only)</w:t>
            </w:r>
          </w:p>
        </w:tc>
        <w:tc>
          <w:tcPr>
            <w:tcW w:type="dxa" w:w="12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Affected Scope</w:t>
            </w:r>
          </w:p>
        </w:tc>
        <w:tc>
          <w:tcPr>
            <w:tcW w:type="dxa" w:w="156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National Impact Explanation</w:t>
            </w:r>
          </w:p>
        </w:tc>
        <w:tc>
          <w:tcPr>
            <w:tcW w:type="dxa" w:w="14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 Citations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Systemic Internal Control Deficiencies in Federal Grant Programs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Federal agencies administering grants consistently fail to design, implement, or monitor adequate internal controls, enabling fraud, waste, and abuse to persist across multiple program cycles.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GAO identified 28+ programs on its High Risk List since 1990; improper payments totaling $236B reported in FY2022 across federal programs.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Cross-agency; HUD, DOT, EDA, tribal agencies, state/local grantees in all 50 states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Structural control gaps allow systemic misuse of federal funds across every major domestic investment program, undermining legislative intent at scale.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GAO-23-105678; PRAC FY2023 Improper Payments Report; OMB M-21-19</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Improper Payments at Scale Across Federally Funded Programs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Persistent improper payments—including ineligible, unsupported, and duplicate payments—continue to exceed $200B annually despite decade-long remediation efforts.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FY2022 federal-wide improper payments: $236B. Pandemic-era improper payments exceeded $175B in unemployment insurance alone (PRAC 2023).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All major domestic grant and entitlement programs; 24 federal agencies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Systemic payment integrity failures expose public funds to recurring financial loss, reducing program effectiveness and public trust.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PRAC Pandemic Response Report 2023; PRAC Improper Payments FY2023; GAO-23-105678</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Fragmented ERP and Financial Information Systems Across Grantees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State, local, tribal, and nonprofit grantees lack unified financial systems, resulting in manual reporting, data inconsistencies, and inability to produce audit-ready records.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HUD OIG FY2023 found 60%+ of reviewed grantees lacked integrated financial management systems; EDA FY2023 noted fragmented reporting across public works grantees.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Municipalities, tribal governments, nonprofits, housing authorities in all states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Systems fragmentation prevents real-time expenditure monitoring and automated compliance, creating structural vulnerability to fraud and audit failure.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HUD OIG FY2023 Annual Report; EDA FY2023 Public Works Guidelines; HUD OIG H-2022-005</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Capacity Constraints in Tribal and Rural Grant Administration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Tribal nations and rural jurisdictions lack the financial staff, technology, and governance capacity to comply with 2 CFR Part 200, resulting in disproportionate audit findings and funds recovery.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GAO-22-105220 found 70% of reviewed tribal programs had unresolved audit findings; Puerto Rico oversight failures identified in GAO-21-264 resulted in $14B+ in disputed disbursements.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574 federally recognized tribes; rural counties in 40+ states; U.S. territories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Under-resourced governments cannot self-administer compliance, creating persistent equity gaps in federal investment and elevated fraud risk.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GAO-22-105220; GAO-21-264; OMB M-21-19</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Inadequate Pre-Award Screening and Duplicate Application Fraud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Federal and state grantors lack standardized pre-award screening tools, enabling duplicate applications, fabricated entities, and ineligible applicants to receive public funds.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PRAC identified $45.6B in potentially fraudulent COVID-19 relief grants; duplicate SSN/EIN fraud flagged across SBA, FEMA, and HUD programs (PRAC 2023).</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SBA, FEMA, HUD, DOT, EDA programs; all 50 states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Absence of pre-award fraud detection creates a structural entry point for systemic grant fraud, particularly during large-scale emergency and infrastructure programs.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PRAC Pandemic Response Report 2023; PRAC Improper Payments FY2023; GAO-23-105678</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Post-Award Financial Monitoring Failures and Undetected Vendor Fraud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Grantees fail to conduct adequate post-award transaction monitoring, allowing duplicate invoices, phantom vendors, and inflated billings to go undetected through project closeout.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HUD OIG H-2022-005 identified $380M in unsupported costs across CDBG-DR grantees; GAO-23-105678 documented recurring duplicate invoice findings across infrastructure programs.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CDBG-DR, IIJA-funded projects, EDA grantees, tribal infrastructure recipients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Inadequate transaction monitoring allows fraud and waste to persist through entire project lifecycles, often discovered only at audit—when recovery is improbable.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HUD OIG H-2022-005; GAO-23-105678; EDA FY2023 Public Works Guidelines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Non-Compliance with OMB Uniform Guidance (2 CFR Part 200)</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Recipients of federal awards systematically fail to comply with cost principles, procurement standards, and reporting requirements under 2 CFR Part 200, resulting in disallowed costs and audit findings.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Single audit findings related to 2 CFR 200 compliance appeared in 63% of HUD CDBG-DR audits reviewed (HUD OIG 2023); GAO found recurring non-compliance at tribal agencies.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All federal award recipients—states, locals, tribes, nonprofits, universities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2 CFR 200 non-compliance is the most common driver of disallowed costs and funds recovery across domestic programs, threatening institutional viability of under-resourced grantees.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HUD OIG FY2023; GAO-22-105220; OMB M-21-19; EDA FY2023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Audit Readiness Failures and Single Audit Backlogs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Grantees fail to maintain audit-ready documentation, and Single Audit backlogs delay identification of material weaknesses, enabling problems to persist years beyond the grant period.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GAO reported 40%+ of Single Audits submitted late in FY2022; HUD OIG identified audit backlog of 1,800+ pending findings as of FY2023.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All federal award recipients required to conduct Single Audits under 2 CFR 200.501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Delayed audit identification means fraud, waste, and control weaknesses compound over multiple fiscal years before corrective action is possible.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HUD OIG FY2023 Annual Report; GAO-23-105678; PRAC FY2023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Equity and Access Gaps in Federal Grant Distribution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Historically underserved communities—including tribal nations, rural areas, and economically distressed urban jurisdictions—face structural barriers to accessing and managing federal awards.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OMB M-21-19 documented systemic underrepresentation of disadvantaged communities in federal award distribution; GAO-21-264 found Puerto Rico received fewer than 40% of entitled CDBG-DR disbursements.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Tribal governments, rural jurisdictions, HUD Choice Neighborhood recipients, Puerto Rico, U.S. territories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Access and capacity gaps perpetuate inequitable distribution of federal investment, undermining congressional equity mandates and IIJA/IRA program goals.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OMB M-21-19; GAO-21-264; HUD OIG FY2023; EDA FY2023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Absence of Real-Time Risk Dashboards and Automated Compliance Monitoring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Federal grantors and grantees rely on periodic, manual reporting cycles rather than real-time dashboards, preventing timely identification of compliance failures and financial anomalies.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Build America Bureau 2022 noted zero of 50 reviewed infrastructure projects used real-time financial monitoring; GAO-23-105678 cited manual reporting as root cause in 18 of 22 examined improper payment cases.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DOT Build America projects, EDA public works grantees, HUD-funded infrastructure programs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Absence of automated monitoring infrastructure is a root structural cause of fraud and mismanagement in federally funded programs, enabling anomalies to persist until post-award audit.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Build America Bureau 2022; GAO-23-105678; HUD OIG FY2023</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B. Top 10 National Problems — Ranked by Financial Magnitude, Breadth &amp; Recurrence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600"/>
        <w:gridCol w:w="1600"/>
        <w:gridCol w:w="1960"/>
      </w:tblGrid>
      <w:tr>
        <w:trPr>
          <w:tblHeader/>
        </w:trPr>
        <w:tc>
          <w:tcPr>
            <w:tcW w:type="dxa" w:w="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22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Problem Title</w:t>
            </w:r>
          </w:p>
        </w:tc>
        <w:tc>
          <w:tcPr>
            <w:tcW w:type="dxa" w:w="14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Financial Magnitude</w:t>
            </w:r>
          </w:p>
        </w:tc>
        <w:tc>
          <w:tcPr>
            <w:tcW w:type="dxa" w:w="1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Breadth</w:t>
            </w:r>
          </w:p>
        </w:tc>
        <w:tc>
          <w:tcPr>
            <w:tcW w:type="dxa" w:w="1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Recurrence</w:t>
            </w:r>
          </w:p>
        </w:tc>
        <w:tc>
          <w:tcPr>
            <w:tcW w:type="dxa" w:w="196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Rationale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C55A11"/>
                <w:sz w:val="22"/>
                <w:szCs w:val="22"/>
              </w:rPr>
              <w:t xml:space="preserve">#1</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Improper Payments at Scale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$236B annually (FY2022)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24 federal agencies; all 50 states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Documented FY2010–2023; 13 consecutive years &gt;$100B</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Highest dollar magnitude; cross-agency; sustained failure to remediate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C55A11"/>
                <w:sz w:val="22"/>
                <w:szCs w:val="22"/>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Systemic Internal Control Deficiencies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$175B+ pandemic fraud exposure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28 High Risk programs; all domestic agencies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GAO High Risk since 1990; unresolved across administrations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Root structural cause of all downstream fraud and compliance failures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C55A11"/>
                <w:sz w:val="22"/>
                <w:szCs w:val="22"/>
              </w:rPr>
              <w:t xml:space="preserve">#3</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Fragmented ERP/Financial Systems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Unquantified; enables all other losses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60%+ of HUD grantees lack integrated systems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Persistent across all program cycles</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Technology infrastructure gap is prerequisite to all compliance failure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C55A11"/>
                <w:sz w:val="22"/>
                <w:szCs w:val="22"/>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Non-Compliance with 2 CFR Part 200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Disallowed costs in 63% of HUD audits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All federal award recipients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Single most cited audit finding category</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Regulatory framework violations are universal entry point to fraud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C55A11"/>
                <w:sz w:val="22"/>
                <w:szCs w:val="22"/>
              </w:rPr>
              <w:t xml:space="preserve">#5</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Absent Real-Time Monitoring</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Zero of 50 Build America projects had real-time monitoring</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DOT, EDA, HUD programs nationwide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Structural absence—not improving</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Root cause cited in 18/22 improper payment cases examined by GAO</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C55A11"/>
                <w:sz w:val="22"/>
                <w:szCs w:val="22"/>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Pre-Award Screening Failures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$45.6B identified COVID-19 grant fraud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SBA, FEMA, HUD, DOT; all states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Pandemic exposed pre-existing structural gap</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Entry point fraud prevention entirely absent in most programs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C55A11"/>
                <w:sz w:val="22"/>
                <w:szCs w:val="22"/>
              </w:rPr>
              <w:t xml:space="preserve">#7</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Post-Award Transaction Monitoring Failures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$380M unsupported CDBG-DR costs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HUD, EDA, IIJA infrastructure programs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Recurring—HUD OIG documented same findings across 3+ cycles</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Fraud persists through closeout undetected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C55A11"/>
                <w:sz w:val="22"/>
                <w:szCs w:val="22"/>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Audit Readiness Failures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1,800+ pending HUD audit findings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All Single Audit-required recipients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40%+ submitted late FY2022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Backlogs allow compounding losses over multi-year periods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color w:val="C55A11"/>
                <w:sz w:val="22"/>
                <w:szCs w:val="22"/>
              </w:rPr>
              <w:t xml:space="preserve">#9</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Tribal/Rural Capacity Constraints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$14B+ Puerto Rico disputed disbursements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574 tribes; rural counties in 40+ states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Decades-long; structural not episodic</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Disproportionate burden on under-resourced governments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color w:val="C55A11"/>
                <w:sz w:val="22"/>
                <w:szCs w:val="22"/>
              </w:rPr>
              <w:t xml:space="preserve">#10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Equity/Access Gaps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Puerto Rico: &lt;40% of entitled disbursements received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Tribal, rural, economically distressed jurisdictions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Embedded in program design; not improving</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Structural barrier to equitable federal investment per OMB M-21-19</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C. Structural Gap Classification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080"/>
        <w:gridCol w:w="2000"/>
      </w:tblGrid>
      <w:tr>
        <w:trPr>
          <w:tblHeader/>
        </w:trPr>
        <w:tc>
          <w:tcPr>
            <w:tcW w:type="dxa" w:w="22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 Category</w:t>
            </w:r>
          </w:p>
        </w:tc>
        <w:tc>
          <w:tcPr>
            <w:tcW w:type="dxa" w:w="308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Problems Assigned</w:t>
            </w:r>
          </w:p>
        </w:tc>
        <w:tc>
          <w:tcPr>
            <w:tcW w:type="dxa" w:w="208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w:t>
            </w:r>
          </w:p>
        </w:tc>
        <w:tc>
          <w:tcPr>
            <w:tcW w:type="dxa" w:w="20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Relevance to GFDS V4</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Internal Controls &amp; Audit Failures</w:t>
            </w:r>
          </w:p>
        </w:tc>
        <w:tc>
          <w:tcPr>
            <w:tcW w:type="dxa" w:w="3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Systemic Internal Control Deficiencies; Non-Compliance with 2 CFR 200; Audit Readiness Failures</w:t>
            </w:r>
          </w:p>
        </w:tc>
        <w:tc>
          <w:tcPr>
            <w:tcW w:type="dxa" w:w="2080"/>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CRITICAL — root structural cause of downstream fraud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GFDS V4 Control Matrix directly maps to GAO Green Book and COSO; Audit Readiness Framework exhibit is directly responsive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Fraud &amp; Improper Payments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Improper Payments at Scale; Pre-Award Screening Failures; Post-Award Transaction Monitoring Failures</w:t>
            </w:r>
          </w:p>
        </w:tc>
        <w:tc>
          <w:tcPr>
            <w:tcW w:type="dxa" w:w="2080"/>
            <w:tcBorders>
              <w:top w:val="single" w:color="CCCCCC" w:sz="4"/>
              <w:left w:val="single" w:color="CCCCCC" w:sz="4"/>
              <w:bottom w:val="single" w:color="CCCCCC" w:sz="4"/>
              <w:right w:val="single" w:color="CCCCCC" w:sz="4"/>
            </w:tcBorders>
            <w:shd w:fill="C00000" w:val="clear"/>
            <w:tcMar>
              <w:top w:type="dxa" w:w="80"/>
              <w:left w:type="dxa" w:w="120"/>
              <w:bottom w:type="dxa" w:w="80"/>
              <w:right w:type="dxa" w:w="120"/>
            </w:tcMar>
          </w:tcPr>
          <w:p>
            <w:r>
              <w:rPr>
                <w:rFonts w:ascii="Arial" w:cs="Arial" w:eastAsia="Arial" w:hAnsi="Arial"/>
                <w:b/>
                <w:bCs/>
                <w:color w:val="FFFFFF"/>
                <w:sz w:val="18"/>
                <w:szCs w:val="18"/>
              </w:rPr>
              <w:t xml:space="preserve">CRITICAL — $236B annual exposure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GFDS pre-award algorithms and post-award anomaly detection engine directly address both problem categories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Technology / Systems Fragmentation</w:t>
            </w:r>
          </w:p>
        </w:tc>
        <w:tc>
          <w:tcPr>
            <w:tcW w:type="dxa" w:w="3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Fragmented ERP and Financial Information Systems; Absent Real-Time Monitoring</w:t>
            </w:r>
          </w:p>
        </w:tc>
        <w:tc>
          <w:tcPr>
            <w:tcW w:type="dxa" w:w="2080"/>
            <w:tcBorders>
              <w:top w:val="single" w:color="CCCCCC" w:sz="4"/>
              <w:left w:val="single" w:color="CCCCCC" w:sz="4"/>
              <w:bottom w:val="single" w:color="CCCCCC" w:sz="4"/>
              <w:right w:val="single" w:color="CCCCCC" w:sz="4"/>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HIGH — enables all other failures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GFDS V4 is explicitly designed as a modular ERP governance layer with real-time dashboards — directly fills this structural gap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Workforce &amp; Capacity Constraints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Tribal/Rural Capacity Constraints; Equity and Access Gaps</w:t>
            </w:r>
          </w:p>
        </w:tc>
        <w:tc>
          <w:tcPr>
            <w:tcW w:type="dxa" w:w="2080"/>
            <w:tcBorders>
              <w:top w:val="single" w:color="CCCCCC" w:sz="4"/>
              <w:left w:val="single" w:color="CCCCCC" w:sz="4"/>
              <w:bottom w:val="single" w:color="CCCCCC" w:sz="4"/>
              <w:right w:val="single" w:color="CCCCCC" w:sz="4"/>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HIGH — affects 574 tribes + rural counties in 40+ states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Open-access, modular design of GFDS V4 specifically enables self-administration without high-cost external consultants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Equity &amp; Access Gaps</w:t>
            </w:r>
          </w:p>
        </w:tc>
        <w:tc>
          <w:tcPr>
            <w:tcW w:type="dxa" w:w="3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Equity and Access Gaps; Tribal Capacity</w:t>
            </w:r>
          </w:p>
        </w:tc>
        <w:tc>
          <w:tcPr>
            <w:tcW w:type="dxa" w:w="208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r>
              <w:rPr>
                <w:rFonts w:ascii="Arial" w:cs="Arial" w:eastAsia="Arial" w:hAnsi="Arial"/>
                <w:b/>
                <w:bCs/>
                <w:color w:val="FFFFFF"/>
                <w:sz w:val="18"/>
                <w:szCs w:val="18"/>
              </w:rPr>
              <w:t xml:space="preserve">MODERATE-HIGH — embedded in program design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OMB M-21-19 alignment and distressed jurisdiction focus of petition directly address equity mandate</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D. NIW Framing Layer — Dhanasar National Importance Mapping</w:t>
      </w:r>
    </w:p>
    <w:p>
      <w:pPr>
        <w:spacing w:after="80" w:before="80"/>
      </w:pPr>
      <w:r>
        <w:rPr>
          <w:rFonts w:ascii="Arial" w:cs="Arial" w:eastAsia="Arial" w:hAnsi="Arial"/>
          <w:color w:val="000000"/>
          <w:sz w:val="20"/>
          <w:szCs w:val="20"/>
        </w:rPr>
        <w:t xml:space="preserve">The following table applies the </w:t>
      </w:r>
      <w:r>
        <w:rPr>
          <w:rFonts w:ascii="Arial" w:cs="Arial" w:eastAsia="Arial" w:hAnsi="Arial"/>
          <w:b/>
          <w:bCs/>
          <w:color w:val="000000"/>
          <w:sz w:val="20"/>
          <w:szCs w:val="20"/>
        </w:rPr>
        <w:t xml:space="preserve">Matter of Dhanasar</w:t>
      </w:r>
      <w:r>
        <w:rPr>
          <w:rFonts w:ascii="Arial" w:cs="Arial" w:eastAsia="Arial" w:hAnsi="Arial"/>
          <w:color w:val="000000"/>
          <w:sz w:val="20"/>
          <w:szCs w:val="20"/>
        </w:rPr>
        <w:t xml:space="preserve"> analytical framework to each of the Top 10 national problems, identifying the unmet need, the inadequacy of existing solutions, and the scalability gap that justifies a national interest waiver.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Problem (Ranked)</w:t>
            </w:r>
          </w:p>
        </w:tc>
        <w:tc>
          <w:tcPr>
            <w:tcW w:type="dxa" w:w="2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Unmet Need</w:t>
            </w:r>
          </w:p>
        </w:tc>
        <w:tc>
          <w:tcPr>
            <w:tcW w:type="dxa" w:w="2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Existing Solutions Insufficient</w:t>
            </w:r>
          </w:p>
        </w:tc>
        <w:tc>
          <w:tcPr>
            <w:tcW w:type="dxa" w:w="256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Scalability Gap</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#1 Improper Payments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Federal programs require automated payment integrity tools that can detect anomalies before disbursement rather than after audit.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Manual reviews and periodic auditing cycles cannot intercept the volume of transactions processed daily across federal programs.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A scalable AI-based anomaly detection platform deployable across all award recipients is absent from the current federal oversight ecosystem.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#2 Internal Control Deficiencies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Grantee organizations need structured, pre-mapped internal control frameworks that align directly with GAO Green Book and COSO standards.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Existing consulting solutions are high-cost, employer-specific, and non-replicable across the thousands of under-resourced grantees managing federal awards.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No open-access, modular internal control design tool aligned to federal standards is currently available for independent adoption by local and tribal governments.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#3 ERP Fragmentation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Recipients need low-cost, standards-aligned financial integration tools that connect grant management workflows with audit-ready reporting.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Commercial ERP vendors do not design for compliance-first, grant-specific workflows, leaving compliance gaps that neither the vendor nor grantee can systematically close.</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A modular ERP governance layer scalable across jurisdictions of varying size and technical capacity does not exist in the federal compliance ecosystem.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#4 2 CFR 200 Non-Compliance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Grantees need automated, real-time compliance verification tools that flag regulatory deviations before they result in disallowed costs.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Current compliance support is delivered through periodic OIG audits, TA providers, and consultants—none of which provide real-time automated compliance monitoring.</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A standardized compliance monitoring module deployable across all 2 CFR 200-regulated recipients has not been developed or distributed at national scale.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#5 Absent Real-Time Monitoring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Grantors and grantees need live financial dashboards that surface anomalies, milestone deviations, and compliance flags as they occur.</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Existing financial management systems used by grantees were not designed for real-time grant monitoring and lack the automated alert infrastructure needed for proactive oversight.</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No open-access real-time grant monitoring dashboard aligned to federal financial standards has been scaled to the multi-jurisdictional level.</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#6 Pre-Award Screening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Grant programs need AI-driven pre-award screening tools that detect duplicate entities, fabricated identities, and ineligible applicants at submission.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Manual pre-award screening cannot process the volume of applications received during large-scale programs and fails to cross-reference data across multiple agency systems.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An interoperable, scalable pre-award fraud screening tool accessible to grantors of varying technical capacity does not exist as a government-wide standard.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#7 Post-Award Transaction Monitoring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Recipients need continuous transaction monitoring engines that identify duplicate invoices, vendor anomalies, and abnormal payment patterns throughout the award period.</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Current post-award oversight relies on periodic financial reports and Single Audits, which occur too infrequently to detect and prevent in-progress fraud.</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A standardized, replicable post-award transaction monitoring system deployable by recipients without advanced technical infrastructure has not been developed.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#8 Audit Readiness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Recipients need structured, automated audit readiness frameworks that generate compliance documentation and control evidence continuously.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Technical assistance programs provide guidance but not automated tools; recipients must manually prepare audit packages, creating both inefficiency and documentation gaps.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An automated audit readiness system aligned to Single Audit and 2 CFR 200 requirements and scalable across all award recipients has not been deployed nationally.</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#9 Tribal/Rural Capacity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Under-resourced governments need low-cost, self-administered financial governance tools that do not require specialized consulting expertise.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Current TA programs require recipients to engage external consultants for compliance, creating dependency, cost barriers, and inconsistent outcomes across jurisdictions.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No modular, open-access governance toolkit has been designed specifically for tribal and rural recipients managing federal awards without dedicated compliance staff.</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#10 Equity/Access Gaps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Historically underserved communities need accessible financial governance infrastructure that enables competitive participation in federal award programs.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Program design and reporting requirements were developed for well-resourced institutional grantees, structurally disadvantaging smaller or lower-capacity organizations.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No equity-centered financial governance platform has been designed and scaled to reduce administrative barriers for disadvantaged communities accessing federal awards.</w:t>
            </w:r>
          </w:p>
        </w:tc>
      </w:tr>
    </w:tbl>
    <w:p>
      <w:pPr>
        <w:pageBreakBefore/>
      </w:pPr>
      <w:r>
        <w:rPr>
          <w:sz w:val="20"/>
          <w:szCs w:val="20"/>
        </w:rPr>
        <w:t xml:space="preserve"/>
      </w:r>
    </w:p>
    <w:p>
      <w:pPr>
        <w:pStyle w:val="Heading1"/>
        <w:spacing w:after="120" w:before="360"/>
      </w:pPr>
      <w:r>
        <w:rPr>
          <w:rFonts w:ascii="Arial" w:cs="Arial" w:eastAsia="Arial" w:hAnsi="Arial"/>
          <w:b/>
          <w:bCs/>
          <w:color w:val="1F3864"/>
          <w:sz w:val="32"/>
          <w:szCs w:val="32"/>
        </w:rPr>
        <w:t xml:space="preserve">PART II — USCIS ADJUDICATION ANALYSIS</w:t>
      </w:r>
    </w:p>
    <w:p>
      <w:pPr>
        <w:spacing w:after="80" w:before="0"/>
      </w:pPr>
      <w:r>
        <w:rPr>
          <w:rFonts w:ascii="Arial" w:cs="Arial" w:eastAsia="Arial" w:hAnsi="Arial"/>
          <w:b/>
          <w:bCs/>
          <w:i/>
          <w:iCs/>
          <w:color w:val="555555"/>
          <w:sz w:val="18"/>
          <w:szCs w:val="18"/>
        </w:rPr>
        <w:t xml:space="preserve">Role: USCIS Adjudicating Officer — Skeptical Review Under Matter of Dhanasar (AAO 2016)</w:t>
      </w:r>
    </w:p>
    <w:p>
      <w:pPr>
        <w:spacing w:after="100" w:before="0"/>
      </w:pPr>
      <w:r>
        <w:rPr>
          <w:rFonts w:ascii="Arial" w:cs="Arial" w:eastAsia="Arial" w:hAnsi="Arial"/>
          <w:color w:val="000000"/>
          <w:sz w:val="20"/>
          <w:szCs w:val="20"/>
        </w:rPr>
        <w:t xml:space="preserve">The following analysis applies the three-prong </w:t>
      </w:r>
      <w:r>
        <w:rPr>
          <w:rFonts w:ascii="Arial" w:cs="Arial" w:eastAsia="Arial" w:hAnsi="Arial"/>
          <w:b/>
          <w:bCs/>
          <w:color w:val="000000"/>
          <w:sz w:val="20"/>
          <w:szCs w:val="20"/>
        </w:rPr>
        <w:t xml:space="preserve">Matter of Dhanasar</w:t>
      </w:r>
      <w:r>
        <w:rPr>
          <w:rFonts w:ascii="Arial" w:cs="Arial" w:eastAsia="Arial" w:hAnsi="Arial"/>
          <w:color w:val="000000"/>
          <w:sz w:val="20"/>
          <w:szCs w:val="20"/>
        </w:rPr>
        <w:t xml:space="preserve"> standard to the petition as currently filed, applying a skeptical adjudicator lens and the preponderance of the evidence standard.</w:t>
      </w:r>
    </w:p>
    <w:p>
      <w:pPr>
        <w:pStyle w:val="Heading2"/>
        <w:spacing w:after="80" w:before="240"/>
      </w:pPr>
      <w:r>
        <w:rPr>
          <w:rFonts w:ascii="Arial" w:cs="Arial" w:eastAsia="Arial" w:hAnsi="Arial"/>
          <w:b/>
          <w:bCs/>
          <w:color w:val="2E75B6"/>
          <w:sz w:val="24"/>
          <w:szCs w:val="24"/>
        </w:rPr>
        <w:t xml:space="preserve">Prong 1: Substantial Merit and National Importance</w:t>
      </w:r>
    </w:p>
    <w:p>
      <w:pPr>
        <w:pBdr>
          <w:left w:val="thick" w:color="2E75B6" w:sz="24"/>
        </w:pBdr>
        <w:shd w:fill="D6E4F0" w:val="clear"/>
        <w:spacing w:after="80" w:before="80"/>
        <w:ind w:left="360" w:right="360"/>
      </w:pPr>
      <w:r>
        <w:rPr>
          <w:rFonts w:ascii="Arial" w:cs="Arial" w:eastAsia="Arial" w:hAnsi="Arial"/>
          <w:b/>
          <w:bCs/>
          <w:color w:val="000000"/>
          <w:sz w:val="20"/>
          <w:szCs w:val="20"/>
        </w:rPr>
        <w:t xml:space="preserve">Adjudicator Assessment: MEDIUM-STRONG (Approvable with Targeted Enhancement)</w:t>
      </w:r>
    </w:p>
    <w:p>
      <w:pPr>
        <w:spacing w:after="0" w:before="60"/>
      </w:pPr>
      <w:r>
        <w:t xml:space="preserve"/>
      </w:r>
    </w:p>
    <w:p>
      <w:pPr>
        <w:spacing w:after="40" w:before="60"/>
      </w:pPr>
      <w:r>
        <w:rPr>
          <w:rFonts w:ascii="Arial" w:cs="Arial" w:eastAsia="Arial" w:hAnsi="Arial"/>
          <w:b/>
          <w:bCs/>
          <w:color w:val="000000"/>
          <w:sz w:val="20"/>
          <w:szCs w:val="20"/>
        </w:rPr>
        <w:t xml:space="preserve">Strengths:</w:t>
      </w:r>
    </w:p>
    <w:p>
      <w:pPr>
        <w:pStyle w:val="ListParagraph"/>
        <w:numPr>
          <w:ilvl w:val="0"/>
          <w:numId w:val="3"/>
        </w:numPr>
        <w:spacing w:after="40" w:before="40"/>
      </w:pPr>
      <w:r>
        <w:rPr>
          <w:rFonts w:ascii="Arial" w:cs="Arial" w:eastAsia="Arial" w:hAnsi="Arial"/>
          <w:sz w:val="20"/>
          <w:szCs w:val="20"/>
        </w:rPr>
        <w:t xml:space="preserve">The petition correctly identifies a documented national problem — improper federal payments exceeding $236B annually.</w:t>
      </w:r>
    </w:p>
    <w:p>
      <w:pPr>
        <w:pStyle w:val="ListParagraph"/>
        <w:numPr>
          <w:ilvl w:val="0"/>
          <w:numId w:val="3"/>
        </w:numPr>
        <w:spacing w:after="40" w:before="40"/>
      </w:pPr>
      <w:r>
        <w:rPr>
          <w:rFonts w:ascii="Arial" w:cs="Arial" w:eastAsia="Arial" w:hAnsi="Arial"/>
          <w:sz w:val="20"/>
          <w:szCs w:val="20"/>
        </w:rPr>
        <w:t xml:space="preserve">Alignment with IIJA, IRA, and OMB M-21-19 anchors the endeavor to active legislative priorities.</w:t>
      </w:r>
    </w:p>
    <w:p>
      <w:pPr>
        <w:pStyle w:val="ListParagraph"/>
        <w:numPr>
          <w:ilvl w:val="0"/>
          <w:numId w:val="3"/>
        </w:numPr>
        <w:spacing w:after="40" w:before="40"/>
      </w:pPr>
      <w:r>
        <w:rPr>
          <w:rFonts w:ascii="Arial" w:cs="Arial" w:eastAsia="Arial" w:hAnsi="Arial"/>
          <w:sz w:val="20"/>
          <w:szCs w:val="20"/>
        </w:rPr>
        <w:t xml:space="preserve">The GFDS V4 framework addresses identifiable gaps across all stages of the grant lifecycle: pre-award screening, post-award monitoring, and closeout reconciliation.</w:t>
      </w:r>
    </w:p>
    <w:p>
      <w:pPr>
        <w:pStyle w:val="ListParagraph"/>
        <w:numPr>
          <w:ilvl w:val="0"/>
          <w:numId w:val="3"/>
        </w:numPr>
        <w:spacing w:after="40" w:before="40"/>
      </w:pPr>
      <w:r>
        <w:rPr>
          <w:rFonts w:ascii="Arial" w:cs="Arial" w:eastAsia="Arial" w:hAnsi="Arial"/>
          <w:sz w:val="20"/>
          <w:szCs w:val="20"/>
        </w:rPr>
        <w:t xml:space="preserve">GAO and PRAC report citations (GAO-23-105678; PRAC 2023) are credible and adjudicator-recognized.</w:t>
      </w:r>
    </w:p>
    <w:p>
      <w:pPr>
        <w:spacing w:after="0" w:before="60"/>
      </w:pPr>
      <w:r>
        <w:t xml:space="preserve"/>
      </w:r>
    </w:p>
    <w:p>
      <w:pPr>
        <w:spacing w:after="40" w:before="60"/>
      </w:pPr>
      <w:r>
        <w:rPr>
          <w:rFonts w:ascii="Arial" w:cs="Arial" w:eastAsia="Arial" w:hAnsi="Arial"/>
          <w:b/>
          <w:bCs/>
          <w:color w:val="000000"/>
          <w:sz w:val="20"/>
          <w:szCs w:val="20"/>
        </w:rPr>
        <w:t xml:space="preserve">Weaknesses Identified:</w:t>
      </w:r>
    </w:p>
    <w:p>
      <w:pPr>
        <w:pStyle w:val="ListParagraph"/>
        <w:numPr>
          <w:ilvl w:val="0"/>
          <w:numId w:val="3"/>
        </w:numPr>
        <w:spacing w:after="40" w:before="40"/>
      </w:pPr>
      <w:r>
        <w:rPr>
          <w:rFonts w:ascii="Arial" w:cs="Arial" w:eastAsia="Arial" w:hAnsi="Arial"/>
          <w:sz w:val="20"/>
          <w:szCs w:val="20"/>
        </w:rPr>
        <w:t xml:space="preserve">National importance claims are often asserted rather than quantified directly within the petition narrative. The adjudicator reads the petition letter — not footnotes — as the primary argument.</w:t>
      </w:r>
    </w:p>
    <w:p>
      <w:pPr>
        <w:pStyle w:val="ListParagraph"/>
        <w:numPr>
          <w:ilvl w:val="0"/>
          <w:numId w:val="3"/>
        </w:numPr>
        <w:spacing w:after="40" w:before="40"/>
      </w:pPr>
      <w:r>
        <w:rPr>
          <w:rFonts w:ascii="Arial" w:cs="Arial" w:eastAsia="Arial" w:hAnsi="Arial"/>
          <w:sz w:val="20"/>
          <w:szCs w:val="20"/>
        </w:rPr>
        <w:t xml:space="preserve">No explicit 'market failure' argument establishes why private sector solutions or existing TA programs have not addressed these problems.</w:t>
      </w:r>
    </w:p>
    <w:p>
      <w:pPr>
        <w:pStyle w:val="ListParagraph"/>
        <w:numPr>
          <w:ilvl w:val="0"/>
          <w:numId w:val="3"/>
        </w:numPr>
        <w:spacing w:after="40" w:before="40"/>
      </w:pPr>
      <w:r>
        <w:rPr>
          <w:rFonts w:ascii="Arial" w:cs="Arial" w:eastAsia="Arial" w:hAnsi="Arial"/>
          <w:sz w:val="20"/>
          <w:szCs w:val="20"/>
        </w:rPr>
        <w:t xml:space="preserve">The petition does not distinguish GFDS V4 from existing commercial grant management solutions (eCivis, Workday Grants, SAP), which risks an adjudicator concluding the proposed endeavor duplicates existing tools.</w:t>
      </w:r>
    </w:p>
    <w:p>
      <w:pPr>
        <w:pStyle w:val="ListParagraph"/>
        <w:numPr>
          <w:ilvl w:val="0"/>
          <w:numId w:val="3"/>
        </w:numPr>
        <w:spacing w:after="40" w:before="40"/>
      </w:pPr>
      <w:r>
        <w:rPr>
          <w:rFonts w:ascii="Arial" w:cs="Arial" w:eastAsia="Arial" w:hAnsi="Arial"/>
          <w:sz w:val="20"/>
          <w:szCs w:val="20"/>
        </w:rPr>
        <w:t xml:space="preserve">Several GAO report citations in footnotes appear incomplete (e.g., GAO-23-105678 cited but key finding statistics not embedded in text).</w:t>
      </w:r>
    </w:p>
    <w:p>
      <w:pPr>
        <w:spacing w:after="0" w:before="100"/>
      </w:pPr>
      <w:r>
        <w:t xml:space="preserve"/>
      </w:r>
    </w:p>
    <w:p>
      <w:pPr>
        <w:pStyle w:val="Heading2"/>
        <w:spacing w:after="80" w:before="240"/>
      </w:pPr>
      <w:r>
        <w:rPr>
          <w:rFonts w:ascii="Arial" w:cs="Arial" w:eastAsia="Arial" w:hAnsi="Arial"/>
          <w:b/>
          <w:bCs/>
          <w:color w:val="2E75B6"/>
          <w:sz w:val="24"/>
          <w:szCs w:val="24"/>
        </w:rPr>
        <w:t xml:space="preserve">Prong 2: Petitioner Is Well Positioned to Advance the Proposed Endeavor</w:t>
      </w:r>
    </w:p>
    <w:p>
      <w:pPr>
        <w:pBdr>
          <w:left w:val="thick" w:color="375623" w:sz="24"/>
        </w:pBdr>
        <w:shd w:fill="D6E4F0" w:val="clear"/>
        <w:spacing w:after="80" w:before="80"/>
        <w:ind w:left="360" w:right="360"/>
      </w:pPr>
      <w:r>
        <w:rPr>
          <w:rFonts w:ascii="Arial" w:cs="Arial" w:eastAsia="Arial" w:hAnsi="Arial"/>
          <w:b/>
          <w:bCs/>
          <w:color w:val="000000"/>
          <w:sz w:val="20"/>
          <w:szCs w:val="20"/>
        </w:rPr>
        <w:t xml:space="preserve">Adjudicator Assessment: STRONG</w:t>
      </w:r>
    </w:p>
    <w:p>
      <w:pPr>
        <w:spacing w:after="0" w:before="60"/>
      </w:pPr>
      <w:r>
        <w:t xml:space="preserve"/>
      </w:r>
    </w:p>
    <w:p>
      <w:pPr>
        <w:spacing w:after="40" w:before="60"/>
      </w:pPr>
      <w:r>
        <w:rPr>
          <w:rFonts w:ascii="Arial" w:cs="Arial" w:eastAsia="Arial" w:hAnsi="Arial"/>
          <w:b/>
          <w:bCs/>
          <w:color w:val="000000"/>
          <w:sz w:val="20"/>
          <w:szCs w:val="20"/>
        </w:rPr>
        <w:t xml:space="preserve">Strengths:</w:t>
      </w:r>
    </w:p>
    <w:p>
      <w:pPr>
        <w:pStyle w:val="ListParagraph"/>
        <w:numPr>
          <w:ilvl w:val="0"/>
          <w:numId w:val="3"/>
        </w:numPr>
        <w:spacing w:after="40" w:before="40"/>
      </w:pPr>
      <w:r>
        <w:rPr>
          <w:rFonts w:ascii="Arial" w:cs="Arial" w:eastAsia="Arial" w:hAnsi="Arial"/>
          <w:sz w:val="20"/>
          <w:szCs w:val="20"/>
        </w:rPr>
        <w:t xml:space="preserve">Three globally recognized credentials: FCA (ICAP), FCCA (ACCA-UK), CFA (CFA Institute USA) — the CFA designation is U.S.-awarded and directly relevant.</w:t>
      </w:r>
    </w:p>
    <w:p>
      <w:pPr>
        <w:pStyle w:val="ListParagraph"/>
        <w:numPr>
          <w:ilvl w:val="0"/>
          <w:numId w:val="3"/>
        </w:numPr>
        <w:spacing w:after="40" w:before="40"/>
      </w:pPr>
      <w:r>
        <w:rPr>
          <w:rFonts w:ascii="Arial" w:cs="Arial" w:eastAsia="Arial" w:hAnsi="Arial"/>
          <w:sz w:val="20"/>
          <w:szCs w:val="20"/>
        </w:rPr>
        <w:t xml:space="preserve">17+ years of progressive financial governance experience at large infrastructure entities (KAEC $15B, Red Sea Global, PwC).</w:t>
      </w:r>
    </w:p>
    <w:p>
      <w:pPr>
        <w:pStyle w:val="ListParagraph"/>
        <w:numPr>
          <w:ilvl w:val="0"/>
          <w:numId w:val="3"/>
        </w:numPr>
        <w:spacing w:after="40" w:before="40"/>
      </w:pPr>
      <w:r>
        <w:rPr>
          <w:rFonts w:ascii="Arial" w:cs="Arial" w:eastAsia="Arial" w:hAnsi="Arial"/>
          <w:sz w:val="20"/>
          <w:szCs w:val="20"/>
        </w:rPr>
        <w:t xml:space="preserve">ECCTIS benchmarking to UK RQF Level 7 (master's equivalent) satisfies 8 CFR §204.5(k)(2) advanced degree equivalency.</w:t>
      </w:r>
    </w:p>
    <w:p>
      <w:pPr>
        <w:pStyle w:val="ListParagraph"/>
        <w:numPr>
          <w:ilvl w:val="0"/>
          <w:numId w:val="3"/>
        </w:numPr>
        <w:spacing w:after="40" w:before="40"/>
      </w:pPr>
      <w:r>
        <w:rPr>
          <w:rFonts w:ascii="Arial" w:cs="Arial" w:eastAsia="Arial" w:hAnsi="Arial"/>
          <w:sz w:val="20"/>
          <w:szCs w:val="20"/>
        </w:rPr>
        <w:t xml:space="preserve">Five expert letters from senior professionals with direct supervisory knowledge, all signed, dated, and on organizational letterhead.</w:t>
      </w:r>
    </w:p>
    <w:p>
      <w:pPr>
        <w:pStyle w:val="ListParagraph"/>
        <w:numPr>
          <w:ilvl w:val="0"/>
          <w:numId w:val="3"/>
        </w:numPr>
        <w:spacing w:after="40" w:before="40"/>
      </w:pPr>
      <w:r>
        <w:rPr>
          <w:rFonts w:ascii="Arial" w:cs="Arial" w:eastAsia="Arial" w:hAnsi="Arial"/>
          <w:sz w:val="20"/>
          <w:szCs w:val="20"/>
        </w:rPr>
        <w:t xml:space="preserve">Specific evidence of innovation: COSO-aligned dashboard, ERP governance framework, AI anomaly detection prototype.</w:t>
      </w:r>
    </w:p>
    <w:p>
      <w:pPr>
        <w:spacing w:after="0" w:before="60"/>
      </w:pPr>
      <w:r>
        <w:t xml:space="preserve"/>
      </w:r>
    </w:p>
    <w:p>
      <w:pPr>
        <w:spacing w:after="40" w:before="60"/>
      </w:pPr>
      <w:r>
        <w:rPr>
          <w:rFonts w:ascii="Arial" w:cs="Arial" w:eastAsia="Arial" w:hAnsi="Arial"/>
          <w:b/>
          <w:bCs/>
          <w:color w:val="000000"/>
          <w:sz w:val="20"/>
          <w:szCs w:val="20"/>
        </w:rPr>
        <w:t xml:space="preserve">Weaknesses Identified:</w:t>
      </w:r>
    </w:p>
    <w:p>
      <w:pPr>
        <w:pStyle w:val="ListParagraph"/>
        <w:numPr>
          <w:ilvl w:val="0"/>
          <w:numId w:val="3"/>
        </w:numPr>
        <w:spacing w:after="40" w:before="40"/>
      </w:pPr>
      <w:r>
        <w:rPr>
          <w:rFonts w:ascii="Arial" w:cs="Arial" w:eastAsia="Arial" w:hAnsi="Arial"/>
          <w:sz w:val="20"/>
          <w:szCs w:val="20"/>
        </w:rPr>
        <w:t xml:space="preserve">All expert letter signatories are non-U.S.-based. USCIS adjudicators may discount foreign expert letters when evaluating U.S. market positioning.</w:t>
      </w:r>
    </w:p>
    <w:p>
      <w:pPr>
        <w:pStyle w:val="ListParagraph"/>
        <w:numPr>
          <w:ilvl w:val="0"/>
          <w:numId w:val="3"/>
        </w:numPr>
        <w:spacing w:after="40" w:before="40"/>
      </w:pPr>
      <w:r>
        <w:rPr>
          <w:rFonts w:ascii="Arial" w:cs="Arial" w:eastAsia="Arial" w:hAnsi="Arial"/>
          <w:sz w:val="20"/>
          <w:szCs w:val="20"/>
        </w:rPr>
        <w:t xml:space="preserve">No evidence of engagement with U.S. professional organizations (GFOA, AGA, AICPA), U.S. publications, or U.S. conference presentations.</w:t>
      </w:r>
    </w:p>
    <w:p>
      <w:pPr>
        <w:pStyle w:val="ListParagraph"/>
        <w:numPr>
          <w:ilvl w:val="0"/>
          <w:numId w:val="3"/>
        </w:numPr>
        <w:spacing w:after="40" w:before="40"/>
      </w:pPr>
      <w:r>
        <w:rPr>
          <w:rFonts w:ascii="Arial" w:cs="Arial" w:eastAsia="Arial" w:hAnsi="Arial"/>
          <w:sz w:val="20"/>
          <w:szCs w:val="20"/>
        </w:rPr>
        <w:t xml:space="preserve">The petition does not address the petitioner's current immigration status or visa history, which adjudicators review to assess good faith.</w:t>
      </w:r>
    </w:p>
    <w:p>
      <w:pPr>
        <w:spacing w:after="0" w:before="100"/>
      </w:pPr>
      <w:r>
        <w:t xml:space="preserve"/>
      </w:r>
    </w:p>
    <w:p>
      <w:pPr>
        <w:pStyle w:val="Heading2"/>
        <w:spacing w:after="80" w:before="240"/>
      </w:pPr>
      <w:r>
        <w:rPr>
          <w:rFonts w:ascii="Arial" w:cs="Arial" w:eastAsia="Arial" w:hAnsi="Arial"/>
          <w:b/>
          <w:bCs/>
          <w:color w:val="2E75B6"/>
          <w:sz w:val="24"/>
          <w:szCs w:val="24"/>
        </w:rPr>
        <w:t xml:space="preserve">Prong 3: On Balance, the United States Benefits from Waiving the Job Offer Requirement</w:t>
      </w:r>
    </w:p>
    <w:p>
      <w:pPr>
        <w:pBdr>
          <w:left w:val="thick" w:color="C55A11" w:sz="24"/>
        </w:pBdr>
        <w:shd w:fill="F2F2F2" w:val="clear"/>
        <w:spacing w:after="80" w:before="80"/>
        <w:ind w:left="360" w:right="360"/>
      </w:pPr>
      <w:r>
        <w:rPr>
          <w:rFonts w:ascii="Arial" w:cs="Arial" w:eastAsia="Arial" w:hAnsi="Arial"/>
          <w:b/>
          <w:bCs/>
          <w:color w:val="000000"/>
          <w:sz w:val="20"/>
          <w:szCs w:val="20"/>
        </w:rPr>
        <w:t xml:space="preserve">Adjudicator Assessment: MEDIUM (Requires Reinforcement)</w:t>
      </w:r>
    </w:p>
    <w:p>
      <w:pPr>
        <w:spacing w:after="0" w:before="60"/>
      </w:pPr>
      <w:r>
        <w:t xml:space="preserve"/>
      </w:r>
    </w:p>
    <w:p>
      <w:pPr>
        <w:spacing w:after="40" w:before="60"/>
      </w:pPr>
      <w:r>
        <w:rPr>
          <w:rFonts w:ascii="Arial" w:cs="Arial" w:eastAsia="Arial" w:hAnsi="Arial"/>
          <w:b/>
          <w:bCs/>
          <w:color w:val="000000"/>
          <w:sz w:val="20"/>
          <w:szCs w:val="20"/>
        </w:rPr>
        <w:t xml:space="preserve">Strengths:</w:t>
      </w:r>
    </w:p>
    <w:p>
      <w:pPr>
        <w:pStyle w:val="ListParagraph"/>
        <w:numPr>
          <w:ilvl w:val="0"/>
          <w:numId w:val="3"/>
        </w:numPr>
        <w:spacing w:after="40" w:before="40"/>
      </w:pPr>
      <w:r>
        <w:rPr>
          <w:rFonts w:ascii="Arial" w:cs="Arial" w:eastAsia="Arial" w:hAnsi="Arial"/>
          <w:sz w:val="20"/>
          <w:szCs w:val="20"/>
        </w:rPr>
        <w:t xml:space="preserve">The petition correctly frames the endeavor as architectural and cross-jurisdictional — not tied to a single employer.</w:t>
      </w:r>
    </w:p>
    <w:p>
      <w:pPr>
        <w:pStyle w:val="ListParagraph"/>
        <w:numPr>
          <w:ilvl w:val="0"/>
          <w:numId w:val="3"/>
        </w:numPr>
        <w:spacing w:after="40" w:before="40"/>
      </w:pPr>
      <w:r>
        <w:rPr>
          <w:rFonts w:ascii="Arial" w:cs="Arial" w:eastAsia="Arial" w:hAnsi="Arial"/>
          <w:sz w:val="20"/>
          <w:szCs w:val="20"/>
        </w:rPr>
        <w:t xml:space="preserve">The open-access, modular design of GFDS V4 supports the argument that requiring a labor certification would constrain cross-jurisdictional deployment.</w:t>
      </w:r>
    </w:p>
    <w:p>
      <w:pPr>
        <w:pStyle w:val="ListParagraph"/>
        <w:numPr>
          <w:ilvl w:val="0"/>
          <w:numId w:val="3"/>
        </w:numPr>
        <w:spacing w:after="40" w:before="40"/>
      </w:pPr>
      <w:r>
        <w:rPr>
          <w:rFonts w:ascii="Arial" w:cs="Arial" w:eastAsia="Arial" w:hAnsi="Arial"/>
          <w:sz w:val="20"/>
          <w:szCs w:val="20"/>
        </w:rPr>
        <w:t xml:space="preserve">The argument that petitioner does not displace U.S. workers but enhances institutional capabilities is legally sound.</w:t>
      </w:r>
    </w:p>
    <w:p>
      <w:pPr>
        <w:spacing w:after="0" w:before="60"/>
      </w:pPr>
      <w:r>
        <w:t xml:space="preserve"/>
      </w:r>
    </w:p>
    <w:p>
      <w:pPr>
        <w:spacing w:after="40" w:before="60"/>
      </w:pPr>
      <w:r>
        <w:rPr>
          <w:rFonts w:ascii="Arial" w:cs="Arial" w:eastAsia="Arial" w:hAnsi="Arial"/>
          <w:b/>
          <w:bCs/>
          <w:color w:val="000000"/>
          <w:sz w:val="20"/>
          <w:szCs w:val="20"/>
        </w:rPr>
        <w:t xml:space="preserve">Weaknesses Identified:</w:t>
      </w:r>
    </w:p>
    <w:p>
      <w:pPr>
        <w:pStyle w:val="ListParagraph"/>
        <w:numPr>
          <w:ilvl w:val="0"/>
          <w:numId w:val="3"/>
        </w:numPr>
        <w:spacing w:after="40" w:before="40"/>
      </w:pPr>
      <w:r>
        <w:rPr>
          <w:rFonts w:ascii="Arial" w:cs="Arial" w:eastAsia="Arial" w:hAnsi="Arial"/>
          <w:sz w:val="20"/>
          <w:szCs w:val="20"/>
        </w:rPr>
        <w:t xml:space="preserve">No evidence of existing institutional interest from any U.S. entity. Prong 3 is significantly weakened without at least one U.S. letter of interest, MOU, or advisory engagement.</w:t>
      </w:r>
    </w:p>
    <w:p>
      <w:pPr>
        <w:pStyle w:val="ListParagraph"/>
        <w:numPr>
          <w:ilvl w:val="0"/>
          <w:numId w:val="3"/>
        </w:numPr>
        <w:spacing w:after="40" w:before="40"/>
      </w:pPr>
      <w:r>
        <w:rPr>
          <w:rFonts w:ascii="Arial" w:cs="Arial" w:eastAsia="Arial" w:hAnsi="Arial"/>
          <w:sz w:val="20"/>
          <w:szCs w:val="20"/>
        </w:rPr>
        <w:t xml:space="preserve">The deployment roadmap is entirely prospective (Months 1–24+). USCIS may question whether petitioner has the demonstrated capacity to execute independently without employer infrastructure.</w:t>
      </w:r>
    </w:p>
    <w:p>
      <w:pPr>
        <w:pStyle w:val="ListParagraph"/>
        <w:numPr>
          <w:ilvl w:val="0"/>
          <w:numId w:val="3"/>
        </w:numPr>
        <w:spacing w:after="40" w:before="40"/>
      </w:pPr>
      <w:r>
        <w:rPr>
          <w:rFonts w:ascii="Arial" w:cs="Arial" w:eastAsia="Arial" w:hAnsi="Arial"/>
          <w:sz w:val="20"/>
          <w:szCs w:val="20"/>
        </w:rPr>
        <w:t xml:space="preserve">The petition does not address the possibility that a U.S. worker could perform the same role — the 'U.S. workers not readily available' argument is implied but not made explicitly.</w:t>
      </w:r>
    </w:p>
    <w:p>
      <w:pPr>
        <w:pStyle w:val="ListParagraph"/>
        <w:numPr>
          <w:ilvl w:val="0"/>
          <w:numId w:val="3"/>
        </w:numPr>
        <w:spacing w:after="40" w:before="40"/>
      </w:pPr>
      <w:r>
        <w:rPr>
          <w:rFonts w:ascii="Arial" w:cs="Arial" w:eastAsia="Arial" w:hAnsi="Arial"/>
          <w:sz w:val="20"/>
          <w:szCs w:val="20"/>
        </w:rPr>
        <w:t xml:space="preserve">No evidence that petitioner has identified specific U.S. program offices, municipalities, housing authorities, or tribal governments as target deployment partners.</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Overall Probability Assessment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Dhanasar Prong</w:t>
            </w:r>
          </w:p>
        </w:tc>
        <w:tc>
          <w:tcPr>
            <w:tcW w:type="dxa" w:w="156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Estimated Strength (Current Filing)</w:t>
            </w:r>
          </w:p>
        </w:tc>
        <w:tc>
          <w:tcPr>
            <w:tcW w:type="dxa" w:w="54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Reasoning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Prong 1: Substantial Merit &amp; National Importance</w:t>
            </w:r>
          </w:p>
        </w:tc>
        <w:tc>
          <w:tcPr>
            <w:tcW w:type="dxa" w:w="1560"/>
            <w:tcBorders>
              <w:top w:val="single" w:color="CCCCCC" w:sz="4"/>
              <w:left w:val="single" w:color="CCCCCC" w:sz="4"/>
              <w:bottom w:val="single" w:color="CCCCCC" w:sz="4"/>
              <w:right w:val="single" w:color="CCCCCC" w:sz="4"/>
            </w:tcBorders>
            <w:shd w:fill="1F6B75"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MEDIUM-STRONG</w:t>
            </w:r>
          </w:p>
        </w:tc>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The petition cites credible federal reports and identifies documented systemic problems. However, claims of national importance would benefit from direct quotation of key GAO/PRAC statistics and a more explicit market-failure argument. The system's alignment with IIJA and IRA spending cycles strengthens this prong substantially.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Prong 2: Well Positioned to Advance</w:t>
            </w:r>
          </w:p>
        </w:tc>
        <w:tc>
          <w:tcPr>
            <w:tcW w:type="dxa" w:w="156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STRONG</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This is the petition's strongest prong. Petitioner holds FCA, FCCA, and CFA credentials; 17+ years of progressive experience; senior-level design of governance tools at a $15B infrastructure project; and five expert letters from supervisors with direct knowledge. The ECCTIS benchmarking strengthens E21 credentialing.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Prong 3: Benefit from Waiving Labor Certification</w:t>
            </w:r>
          </w:p>
        </w:tc>
        <w:tc>
          <w:tcPr>
            <w:tcW w:type="dxa" w:w="156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MEDIUM</w:t>
            </w:r>
          </w:p>
        </w:tc>
        <w:tc>
          <w:tcPr>
            <w:tcW w:type="dxa" w:w="5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The argument that the endeavor is architectural and cross-jurisdictional is legally sound, but needs reinforcement. USCIS adjudicators will scrutinize whether petitioner can realistically deploy tools independently without a U.S. employer. Evidence of pilot commitments, MOU letters, or advisory relationships with U.S. entities would significantly strengthen this prong.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Overall Approval Probability (Current Filing)</w:t>
            </w:r>
          </w:p>
        </w:tc>
        <w:tc>
          <w:tcPr>
            <w:tcW w:type="dxa" w:w="156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~60–65%</w:t>
            </w:r>
          </w:p>
        </w:tc>
        <w:tc>
          <w:tcPr>
            <w:tcW w:type="dxa" w:w="5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With current evidence, there is meaningful risk of an RFE on Prong 1 (national importance specificity) and Prong 3 (independence / execution pathway). The filing is approvable with targeted enhancement of national importance quantification, addition of a U.S.-based expert letter, and Prong 3 corroborating evidence.</w:t>
            </w:r>
          </w:p>
        </w:tc>
      </w:tr>
    </w:tbl>
    <w:p>
      <w:pPr>
        <w:pageBreakBefore/>
      </w:pPr>
      <w:r>
        <w:rPr>
          <w:sz w:val="20"/>
          <w:szCs w:val="20"/>
        </w:rPr>
        <w:t xml:space="preserve"/>
      </w:r>
    </w:p>
    <w:p>
      <w:pPr>
        <w:pStyle w:val="Heading1"/>
        <w:spacing w:after="120" w:before="360"/>
      </w:pPr>
      <w:r>
        <w:rPr>
          <w:rFonts w:ascii="Arial" w:cs="Arial" w:eastAsia="Arial" w:hAnsi="Arial"/>
          <w:b/>
          <w:bCs/>
          <w:color w:val="1F3864"/>
          <w:sz w:val="32"/>
          <w:szCs w:val="32"/>
        </w:rPr>
        <w:t xml:space="preserve">PART III — SIMULATED USCIS REQUEST FOR EVIDENCE (RFE)</w:t>
      </w:r>
    </w:p>
    <w:p>
      <w:pPr>
        <w:spacing w:after="80" w:before="0"/>
      </w:pPr>
      <w:r>
        <w:rPr>
          <w:rFonts w:ascii="Arial" w:cs="Arial" w:eastAsia="Arial" w:hAnsi="Arial"/>
          <w:b/>
          <w:bCs/>
          <w:i/>
          <w:iCs/>
          <w:color w:val="555555"/>
          <w:sz w:val="18"/>
          <w:szCs w:val="18"/>
        </w:rPr>
        <w:t xml:space="preserve">Role: USCIS RFE Drafting Officer — Structured per USCIS RFE Format Standards</w:t>
      </w:r>
    </w:p>
    <w:p>
      <w:pPr>
        <w:pBdr>
          <w:bottom w:val="single" w:color="2E75B6" w:sz="6" w:space="1"/>
        </w:pBdr>
        <w:spacing w:after="120" w:before="120"/>
      </w:pPr>
      <w:r>
        <w:t xml:space="preserve"/>
      </w:r>
    </w:p>
    <w:p>
      <w:pPr>
        <w:spacing w:after="20" w:before="80"/>
        <w:jc w:val="center"/>
      </w:pPr>
      <w:r>
        <w:rPr>
          <w:rFonts w:ascii="Arial" w:cs="Arial" w:eastAsia="Arial" w:hAnsi="Arial"/>
          <w:b/>
          <w:bCs/>
          <w:sz w:val="20"/>
          <w:szCs w:val="20"/>
        </w:rPr>
        <w:t xml:space="preserve">U.S. DEPARTMENT OF HOMELAND SECURITY</w:t>
      </w:r>
    </w:p>
    <w:p>
      <w:pPr>
        <w:spacing w:after="20" w:before="0"/>
        <w:jc w:val="center"/>
      </w:pPr>
      <w:r>
        <w:rPr>
          <w:rFonts w:ascii="Arial" w:cs="Arial" w:eastAsia="Arial" w:hAnsi="Arial"/>
          <w:b/>
          <w:bCs/>
          <w:sz w:val="20"/>
          <w:szCs w:val="20"/>
        </w:rPr>
        <w:t xml:space="preserve">U.S. CITIZENSHIP AND IMMIGRATION SERVICES</w:t>
      </w:r>
    </w:p>
    <w:p>
      <w:pPr>
        <w:spacing w:after="40" w:before="20"/>
        <w:jc w:val="center"/>
      </w:pPr>
      <w:r>
        <w:rPr>
          <w:rFonts w:ascii="Arial" w:cs="Arial" w:eastAsia="Arial" w:hAnsi="Arial"/>
          <w:b/>
          <w:bCs/>
          <w:color w:val="C00000"/>
          <w:sz w:val="24"/>
          <w:szCs w:val="24"/>
        </w:rPr>
        <w:t xml:space="preserve">FORM I-140 REQUEST FOR EVIDENCE</w:t>
      </w:r>
    </w:p>
    <w:p>
      <w:pPr>
        <w:pBdr>
          <w:bottom w:val="single" w:color="2E75B6" w:sz="6" w:space="1"/>
        </w:pBdr>
        <w:spacing w:after="120" w:before="120"/>
      </w:pPr>
      <w:r>
        <w:t xml:space="preserve"/>
      </w:r>
    </w:p>
    <w:p>
      <w:pPr>
        <w:spacing w:after="20" w:before="80"/>
      </w:pPr>
      <w:r>
        <w:rPr>
          <w:rFonts w:ascii="Arial" w:cs="Arial" w:eastAsia="Arial" w:hAnsi="Arial"/>
          <w:sz w:val="20"/>
          <w:szCs w:val="20"/>
        </w:rPr>
        <w:t xml:space="preserve">Petition Type: Immigrant Petition for Alien Workers (Form I-140)</w:t>
      </w:r>
    </w:p>
    <w:p>
      <w:pPr>
        <w:spacing w:after="20" w:before="0"/>
      </w:pPr>
      <w:r>
        <w:rPr>
          <w:rFonts w:ascii="Arial" w:cs="Arial" w:eastAsia="Arial" w:hAnsi="Arial"/>
          <w:sz w:val="20"/>
          <w:szCs w:val="20"/>
        </w:rPr>
        <w:t xml:space="preserve">Classification Sought: EB-2, National Interest Waiver under INA §203(b)(2)(B)</w:t>
      </w:r>
    </w:p>
    <w:p>
      <w:pPr>
        <w:spacing w:after="20" w:before="0"/>
      </w:pPr>
      <w:r>
        <w:rPr>
          <w:rFonts w:ascii="Arial" w:cs="Arial" w:eastAsia="Arial" w:hAnsi="Arial"/>
          <w:sz w:val="20"/>
          <w:szCs w:val="20"/>
        </w:rPr>
        <w:t xml:space="preserve">Petitioner: Muhammad Bilal</w:t>
      </w:r>
    </w:p>
    <w:p>
      <w:pPr>
        <w:spacing w:after="80" w:before="0"/>
      </w:pPr>
      <w:r>
        <w:rPr>
          <w:rFonts w:ascii="Arial" w:cs="Arial" w:eastAsia="Arial" w:hAnsi="Arial"/>
          <w:b/>
          <w:bCs/>
          <w:color w:val="C00000"/>
          <w:sz w:val="20"/>
          <w:szCs w:val="20"/>
        </w:rPr>
        <w:t xml:space="preserve">Response Deadline: 87 days from date of this notice</w:t>
      </w:r>
    </w:p>
    <w:p>
      <w:pPr>
        <w:pBdr>
          <w:bottom w:val="single" w:color="2E75B6" w:sz="6" w:space="1"/>
        </w:pBdr>
        <w:spacing w:after="120" w:before="120"/>
      </w:pPr>
      <w:r>
        <w:t xml:space="preserve"/>
      </w:r>
    </w:p>
    <w:p>
      <w:pPr>
        <w:pBdr>
          <w:left w:val="thick" w:color="C55A11" w:sz="24"/>
        </w:pBdr>
        <w:shd w:fill="F2F2F2" w:val="clear"/>
        <w:spacing w:after="80" w:before="80"/>
        <w:ind w:left="360" w:right="360"/>
      </w:pPr>
      <w:r>
        <w:rPr>
          <w:rFonts w:ascii="Arial" w:cs="Arial" w:eastAsia="Arial" w:hAnsi="Arial"/>
          <w:b/>
          <w:bCs/>
          <w:color w:val="000000"/>
          <w:sz w:val="20"/>
          <w:szCs w:val="20"/>
        </w:rPr>
        <w:t xml:space="preserve">PRELIMINARY STATEMENT: </w:t>
      </w:r>
      <w:r>
        <w:rPr>
          <w:rFonts w:ascii="Arial" w:cs="Arial" w:eastAsia="Arial" w:hAnsi="Arial"/>
          <w:color w:val="000000"/>
          <w:sz w:val="20"/>
          <w:szCs w:val="20"/>
        </w:rPr>
        <w:t xml:space="preserve">A review of the petition and supporting documentation indicates that the record does not establish, by a preponderance of the evidence, that the petitioner meets all three prongs of the national interest waiver standard established in </w:t>
      </w:r>
      <w:r>
        <w:rPr>
          <w:rFonts w:ascii="Arial" w:cs="Arial" w:eastAsia="Arial" w:hAnsi="Arial"/>
          <w:b/>
          <w:bCs/>
          <w:color w:val="000000"/>
          <w:sz w:val="20"/>
          <w:szCs w:val="20"/>
        </w:rPr>
        <w:t xml:space="preserve">Matter of Dhanasar</w:t>
      </w:r>
      <w:r>
        <w:rPr>
          <w:rFonts w:ascii="Arial" w:cs="Arial" w:eastAsia="Arial" w:hAnsi="Arial"/>
          <w:color w:val="000000"/>
          <w:sz w:val="20"/>
          <w:szCs w:val="20"/>
        </w:rPr>
        <w:t xml:space="preserve">, 26 I&amp;N Dec. 884 (AAO 2016). The specific deficiencies are described below.</w:t>
      </w:r>
    </w:p>
    <w:p>
      <w:pPr>
        <w:spacing w:after="0" w:before="80"/>
      </w:pPr>
      <w:r>
        <w:t xml:space="preserve"/>
      </w:r>
    </w:p>
    <w:p>
      <w:pPr>
        <w:pStyle w:val="Heading2"/>
        <w:spacing w:after="80" w:before="240"/>
      </w:pPr>
      <w:r>
        <w:rPr>
          <w:rFonts w:ascii="Arial" w:cs="Arial" w:eastAsia="Arial" w:hAnsi="Arial"/>
          <w:b/>
          <w:bCs/>
          <w:color w:val="2E75B6"/>
          <w:sz w:val="24"/>
          <w:szCs w:val="24"/>
        </w:rPr>
        <w:t xml:space="preserve">RFE SECTION A: Substantial Merit and National Importance (Prong 1)</w:t>
      </w:r>
    </w:p>
    <w:p>
      <w:pPr>
        <w:spacing w:after="40" w:before="80"/>
      </w:pPr>
      <w:r>
        <w:rPr>
          <w:rFonts w:ascii="Arial" w:cs="Arial" w:eastAsia="Arial" w:hAnsi="Arial"/>
          <w:b/>
          <w:bCs/>
          <w:color w:val="000000"/>
          <w:sz w:val="20"/>
          <w:szCs w:val="20"/>
        </w:rPr>
        <w:t xml:space="preserve">Deficiency A-1: Absence of Direct Quantification Linking the Proposed Endeavor to National-Scale Financial Loss</w:t>
      </w:r>
    </w:p>
    <w:p>
      <w:pPr>
        <w:spacing w:after="80" w:before="0"/>
      </w:pPr>
      <w:r>
        <w:rPr>
          <w:rFonts w:ascii="Arial" w:cs="Arial" w:eastAsia="Arial" w:hAnsi="Arial"/>
          <w:color w:val="000000"/>
          <w:sz w:val="20"/>
          <w:szCs w:val="20"/>
        </w:rPr>
        <w:t xml:space="preserve">The petition asserts that the proposed endeavor addresses systemic deficiencies in federal grant management. However, the petition letter does not embed the specific dollar figures, program names, or performance metrics from the cited federal oversight reports directly into the national importance argument. Adjudicators read the petition narrative as the primary evidentiary document. Footnote citations alone are insufficient to establish national importance by a preponderance of the evidence. The petitioner must demonstrate, within the petition narrative, how the specific financial losses documented in cited reports are causally linked to the specific problem solved by the proposed endeavor.</w:t>
      </w:r>
    </w:p>
    <w:p>
      <w:pPr>
        <w:spacing w:after="40" w:before="0"/>
      </w:pPr>
      <w:r>
        <w:rPr>
          <w:rFonts w:ascii="Arial" w:cs="Arial" w:eastAsia="Arial" w:hAnsi="Arial"/>
          <w:b/>
          <w:bCs/>
          <w:color w:val="000000"/>
          <w:sz w:val="20"/>
          <w:szCs w:val="20"/>
        </w:rPr>
        <w:t xml:space="preserve">Evidence Requested — A-1:</w:t>
      </w:r>
    </w:p>
    <w:p>
      <w:pPr>
        <w:pStyle w:val="ListParagraph"/>
        <w:numPr>
          <w:ilvl w:val="0"/>
          <w:numId w:val="3"/>
        </w:numPr>
        <w:spacing w:after="40" w:before="40"/>
      </w:pPr>
      <w:r>
        <w:rPr>
          <w:rFonts w:ascii="Arial" w:cs="Arial" w:eastAsia="Arial" w:hAnsi="Arial"/>
          <w:sz w:val="20"/>
          <w:szCs w:val="20"/>
        </w:rPr>
        <w:t xml:space="preserve">A revised petition narrative that embeds specific dollar figures, agency names, and program-level findings from each cited federal oversight report, demonstrating the direct causal relationship between the documented national problem and the proposed solution.</w:t>
      </w:r>
    </w:p>
    <w:p>
      <w:pPr>
        <w:pStyle w:val="ListParagraph"/>
        <w:numPr>
          <w:ilvl w:val="0"/>
          <w:numId w:val="3"/>
        </w:numPr>
        <w:spacing w:after="40" w:before="40"/>
      </w:pPr>
      <w:r>
        <w:rPr>
          <w:rFonts w:ascii="Arial" w:cs="Arial" w:eastAsia="Arial" w:hAnsi="Arial"/>
          <w:sz w:val="20"/>
          <w:szCs w:val="20"/>
        </w:rPr>
        <w:t xml:space="preserve">Copies of the specific pages from GAO-23-105678, PRAC FY2023, HUD OIG FY2023, and any other cited reports that contain the statistics referenced in the petition.</w:t>
      </w:r>
    </w:p>
    <w:p>
      <w:pPr>
        <w:spacing w:after="0" w:before="80"/>
      </w:pPr>
      <w:r>
        <w:t xml:space="preserve"/>
      </w:r>
    </w:p>
    <w:p>
      <w:pPr>
        <w:spacing w:after="40" w:before="80"/>
      </w:pPr>
      <w:r>
        <w:rPr>
          <w:rFonts w:ascii="Arial" w:cs="Arial" w:eastAsia="Arial" w:hAnsi="Arial"/>
          <w:b/>
          <w:bCs/>
          <w:color w:val="000000"/>
          <w:sz w:val="20"/>
          <w:szCs w:val="20"/>
        </w:rPr>
        <w:t xml:space="preserve">Deficiency A-2: Absence of Market Gap Analysis Establishing Why Existing Solutions Are Insufficient</w:t>
      </w:r>
    </w:p>
    <w:p>
      <w:pPr>
        <w:spacing w:after="80" w:before="0"/>
      </w:pPr>
      <w:r>
        <w:rPr>
          <w:rFonts w:ascii="Arial" w:cs="Arial" w:eastAsia="Arial" w:hAnsi="Arial"/>
          <w:color w:val="000000"/>
          <w:sz w:val="20"/>
          <w:szCs w:val="20"/>
        </w:rPr>
        <w:t xml:space="preserve">The petition does not address the existence of commercially available grant management and compliance monitoring solutions currently used by federal award recipients, including but not limited to enterprise resource planning systems with grant management modules, federal compliance software platforms, and technical assistance programs funded by federal agencies. USCIS requires evidence that the petitioner's proposed endeavor offers something that is not already available through existing market solutions or federal programs. Without such a showing, the adjudicator cannot determine that the national problem identified in the petition constitutes an unmet need rather than a need already addressed by the market.</w:t>
      </w:r>
    </w:p>
    <w:p>
      <w:pPr>
        <w:spacing w:after="40" w:before="0"/>
      </w:pPr>
      <w:r>
        <w:rPr>
          <w:rFonts w:ascii="Arial" w:cs="Arial" w:eastAsia="Arial" w:hAnsi="Arial"/>
          <w:b/>
          <w:bCs/>
          <w:color w:val="000000"/>
          <w:sz w:val="20"/>
          <w:szCs w:val="20"/>
        </w:rPr>
        <w:t xml:space="preserve">Evidence Requested — A-2:</w:t>
      </w:r>
    </w:p>
    <w:p>
      <w:pPr>
        <w:pStyle w:val="ListParagraph"/>
        <w:numPr>
          <w:ilvl w:val="0"/>
          <w:numId w:val="3"/>
        </w:numPr>
        <w:spacing w:after="40" w:before="40"/>
      </w:pPr>
      <w:r>
        <w:rPr>
          <w:rFonts w:ascii="Arial" w:cs="Arial" w:eastAsia="Arial" w:hAnsi="Arial"/>
          <w:sz w:val="20"/>
          <w:szCs w:val="20"/>
        </w:rPr>
        <w:t xml:space="preserve">A comparative analysis demonstrating how the petitioner's proposed system differs from and improves upon existing commercial grant management platforms and federal technical assistance programs.</w:t>
      </w:r>
    </w:p>
    <w:p>
      <w:pPr>
        <w:pStyle w:val="ListParagraph"/>
        <w:numPr>
          <w:ilvl w:val="0"/>
          <w:numId w:val="3"/>
        </w:numPr>
        <w:spacing w:after="40" w:before="40"/>
      </w:pPr>
      <w:r>
        <w:rPr>
          <w:rFonts w:ascii="Arial" w:cs="Arial" w:eastAsia="Arial" w:hAnsi="Arial"/>
          <w:sz w:val="20"/>
          <w:szCs w:val="20"/>
        </w:rPr>
        <w:t xml:space="preserve">Evidence that existing market solutions do not adequately serve the specific population identified (e.g., under-resourced tribal governments, rural municipalities, nonprofit developers).</w:t>
      </w:r>
    </w:p>
    <w:p>
      <w:pPr>
        <w:spacing w:after="0" w:before="80"/>
      </w:pPr>
      <w:r>
        <w:t xml:space="preserve"/>
      </w:r>
    </w:p>
    <w:p>
      <w:pPr>
        <w:pStyle w:val="Heading2"/>
        <w:spacing w:after="80" w:before="240"/>
      </w:pPr>
      <w:r>
        <w:rPr>
          <w:rFonts w:ascii="Arial" w:cs="Arial" w:eastAsia="Arial" w:hAnsi="Arial"/>
          <w:b/>
          <w:bCs/>
          <w:color w:val="2E75B6"/>
          <w:sz w:val="24"/>
          <w:szCs w:val="24"/>
        </w:rPr>
        <w:t xml:space="preserve">RFE SECTION B: Petitioner Well Positioned to Advance the Endeavor (Prong 2)</w:t>
      </w:r>
    </w:p>
    <w:p>
      <w:pPr>
        <w:spacing w:after="40" w:before="80"/>
      </w:pPr>
      <w:r>
        <w:rPr>
          <w:rFonts w:ascii="Arial" w:cs="Arial" w:eastAsia="Arial" w:hAnsi="Arial"/>
          <w:b/>
          <w:bCs/>
          <w:color w:val="000000"/>
          <w:sz w:val="20"/>
          <w:szCs w:val="20"/>
        </w:rPr>
        <w:t xml:space="preserve">Deficiency B-1: All Expert Letters Provided by Non-U.S. Professionals Without Direct Knowledge of U.S. Federal Grant Compliance Requirements</w:t>
      </w:r>
    </w:p>
    <w:p>
      <w:pPr>
        <w:spacing w:after="80" w:before="0"/>
      </w:pPr>
      <w:r>
        <w:rPr>
          <w:rFonts w:ascii="Arial" w:cs="Arial" w:eastAsia="Arial" w:hAnsi="Arial"/>
          <w:color w:val="000000"/>
          <w:sz w:val="20"/>
          <w:szCs w:val="20"/>
        </w:rPr>
        <w:t xml:space="preserve">The five expert letters submitted were authored by professionals based in the Kingdom of Saudi Arabia. While the record reflects their professional relationship with the petitioner, none of the letter authors demonstrates direct expertise in U.S. federal grant management, OMB Uniform Guidance (2 CFR Part 200), GAO audit standards, or U.S. public sector financial governance. USCIS evaluates whether the petitioner is 'well positioned' in the context of the specific national problem and regulatory environment addressed by the proposed endeavor. Expert opinions from individuals lacking expertise in the U.S.-specific regulatory framework at issue carry reduced evidentiary weight.</w:t>
      </w:r>
    </w:p>
    <w:p>
      <w:pPr>
        <w:spacing w:after="40" w:before="0"/>
      </w:pPr>
      <w:r>
        <w:rPr>
          <w:rFonts w:ascii="Arial" w:cs="Arial" w:eastAsia="Arial" w:hAnsi="Arial"/>
          <w:b/>
          <w:bCs/>
          <w:color w:val="000000"/>
          <w:sz w:val="20"/>
          <w:szCs w:val="20"/>
        </w:rPr>
        <w:t xml:space="preserve">Evidence Requested — B-1:</w:t>
      </w:r>
    </w:p>
    <w:p>
      <w:pPr>
        <w:pStyle w:val="ListParagraph"/>
        <w:numPr>
          <w:ilvl w:val="0"/>
          <w:numId w:val="3"/>
        </w:numPr>
        <w:spacing w:after="40" w:before="40"/>
      </w:pPr>
      <w:r>
        <w:rPr>
          <w:rFonts w:ascii="Arial" w:cs="Arial" w:eastAsia="Arial" w:hAnsi="Arial"/>
          <w:sz w:val="20"/>
          <w:szCs w:val="20"/>
        </w:rPr>
        <w:t xml:space="preserve">At least one expert opinion letter from a U.S.-based professional with direct expertise in federal grant management, government auditing, or public sector financial compliance (e.g., Certified Public Accountant with Single Audit experience, former federal agency official, academic specializing in public finance).</w:t>
      </w:r>
    </w:p>
    <w:p>
      <w:pPr>
        <w:pStyle w:val="ListParagraph"/>
        <w:numPr>
          <w:ilvl w:val="0"/>
          <w:numId w:val="3"/>
        </w:numPr>
        <w:spacing w:after="40" w:before="40"/>
      </w:pPr>
      <w:r>
        <w:rPr>
          <w:rFonts w:ascii="Arial" w:cs="Arial" w:eastAsia="Arial" w:hAnsi="Arial"/>
          <w:sz w:val="20"/>
          <w:szCs w:val="20"/>
        </w:rPr>
        <w:t xml:space="preserve">Revised existing expert letters that include specific references to U.S. federal regulatory frameworks (2 CFR Part 200, GAO Green Book, COSO) and explain how the petitioner's expertise is applicable within the U.S. regulatory context.</w:t>
      </w:r>
    </w:p>
    <w:p>
      <w:pPr>
        <w:spacing w:after="0" w:before="80"/>
      </w:pPr>
      <w:r>
        <w:t xml:space="preserve"/>
      </w:r>
    </w:p>
    <w:p>
      <w:pPr>
        <w:spacing w:after="40" w:before="80"/>
      </w:pPr>
      <w:r>
        <w:rPr>
          <w:rFonts w:ascii="Arial" w:cs="Arial" w:eastAsia="Arial" w:hAnsi="Arial"/>
          <w:b/>
          <w:bCs/>
          <w:color w:val="000000"/>
          <w:sz w:val="20"/>
          <w:szCs w:val="20"/>
        </w:rPr>
        <w:t xml:space="preserve">Deficiency B-2: No Evidence of Engagement with U.S. Professional Community or U.S.-Specific Recognition</w:t>
      </w:r>
    </w:p>
    <w:p>
      <w:pPr>
        <w:spacing w:after="80" w:before="0"/>
      </w:pPr>
      <w:r>
        <w:rPr>
          <w:rFonts w:ascii="Arial" w:cs="Arial" w:eastAsia="Arial" w:hAnsi="Arial"/>
          <w:color w:val="000000"/>
          <w:sz w:val="20"/>
          <w:szCs w:val="20"/>
        </w:rPr>
        <w:t xml:space="preserve">The record does not contain evidence that the petitioner has been recognized by U.S. professional associations, cited in U.S. publications, invited to speak at U.S. industry events, or engaged in advisory or consulting relationships with U.S. organizations. USCIS considers evidence of recognition by peers and professional community as probative of whether the petitioner is well positioned to advance the proposed endeavor within the United States.</w:t>
      </w:r>
    </w:p>
    <w:p>
      <w:pPr>
        <w:spacing w:after="40" w:before="0"/>
      </w:pPr>
      <w:r>
        <w:rPr>
          <w:rFonts w:ascii="Arial" w:cs="Arial" w:eastAsia="Arial" w:hAnsi="Arial"/>
          <w:b/>
          <w:bCs/>
          <w:color w:val="000000"/>
          <w:sz w:val="20"/>
          <w:szCs w:val="20"/>
        </w:rPr>
        <w:t xml:space="preserve">Evidence Requested — B-2:</w:t>
      </w:r>
    </w:p>
    <w:p>
      <w:pPr>
        <w:pStyle w:val="ListParagraph"/>
        <w:numPr>
          <w:ilvl w:val="0"/>
          <w:numId w:val="3"/>
        </w:numPr>
        <w:spacing w:after="40" w:before="40"/>
      </w:pPr>
      <w:r>
        <w:rPr>
          <w:rFonts w:ascii="Arial" w:cs="Arial" w:eastAsia="Arial" w:hAnsi="Arial"/>
          <w:sz w:val="20"/>
          <w:szCs w:val="20"/>
        </w:rPr>
        <w:t xml:space="preserve">Evidence of U.S. professional association membership or participation (GFOA, AGA, AICPA, NASBO).</w:t>
      </w:r>
    </w:p>
    <w:p>
      <w:pPr>
        <w:pStyle w:val="ListParagraph"/>
        <w:numPr>
          <w:ilvl w:val="0"/>
          <w:numId w:val="3"/>
        </w:numPr>
        <w:spacing w:after="40" w:before="40"/>
      </w:pPr>
      <w:r>
        <w:rPr>
          <w:rFonts w:ascii="Arial" w:cs="Arial" w:eastAsia="Arial" w:hAnsi="Arial"/>
          <w:sz w:val="20"/>
          <w:szCs w:val="20"/>
        </w:rPr>
        <w:t xml:space="preserve">Published articles, presentations, or advisory engagements related to the proposed endeavor within the U.S. professional community.</w:t>
      </w:r>
    </w:p>
    <w:p>
      <w:pPr>
        <w:spacing w:after="0" w:before="80"/>
      </w:pPr>
      <w:r>
        <w:t xml:space="preserve"/>
      </w:r>
    </w:p>
    <w:p>
      <w:pPr>
        <w:pStyle w:val="Heading2"/>
        <w:spacing w:after="80" w:before="240"/>
      </w:pPr>
      <w:r>
        <w:rPr>
          <w:rFonts w:ascii="Arial" w:cs="Arial" w:eastAsia="Arial" w:hAnsi="Arial"/>
          <w:b/>
          <w:bCs/>
          <w:color w:val="2E75B6"/>
          <w:sz w:val="24"/>
          <w:szCs w:val="24"/>
        </w:rPr>
        <w:t xml:space="preserve">RFE SECTION C: United States Benefits from Waiving Labor Certification (Prong 3)</w:t>
      </w:r>
    </w:p>
    <w:p>
      <w:pPr>
        <w:spacing w:after="40" w:before="80"/>
      </w:pPr>
      <w:r>
        <w:rPr>
          <w:rFonts w:ascii="Arial" w:cs="Arial" w:eastAsia="Arial" w:hAnsi="Arial"/>
          <w:b/>
          <w:bCs/>
          <w:color w:val="000000"/>
          <w:sz w:val="20"/>
          <w:szCs w:val="20"/>
        </w:rPr>
        <w:t xml:space="preserve">Deficiency C-1: No Evidence of U.S. Institutional Interest in the Proposed Endeavor</w:t>
      </w:r>
    </w:p>
    <w:p>
      <w:pPr>
        <w:spacing w:after="80" w:before="0"/>
      </w:pPr>
      <w:r>
        <w:rPr>
          <w:rFonts w:ascii="Arial" w:cs="Arial" w:eastAsia="Arial" w:hAnsi="Arial"/>
          <w:color w:val="000000"/>
          <w:sz w:val="20"/>
          <w:szCs w:val="20"/>
        </w:rPr>
        <w:t xml:space="preserve">The petition describes a proposed endeavor to develop and deploy a financial governance toolkit for U.S. organizations managing federally funded programs. However, the record contains no evidence that any U.S. organization has expressed interest in, agreed to participate in, or would benefit from the petitioner's proposed system. USCIS considers evidence of institutional demand as probative of whether waiving the labor certification requirement would benefit the United States. A proposed endeavor for which no U.S. entity has expressed interest may not satisfy the national benefit analysis under Prong 3.</w:t>
      </w:r>
    </w:p>
    <w:p>
      <w:pPr>
        <w:spacing w:after="40" w:before="0"/>
      </w:pPr>
      <w:r>
        <w:rPr>
          <w:rFonts w:ascii="Arial" w:cs="Arial" w:eastAsia="Arial" w:hAnsi="Arial"/>
          <w:b/>
          <w:bCs/>
          <w:color w:val="000000"/>
          <w:sz w:val="20"/>
          <w:szCs w:val="20"/>
        </w:rPr>
        <w:t xml:space="preserve">Evidence Requested — C-1:</w:t>
      </w:r>
    </w:p>
    <w:p>
      <w:pPr>
        <w:pStyle w:val="ListParagraph"/>
        <w:numPr>
          <w:ilvl w:val="0"/>
          <w:numId w:val="3"/>
        </w:numPr>
        <w:spacing w:after="40" w:before="40"/>
      </w:pPr>
      <w:r>
        <w:rPr>
          <w:rFonts w:ascii="Arial" w:cs="Arial" w:eastAsia="Arial" w:hAnsi="Arial"/>
          <w:sz w:val="20"/>
          <w:szCs w:val="20"/>
        </w:rPr>
        <w:t xml:space="preserve">Letters of interest, memoranda of understanding, consulting agreements, or advisory engagement letters from U.S.-based organizations (municipal governments, housing authorities, tribal governments, nonprofits, federal program offices) expressing interest in the petitioner's proposed system or methodology.</w:t>
      </w:r>
    </w:p>
    <w:p>
      <w:pPr>
        <w:pStyle w:val="ListParagraph"/>
        <w:numPr>
          <w:ilvl w:val="0"/>
          <w:numId w:val="3"/>
        </w:numPr>
        <w:spacing w:after="40" w:before="40"/>
      </w:pPr>
      <w:r>
        <w:rPr>
          <w:rFonts w:ascii="Arial" w:cs="Arial" w:eastAsia="Arial" w:hAnsi="Arial"/>
          <w:sz w:val="20"/>
          <w:szCs w:val="20"/>
        </w:rPr>
        <w:t xml:space="preserve">Evidence that the petitioner has identified specific U.S. organizations or programs as deployment targets for the proposed endeavor.</w:t>
      </w:r>
    </w:p>
    <w:p>
      <w:pPr>
        <w:spacing w:after="0" w:before="80"/>
      </w:pPr>
      <w:r>
        <w:t xml:space="preserve"/>
      </w:r>
    </w:p>
    <w:p>
      <w:pPr>
        <w:spacing w:after="40" w:before="80"/>
      </w:pPr>
      <w:r>
        <w:rPr>
          <w:rFonts w:ascii="Arial" w:cs="Arial" w:eastAsia="Arial" w:hAnsi="Arial"/>
          <w:b/>
          <w:bCs/>
          <w:color w:val="000000"/>
          <w:sz w:val="20"/>
          <w:szCs w:val="20"/>
        </w:rPr>
        <w:t xml:space="preserve">Deficiency C-2: Proposed Endeavor Is Entirely Prospective Without Evidence of Execution Capacity in the U.S. Context</w:t>
      </w:r>
    </w:p>
    <w:p>
      <w:pPr>
        <w:spacing w:after="80" w:before="0"/>
      </w:pPr>
      <w:r>
        <w:rPr>
          <w:rFonts w:ascii="Arial" w:cs="Arial" w:eastAsia="Arial" w:hAnsi="Arial"/>
          <w:color w:val="000000"/>
          <w:sz w:val="20"/>
          <w:szCs w:val="20"/>
        </w:rPr>
        <w:t xml:space="preserve">The deployment roadmap submitted as Exhibit 22 describes a phased implementation plan spanning 24+ months, framed entirely in future terms. USCIS requires evidence that the petitioner has the present capacity to execute the proposed endeavor independently in the United States without employer sponsorship. The absence of any current U.S.-based activity, pilot program, or consulting engagement makes it difficult to determine whether the proposed benefits to the United States are speculative or reasonably certain.</w:t>
      </w:r>
    </w:p>
    <w:p>
      <w:pPr>
        <w:spacing w:after="40" w:before="0"/>
      </w:pPr>
      <w:r>
        <w:rPr>
          <w:rFonts w:ascii="Arial" w:cs="Arial" w:eastAsia="Arial" w:hAnsi="Arial"/>
          <w:b/>
          <w:bCs/>
          <w:color w:val="000000"/>
          <w:sz w:val="20"/>
          <w:szCs w:val="20"/>
        </w:rPr>
        <w:t xml:space="preserve">Evidence Requested — C-2:</w:t>
      </w:r>
    </w:p>
    <w:p>
      <w:pPr>
        <w:pStyle w:val="ListParagraph"/>
        <w:numPr>
          <w:ilvl w:val="0"/>
          <w:numId w:val="3"/>
        </w:numPr>
        <w:spacing w:after="40" w:before="40"/>
      </w:pPr>
      <w:r>
        <w:rPr>
          <w:rFonts w:ascii="Arial" w:cs="Arial" w:eastAsia="Arial" w:hAnsi="Arial"/>
          <w:sz w:val="20"/>
          <w:szCs w:val="20"/>
        </w:rPr>
        <w:t xml:space="preserve">Evidence of current or planned U.S.-based activities, including consulting engagements, pilot programs, or research collaborations.</w:t>
      </w:r>
    </w:p>
    <w:p>
      <w:pPr>
        <w:pStyle w:val="ListParagraph"/>
        <w:numPr>
          <w:ilvl w:val="0"/>
          <w:numId w:val="3"/>
        </w:numPr>
        <w:spacing w:after="40" w:before="40"/>
      </w:pPr>
      <w:r>
        <w:rPr>
          <w:rFonts w:ascii="Arial" w:cs="Arial" w:eastAsia="Arial" w:hAnsi="Arial"/>
          <w:sz w:val="20"/>
          <w:szCs w:val="20"/>
        </w:rPr>
        <w:t xml:space="preserve">A detailed description of how the petitioner intends to financially sustain the endeavor and reach U.S. organizations without employer sponsorship.</w:t>
      </w:r>
    </w:p>
    <w:p>
      <w:pPr>
        <w:pBdr>
          <w:bottom w:val="single" w:color="2E75B6" w:sz="6" w:space="1"/>
        </w:pBdr>
        <w:spacing w:after="120" w:before="120"/>
      </w:pPr>
      <w:r>
        <w:t xml:space="preserve"/>
      </w:r>
    </w:p>
    <w:p>
      <w:pPr>
        <w:spacing w:after="80" w:before="80"/>
      </w:pPr>
      <w:r>
        <w:rPr>
          <w:rFonts w:ascii="Arial" w:cs="Arial" w:eastAsia="Arial" w:hAnsi="Arial"/>
          <w:i/>
          <w:iCs/>
          <w:sz w:val="18"/>
          <w:szCs w:val="18"/>
        </w:rPr>
        <w:t xml:space="preserve">The petitioner may submit additional evidence or a brief responding to each deficiency above. All evidence must be submitted with a table of contents, indexed to the specific deficiency addressed. Failure to respond to this RFE will result in denial of the petition.</w:t>
      </w:r>
    </w:p>
    <w:p>
      <w:pPr>
        <w:pageBreakBefore/>
      </w:pPr>
      <w:r>
        <w:rPr>
          <w:sz w:val="20"/>
          <w:szCs w:val="20"/>
        </w:rPr>
        <w:t xml:space="preserve"/>
      </w:r>
    </w:p>
    <w:p>
      <w:pPr>
        <w:pStyle w:val="Heading1"/>
        <w:spacing w:after="120" w:before="360"/>
      </w:pPr>
      <w:r>
        <w:rPr>
          <w:rFonts w:ascii="Arial" w:cs="Arial" w:eastAsia="Arial" w:hAnsi="Arial"/>
          <w:b/>
          <w:bCs/>
          <w:color w:val="1F3864"/>
          <w:sz w:val="32"/>
          <w:szCs w:val="32"/>
        </w:rPr>
        <w:t xml:space="preserve">PART IV — SENIOR ATTORNEY STRATEGY TO OVERCOME THE RFE</w:t>
      </w:r>
    </w:p>
    <w:p>
      <w:pPr>
        <w:spacing w:after="80" w:before="0"/>
      </w:pPr>
      <w:r>
        <w:rPr>
          <w:rFonts w:ascii="Arial" w:cs="Arial" w:eastAsia="Arial" w:hAnsi="Arial"/>
          <w:b/>
          <w:bCs/>
          <w:i/>
          <w:iCs/>
          <w:color w:val="555555"/>
          <w:sz w:val="18"/>
          <w:szCs w:val="18"/>
        </w:rPr>
        <w:t xml:space="preserve">Role: Senior NIW Attorney — Chen Immigration Law Associates</w:t>
      </w:r>
    </w:p>
    <w:p>
      <w:pPr>
        <w:pBdr>
          <w:left w:val="thick" w:color="375623" w:sz="24"/>
        </w:pBdr>
        <w:shd w:fill="D6E4F0" w:val="clear"/>
        <w:spacing w:after="80" w:before="80"/>
        <w:ind w:left="360" w:right="360"/>
      </w:pPr>
      <w:r>
        <w:rPr>
          <w:rFonts w:ascii="Arial" w:cs="Arial" w:eastAsia="Arial" w:hAnsi="Arial"/>
          <w:b/>
          <w:bCs/>
          <w:color w:val="000000"/>
          <w:sz w:val="20"/>
          <w:szCs w:val="20"/>
        </w:rPr>
        <w:t xml:space="preserve">Strategic Assessment: </w:t>
      </w:r>
      <w:r>
        <w:rPr>
          <w:rFonts w:ascii="Arial" w:cs="Arial" w:eastAsia="Arial" w:hAnsi="Arial"/>
          <w:color w:val="000000"/>
          <w:sz w:val="20"/>
          <w:szCs w:val="20"/>
        </w:rPr>
        <w:t xml:space="preserve">This petition is fundamentally strong and approvable. The core weaknesses are evidentiary gaps, not substantive deficiencies in the petitioner's qualifications or the importance of the proposed endeavor. The strategy below is designed to convert a 60–65% approval probability into a 85–90%+ probability through targeted evidence additions and petition letter restructuring.</w:t>
      </w:r>
    </w:p>
    <w:p>
      <w:pPr>
        <w:spacing w:after="0" w:before="100"/>
      </w:pPr>
      <w:r>
        <w:t xml:space="preserve"/>
      </w:r>
    </w:p>
    <w:p>
      <w:pPr>
        <w:pStyle w:val="Heading2"/>
        <w:spacing w:after="80" w:before="240"/>
      </w:pPr>
      <w:r>
        <w:rPr>
          <w:rFonts w:ascii="Arial" w:cs="Arial" w:eastAsia="Arial" w:hAnsi="Arial"/>
          <w:b/>
          <w:bCs/>
          <w:color w:val="2E75B6"/>
          <w:sz w:val="24"/>
          <w:szCs w:val="24"/>
        </w:rPr>
        <w:t xml:space="preserve">Strategy 1: Quantify National Importance — Replace Assertion with Evidence</w:t>
      </w:r>
    </w:p>
    <w:p>
      <w:pPr>
        <w:spacing w:after="60" w:before="60"/>
      </w:pPr>
      <w:r>
        <w:rPr>
          <w:rFonts w:ascii="Arial" w:cs="Arial" w:eastAsia="Arial" w:hAnsi="Arial"/>
          <w:color w:val="000000"/>
          <w:sz w:val="20"/>
          <w:szCs w:val="20"/>
        </w:rPr>
        <w:t xml:space="preserve">The single highest-impact action available is to revise the petition letter to embed specific statistics from cited federal oversight reports directly into the national importance narrative. Every adjudicator reads Section 1 of the petition letter as the primary evidence of national importance — footnotes are supplementary. The revised letter should follow this structure:</w:t>
      </w:r>
    </w:p>
    <w:p>
      <w:pPr>
        <w:pStyle w:val="ListParagraph"/>
        <w:numPr>
          <w:ilvl w:val="0"/>
          <w:numId w:val="3"/>
        </w:numPr>
        <w:spacing w:after="40" w:before="40"/>
      </w:pPr>
      <w:r>
        <w:rPr>
          <w:rFonts w:ascii="Arial" w:cs="Arial" w:eastAsia="Arial" w:hAnsi="Arial"/>
          <w:sz w:val="20"/>
          <w:szCs w:val="20"/>
        </w:rPr>
        <w:t xml:space="preserve">Open with a quantified problem statement: 'According to the PRAC FY2023 Improper Payments Report, the federal government reported $236 billion in improper payments in FY2022, affecting 24 federal agencies and continuing a 13-year trend of payment integrity failure exceeding $100 billion annually.'</w:t>
      </w:r>
    </w:p>
    <w:p>
      <w:pPr>
        <w:pStyle w:val="ListParagraph"/>
        <w:numPr>
          <w:ilvl w:val="0"/>
          <w:numId w:val="3"/>
        </w:numPr>
        <w:spacing w:after="40" w:before="40"/>
      </w:pPr>
      <w:r>
        <w:rPr>
          <w:rFonts w:ascii="Arial" w:cs="Arial" w:eastAsia="Arial" w:hAnsi="Arial"/>
          <w:sz w:val="20"/>
          <w:szCs w:val="20"/>
        </w:rPr>
        <w:t xml:space="preserve">Follow immediately with the causal gap: 'The GAO has documented that the root structural cause of this recurring failure is the absence of automated, real-time financial monitoring tools capable of detecting anomalies before disbursement — a capability that does not currently exist as a standardized, open-access tool for federal award recipients.'</w:t>
      </w:r>
    </w:p>
    <w:p>
      <w:pPr>
        <w:pStyle w:val="ListParagraph"/>
        <w:numPr>
          <w:ilvl w:val="0"/>
          <w:numId w:val="3"/>
        </w:numPr>
        <w:spacing w:after="40" w:before="40"/>
      </w:pPr>
      <w:r>
        <w:rPr>
          <w:rFonts w:ascii="Arial" w:cs="Arial" w:eastAsia="Arial" w:hAnsi="Arial"/>
          <w:sz w:val="20"/>
          <w:szCs w:val="20"/>
        </w:rPr>
        <w:t xml:space="preserve">Connect explicitly to GFDS V4: 'The petitioner's Grant Fraud Detection System Version 4 directly addresses this documented structural gap by providing a modular, open-access fraud detection and compliance monitoring platform aligned to 2 CFR Part 200, the GAO Green Book, and the COSO Framework.'</w:t>
      </w:r>
    </w:p>
    <w:p>
      <w:pPr>
        <w:spacing w:after="0" w:before="60"/>
      </w:pPr>
      <w:r>
        <w:t xml:space="preserve"/>
      </w:r>
    </w:p>
    <w:p>
      <w:pPr>
        <w:spacing w:after="40" w:before="60"/>
      </w:pPr>
      <w:r>
        <w:rPr>
          <w:rFonts w:ascii="Arial" w:cs="Arial" w:eastAsia="Arial" w:hAnsi="Arial"/>
          <w:b/>
          <w:bCs/>
          <w:color w:val="000000"/>
          <w:sz w:val="20"/>
          <w:szCs w:val="20"/>
        </w:rPr>
        <w:t xml:space="preserve">Suggested Revisions to Petition Letter:</w:t>
      </w:r>
    </w:p>
    <w:p>
      <w:pPr>
        <w:pStyle w:val="ListParagraph"/>
        <w:numPr>
          <w:ilvl w:val="0"/>
          <w:numId w:val="2"/>
        </w:numPr>
        <w:spacing w:after="40" w:before="40"/>
      </w:pPr>
      <w:r>
        <w:rPr>
          <w:rFonts w:ascii="Arial" w:cs="Arial" w:eastAsia="Arial" w:hAnsi="Arial"/>
          <w:sz w:val="20"/>
          <w:szCs w:val="20"/>
        </w:rPr>
        <w:t xml:space="preserve">Add a dedicated sub-section titled 'Market Failure and the Absence of Scalable Solutions' after the national importance argument.</w:t>
      </w:r>
    </w:p>
    <w:p>
      <w:pPr>
        <w:pStyle w:val="ListParagraph"/>
        <w:numPr>
          <w:ilvl w:val="0"/>
          <w:numId w:val="2"/>
        </w:numPr>
        <w:spacing w:after="40" w:before="40"/>
      </w:pPr>
      <w:r>
        <w:rPr>
          <w:rFonts w:ascii="Arial" w:cs="Arial" w:eastAsia="Arial" w:hAnsi="Arial"/>
          <w:sz w:val="20"/>
          <w:szCs w:val="20"/>
        </w:rPr>
        <w:t xml:space="preserve">In that section, compare GFDS V4 to existing commercial solutions and demonstrate what makes it distinct: open access, modular design, 2 CFR 200-alignment, and accessibility for under-resourced grantees.</w:t>
      </w:r>
    </w:p>
    <w:p>
      <w:pPr>
        <w:pStyle w:val="ListParagraph"/>
        <w:numPr>
          <w:ilvl w:val="0"/>
          <w:numId w:val="2"/>
        </w:numPr>
        <w:spacing w:after="40" w:before="40"/>
      </w:pPr>
      <w:r>
        <w:rPr>
          <w:rFonts w:ascii="Arial" w:cs="Arial" w:eastAsia="Arial" w:hAnsi="Arial"/>
          <w:sz w:val="20"/>
          <w:szCs w:val="20"/>
        </w:rPr>
        <w:t xml:space="preserve">Add a sub-section titled 'Quantified National Impact of the Proposed Endeavor' that estimates the dollar value of fraud/improper payments that a system like GFDS V4, if deployed at scale, could prevent — even a conservative estimate (e.g., '5% reduction in improper payments in IIJA-funded programs alone would recover $X billion') makes the argument tangible.</w:t>
      </w:r>
    </w:p>
    <w:p>
      <w:pPr>
        <w:spacing w:after="0" w:before="100"/>
      </w:pPr>
      <w:r>
        <w:t xml:space="preserve"/>
      </w:r>
    </w:p>
    <w:p>
      <w:pPr>
        <w:pStyle w:val="Heading2"/>
        <w:spacing w:after="80" w:before="240"/>
      </w:pPr>
      <w:r>
        <w:rPr>
          <w:rFonts w:ascii="Arial" w:cs="Arial" w:eastAsia="Arial" w:hAnsi="Arial"/>
          <w:b/>
          <w:bCs/>
          <w:color w:val="2E75B6"/>
          <w:sz w:val="24"/>
          <w:szCs w:val="24"/>
        </w:rPr>
        <w:t xml:space="preserve">Strategy 2: Commission a U.S.-Based Expert Letter</w:t>
      </w:r>
    </w:p>
    <w:p>
      <w:pPr>
        <w:spacing w:after="60" w:before="60"/>
      </w:pPr>
      <w:r>
        <w:rPr>
          <w:rFonts w:ascii="Arial" w:cs="Arial" w:eastAsia="Arial" w:hAnsi="Arial"/>
          <w:color w:val="000000"/>
          <w:sz w:val="20"/>
          <w:szCs w:val="20"/>
        </w:rPr>
        <w:t xml:space="preserve">This is the single most impactful evidence addition available. A letter from a U.S.-based subject matter expert transforms the Prong 2 and Prong 3 analysis simultaneously. The ideal letter writer profile:</w:t>
      </w:r>
    </w:p>
    <w:p>
      <w:pPr>
        <w:pStyle w:val="ListParagraph"/>
        <w:numPr>
          <w:ilvl w:val="0"/>
          <w:numId w:val="3"/>
        </w:numPr>
        <w:spacing w:after="40" w:before="40"/>
      </w:pPr>
      <w:r>
        <w:rPr>
          <w:rFonts w:ascii="Arial" w:cs="Arial" w:eastAsia="Arial" w:hAnsi="Arial"/>
          <w:sz w:val="20"/>
          <w:szCs w:val="20"/>
        </w:rPr>
        <w:t xml:space="preserve">A U.S.-licensed CPA with demonstrated Single Audit experience under 2 CFR Part 200, familiar with HUD/EDA/tribal grant programs.</w:t>
      </w:r>
    </w:p>
    <w:p>
      <w:pPr>
        <w:pStyle w:val="ListParagraph"/>
        <w:numPr>
          <w:ilvl w:val="0"/>
          <w:numId w:val="3"/>
        </w:numPr>
        <w:spacing w:after="40" w:before="40"/>
      </w:pPr>
      <w:r>
        <w:rPr>
          <w:rFonts w:ascii="Arial" w:cs="Arial" w:eastAsia="Arial" w:hAnsi="Arial"/>
          <w:sz w:val="20"/>
          <w:szCs w:val="20"/>
        </w:rPr>
        <w:t xml:space="preserve">A former federal agency official (GAO, HUD OIG, OIG Inspector General) with direct knowledge of grant fraud investigation.</w:t>
      </w:r>
    </w:p>
    <w:p>
      <w:pPr>
        <w:pStyle w:val="ListParagraph"/>
        <w:numPr>
          <w:ilvl w:val="0"/>
          <w:numId w:val="3"/>
        </w:numPr>
        <w:spacing w:after="40" w:before="40"/>
      </w:pPr>
      <w:r>
        <w:rPr>
          <w:rFonts w:ascii="Arial" w:cs="Arial" w:eastAsia="Arial" w:hAnsi="Arial"/>
          <w:sz w:val="20"/>
          <w:szCs w:val="20"/>
        </w:rPr>
        <w:t xml:space="preserve">A public finance academic from a U.S. university who can speak to the systemic nature of the problem and the gap in available tools.</w:t>
      </w:r>
    </w:p>
    <w:p>
      <w:pPr>
        <w:pStyle w:val="ListParagraph"/>
        <w:numPr>
          <w:ilvl w:val="0"/>
          <w:numId w:val="3"/>
        </w:numPr>
        <w:spacing w:after="40" w:before="40"/>
      </w:pPr>
      <w:r>
        <w:rPr>
          <w:rFonts w:ascii="Arial" w:cs="Arial" w:eastAsia="Arial" w:hAnsi="Arial"/>
          <w:sz w:val="20"/>
          <w:szCs w:val="20"/>
        </w:rPr>
        <w:t xml:space="preserve">A state or municipal government finance officer who can attest to the practical need for a tool like GFDS V4.</w:t>
      </w:r>
    </w:p>
    <w:p>
      <w:pPr>
        <w:spacing w:after="0" w:before="60"/>
      </w:pPr>
      <w:r>
        <w:t xml:space="preserve"/>
      </w:r>
    </w:p>
    <w:p>
      <w:pPr>
        <w:spacing w:after="40" w:before="60"/>
      </w:pPr>
      <w:r>
        <w:rPr>
          <w:rFonts w:ascii="Arial" w:cs="Arial" w:eastAsia="Arial" w:hAnsi="Arial"/>
          <w:b/>
          <w:bCs/>
          <w:color w:val="000000"/>
          <w:sz w:val="20"/>
          <w:szCs w:val="20"/>
        </w:rPr>
        <w:t xml:space="preserve">The letter should:</w:t>
      </w:r>
    </w:p>
    <w:p>
      <w:pPr>
        <w:pStyle w:val="ListParagraph"/>
        <w:numPr>
          <w:ilvl w:val="0"/>
          <w:numId w:val="3"/>
        </w:numPr>
        <w:spacing w:after="40" w:before="40"/>
      </w:pPr>
      <w:r>
        <w:rPr>
          <w:rFonts w:ascii="Arial" w:cs="Arial" w:eastAsia="Arial" w:hAnsi="Arial"/>
          <w:sz w:val="20"/>
          <w:szCs w:val="20"/>
        </w:rPr>
        <w:t xml:space="preserve">Reference specific GAO and PRAC findings by report number and statistic.</w:t>
      </w:r>
    </w:p>
    <w:p>
      <w:pPr>
        <w:pStyle w:val="ListParagraph"/>
        <w:numPr>
          <w:ilvl w:val="0"/>
          <w:numId w:val="3"/>
        </w:numPr>
        <w:spacing w:after="40" w:before="40"/>
      </w:pPr>
      <w:r>
        <w:rPr>
          <w:rFonts w:ascii="Arial" w:cs="Arial" w:eastAsia="Arial" w:hAnsi="Arial"/>
          <w:sz w:val="20"/>
          <w:szCs w:val="20"/>
        </w:rPr>
        <w:t xml:space="preserve">Attest to the absence of comparable open-access tools in the current market.</w:t>
      </w:r>
    </w:p>
    <w:p>
      <w:pPr>
        <w:pStyle w:val="ListParagraph"/>
        <w:numPr>
          <w:ilvl w:val="0"/>
          <w:numId w:val="3"/>
        </w:numPr>
        <w:spacing w:after="40" w:before="40"/>
      </w:pPr>
      <w:r>
        <w:rPr>
          <w:rFonts w:ascii="Arial" w:cs="Arial" w:eastAsia="Arial" w:hAnsi="Arial"/>
          <w:sz w:val="20"/>
          <w:szCs w:val="20"/>
        </w:rPr>
        <w:t xml:space="preserve">Confirm that the petitioner's methodology, as described in the exhibits, is technically sound and addresses the documented compliance gap.</w:t>
      </w:r>
    </w:p>
    <w:p>
      <w:pPr>
        <w:pStyle w:val="ListParagraph"/>
        <w:numPr>
          <w:ilvl w:val="0"/>
          <w:numId w:val="3"/>
        </w:numPr>
        <w:spacing w:after="40" w:before="40"/>
      </w:pPr>
      <w:r>
        <w:rPr>
          <w:rFonts w:ascii="Arial" w:cs="Arial" w:eastAsia="Arial" w:hAnsi="Arial"/>
          <w:sz w:val="20"/>
          <w:szCs w:val="20"/>
        </w:rPr>
        <w:t xml:space="preserve">Speak directly to the U.S. federal regulatory context (2 CFR 200, OMB guidance, Single Audit requirements).</w:t>
      </w:r>
    </w:p>
    <w:p>
      <w:pPr>
        <w:spacing w:after="0" w:before="100"/>
      </w:pPr>
      <w:r>
        <w:t xml:space="preserve"/>
      </w:r>
    </w:p>
    <w:p>
      <w:pPr>
        <w:pStyle w:val="Heading2"/>
        <w:spacing w:after="80" w:before="240"/>
      </w:pPr>
      <w:r>
        <w:rPr>
          <w:rFonts w:ascii="Arial" w:cs="Arial" w:eastAsia="Arial" w:hAnsi="Arial"/>
          <w:b/>
          <w:bCs/>
          <w:color w:val="2E75B6"/>
          <w:sz w:val="24"/>
          <w:szCs w:val="24"/>
        </w:rPr>
        <w:t xml:space="preserve">Strategy 3: Obtain a U.S. Letter of Interest for Prong 3</w:t>
      </w:r>
    </w:p>
    <w:p>
      <w:pPr>
        <w:spacing w:after="60" w:before="60"/>
      </w:pPr>
      <w:r>
        <w:rPr>
          <w:rFonts w:ascii="Arial" w:cs="Arial" w:eastAsia="Arial" w:hAnsi="Arial"/>
          <w:color w:val="000000"/>
          <w:sz w:val="20"/>
          <w:szCs w:val="20"/>
        </w:rPr>
        <w:t xml:space="preserve">Prong 3 is the most vulnerably argued prong in the current filing. The most efficient fix is to obtain a single credible letter of interest from a U.S. entity that would benefit from the petitioner's proposed system. Recommended target organizations:</w:t>
      </w:r>
    </w:p>
    <w:p>
      <w:pPr>
        <w:pStyle w:val="ListParagraph"/>
        <w:numPr>
          <w:ilvl w:val="0"/>
          <w:numId w:val="3"/>
        </w:numPr>
        <w:spacing w:after="40" w:before="40"/>
      </w:pPr>
      <w:r>
        <w:rPr>
          <w:rFonts w:ascii="Arial" w:cs="Arial" w:eastAsia="Arial" w:hAnsi="Arial"/>
          <w:sz w:val="20"/>
          <w:szCs w:val="20"/>
        </w:rPr>
        <w:t xml:space="preserve">A federally recognized tribal government with an active federal grant award and documented audit finding history.</w:t>
      </w:r>
    </w:p>
    <w:p>
      <w:pPr>
        <w:pStyle w:val="ListParagraph"/>
        <w:numPr>
          <w:ilvl w:val="0"/>
          <w:numId w:val="3"/>
        </w:numPr>
        <w:spacing w:after="40" w:before="40"/>
      </w:pPr>
      <w:r>
        <w:rPr>
          <w:rFonts w:ascii="Arial" w:cs="Arial" w:eastAsia="Arial" w:hAnsi="Arial"/>
          <w:sz w:val="20"/>
          <w:szCs w:val="20"/>
        </w:rPr>
        <w:t xml:space="preserve">A HUD-designated Choice Neighborhood grantee or CDBG-DR grantee with compliance management challenges.</w:t>
      </w:r>
    </w:p>
    <w:p>
      <w:pPr>
        <w:pStyle w:val="ListParagraph"/>
        <w:numPr>
          <w:ilvl w:val="0"/>
          <w:numId w:val="3"/>
        </w:numPr>
        <w:spacing w:after="40" w:before="40"/>
      </w:pPr>
      <w:r>
        <w:rPr>
          <w:rFonts w:ascii="Arial" w:cs="Arial" w:eastAsia="Arial" w:hAnsi="Arial"/>
          <w:sz w:val="20"/>
          <w:szCs w:val="20"/>
        </w:rPr>
        <w:t xml:space="preserve">A rural municipality that administers EDA public works or USDA grant funding.</w:t>
      </w:r>
    </w:p>
    <w:p>
      <w:pPr>
        <w:pStyle w:val="ListParagraph"/>
        <w:numPr>
          <w:ilvl w:val="0"/>
          <w:numId w:val="3"/>
        </w:numPr>
        <w:spacing w:after="40" w:before="40"/>
      </w:pPr>
      <w:r>
        <w:rPr>
          <w:rFonts w:ascii="Arial" w:cs="Arial" w:eastAsia="Arial" w:hAnsi="Arial"/>
          <w:sz w:val="20"/>
          <w:szCs w:val="20"/>
        </w:rPr>
        <w:t xml:space="preserve">A nonprofit community development financial institution (CDFI) or housing developer managing federal HOME or CDBG funds.</w:t>
      </w:r>
    </w:p>
    <w:p>
      <w:pPr>
        <w:spacing w:after="0" w:before="60"/>
      </w:pPr>
      <w:r>
        <w:t xml:space="preserve"/>
      </w:r>
    </w:p>
    <w:p>
      <w:pPr>
        <w:spacing w:after="40" w:before="60"/>
      </w:pPr>
      <w:r>
        <w:rPr>
          <w:rFonts w:ascii="Arial" w:cs="Arial" w:eastAsia="Arial" w:hAnsi="Arial"/>
          <w:b/>
          <w:bCs/>
          <w:color w:val="000000"/>
          <w:sz w:val="20"/>
          <w:szCs w:val="20"/>
        </w:rPr>
        <w:t xml:space="preserve">The letter of interest should state:</w:t>
      </w:r>
    </w:p>
    <w:p>
      <w:pPr>
        <w:pStyle w:val="ListParagraph"/>
        <w:numPr>
          <w:ilvl w:val="0"/>
          <w:numId w:val="3"/>
        </w:numPr>
        <w:spacing w:after="40" w:before="40"/>
      </w:pPr>
      <w:r>
        <w:rPr>
          <w:rFonts w:ascii="Arial" w:cs="Arial" w:eastAsia="Arial" w:hAnsi="Arial"/>
          <w:sz w:val="20"/>
          <w:szCs w:val="20"/>
        </w:rPr>
        <w:t xml:space="preserve">The organization's current compliance challenges with respect to federal grant management.</w:t>
      </w:r>
    </w:p>
    <w:p>
      <w:pPr>
        <w:pStyle w:val="ListParagraph"/>
        <w:numPr>
          <w:ilvl w:val="0"/>
          <w:numId w:val="3"/>
        </w:numPr>
        <w:spacing w:after="40" w:before="40"/>
      </w:pPr>
      <w:r>
        <w:rPr>
          <w:rFonts w:ascii="Arial" w:cs="Arial" w:eastAsia="Arial" w:hAnsi="Arial"/>
          <w:sz w:val="20"/>
          <w:szCs w:val="20"/>
        </w:rPr>
        <w:t xml:space="preserve">Why existing solutions are inadequate or inaccessible (cost, complexity, lack of 2 CFR 200 alignment).</w:t>
      </w:r>
    </w:p>
    <w:p>
      <w:pPr>
        <w:pStyle w:val="ListParagraph"/>
        <w:numPr>
          <w:ilvl w:val="0"/>
          <w:numId w:val="3"/>
        </w:numPr>
        <w:spacing w:after="40" w:before="40"/>
      </w:pPr>
      <w:r>
        <w:rPr>
          <w:rFonts w:ascii="Arial" w:cs="Arial" w:eastAsia="Arial" w:hAnsi="Arial"/>
          <w:sz w:val="20"/>
          <w:szCs w:val="20"/>
        </w:rPr>
        <w:t xml:space="preserve">Interest in piloting or adopting the petitioner's GFDS V4 framework.</w:t>
      </w:r>
    </w:p>
    <w:p>
      <w:pPr>
        <w:pStyle w:val="ListParagraph"/>
        <w:numPr>
          <w:ilvl w:val="0"/>
          <w:numId w:val="3"/>
        </w:numPr>
        <w:spacing w:after="40" w:before="40"/>
      </w:pPr>
      <w:r>
        <w:rPr>
          <w:rFonts w:ascii="Arial" w:cs="Arial" w:eastAsia="Arial" w:hAnsi="Arial"/>
          <w:sz w:val="20"/>
          <w:szCs w:val="20"/>
        </w:rPr>
        <w:t xml:space="preserve">The benefit to the organization and, by extension, the federal programs it administers.</w:t>
      </w:r>
    </w:p>
    <w:p>
      <w:pPr>
        <w:spacing w:after="0" w:before="100"/>
      </w:pPr>
      <w:r>
        <w:t xml:space="preserve"/>
      </w:r>
    </w:p>
    <w:p>
      <w:pPr>
        <w:pStyle w:val="Heading2"/>
        <w:spacing w:after="80" w:before="240"/>
      </w:pPr>
      <w:r>
        <w:rPr>
          <w:rFonts w:ascii="Arial" w:cs="Arial" w:eastAsia="Arial" w:hAnsi="Arial"/>
          <w:b/>
          <w:bCs/>
          <w:color w:val="2E75B6"/>
          <w:sz w:val="24"/>
          <w:szCs w:val="24"/>
        </w:rPr>
        <w:t xml:space="preserve">Strategy 4: Add a Technical Validation Letter for GFDS V4</w:t>
      </w:r>
    </w:p>
    <w:p>
      <w:pPr>
        <w:spacing w:after="60" w:before="60"/>
      </w:pPr>
      <w:r>
        <w:rPr>
          <w:rFonts w:ascii="Arial" w:cs="Arial" w:eastAsia="Arial" w:hAnsi="Arial"/>
          <w:color w:val="000000"/>
          <w:sz w:val="20"/>
          <w:szCs w:val="20"/>
        </w:rPr>
        <w:t xml:space="preserve">The system exhibits (G-1 through G-9) are technically detailed but lack independent validation. USCIS adjudicators are not technology experts. A one-to-two-page letter from a U.S.-based technology professional or public sector IT auditor who has reviewed the system architecture and can attest to its technical soundness will significantly strengthen the Prong 1 and Prong 2 analysis.</w:t>
      </w:r>
    </w:p>
    <w:p>
      <w:pPr>
        <w:pStyle w:val="ListParagraph"/>
        <w:numPr>
          <w:ilvl w:val="0"/>
          <w:numId w:val="3"/>
        </w:numPr>
        <w:spacing w:after="40" w:before="40"/>
      </w:pPr>
      <w:r>
        <w:rPr>
          <w:rFonts w:ascii="Arial" w:cs="Arial" w:eastAsia="Arial" w:hAnsi="Arial"/>
          <w:sz w:val="20"/>
          <w:szCs w:val="20"/>
        </w:rPr>
        <w:t xml:space="preserve">Target: A U.S. CISA-certified auditor, a CPA.CITP (Certified Information Technology Professional), or a public sector IT consultant familiar with federal financial systems.</w:t>
      </w:r>
    </w:p>
    <w:p>
      <w:pPr>
        <w:pStyle w:val="ListParagraph"/>
        <w:numPr>
          <w:ilvl w:val="0"/>
          <w:numId w:val="3"/>
        </w:numPr>
        <w:spacing w:after="40" w:before="40"/>
      </w:pPr>
      <w:r>
        <w:rPr>
          <w:rFonts w:ascii="Arial" w:cs="Arial" w:eastAsia="Arial" w:hAnsi="Arial"/>
          <w:sz w:val="20"/>
          <w:szCs w:val="20"/>
        </w:rPr>
        <w:t xml:space="preserve">The letter should confirm that the described architecture, algorithms, and compliance mapping are technically coherent and consistent with the documented federal compliance frameworks.</w:t>
      </w:r>
    </w:p>
    <w:p>
      <w:pPr>
        <w:spacing w:after="0" w:before="100"/>
      </w:pPr>
      <w:r>
        <w:t xml:space="preserve"/>
      </w:r>
    </w:p>
    <w:p>
      <w:pPr>
        <w:pStyle w:val="Heading2"/>
        <w:spacing w:after="80" w:before="240"/>
      </w:pPr>
      <w:r>
        <w:rPr>
          <w:rFonts w:ascii="Arial" w:cs="Arial" w:eastAsia="Arial" w:hAnsi="Arial"/>
          <w:b/>
          <w:bCs/>
          <w:color w:val="2E75B6"/>
          <w:sz w:val="24"/>
          <w:szCs w:val="24"/>
        </w:rPr>
        <w:t xml:space="preserve">Strategy 5: Restructure the Petition Letter for Adjudicator Navigation</w:t>
      </w:r>
    </w:p>
    <w:p>
      <w:pPr>
        <w:spacing w:after="60" w:before="60"/>
      </w:pPr>
      <w:r>
        <w:rPr>
          <w:rFonts w:ascii="Arial" w:cs="Arial" w:eastAsia="Arial" w:hAnsi="Arial"/>
          <w:color w:val="000000"/>
          <w:sz w:val="20"/>
          <w:szCs w:val="20"/>
        </w:rPr>
        <w:t xml:space="preserve">The current petition letter is comprehensive but dense. Senior USCIS adjudicators spend an average of 20–30 minutes reviewing an I-140 NIW petition. The letter should be restructured to front-load key evidence:</w:t>
      </w:r>
    </w:p>
    <w:p>
      <w:pPr>
        <w:pStyle w:val="ListParagraph"/>
        <w:numPr>
          <w:ilvl w:val="0"/>
          <w:numId w:val="2"/>
        </w:numPr>
        <w:spacing w:after="40" w:before="40"/>
      </w:pPr>
      <w:r>
        <w:rPr>
          <w:rFonts w:ascii="Arial" w:cs="Arial" w:eastAsia="Arial" w:hAnsi="Arial"/>
          <w:sz w:val="20"/>
          <w:szCs w:val="20"/>
        </w:rPr>
        <w:t xml:space="preserve">Open with a 1-paragraph Executive Summary that states: the national problem (with dollar figures), the proposed solution, why the petitioner is uniquely qualified, and why a waiver benefits the U.S.</w:t>
      </w:r>
    </w:p>
    <w:p>
      <w:pPr>
        <w:pStyle w:val="ListParagraph"/>
        <w:numPr>
          <w:ilvl w:val="0"/>
          <w:numId w:val="2"/>
        </w:numPr>
        <w:spacing w:after="40" w:before="40"/>
      </w:pPr>
      <w:r>
        <w:rPr>
          <w:rFonts w:ascii="Arial" w:cs="Arial" w:eastAsia="Arial" w:hAnsi="Arial"/>
          <w:sz w:val="20"/>
          <w:szCs w:val="20"/>
        </w:rPr>
        <w:t xml:space="preserve">Structure each Dhanasar prong as a clearly labeled section with sub-headings for: (a) The Problem, (b) The Existing Gap, (c) The Petitioner's Solution, (d) Evidence of Petitioner's Qualifications.</w:t>
      </w:r>
    </w:p>
    <w:p>
      <w:pPr>
        <w:pStyle w:val="ListParagraph"/>
        <w:numPr>
          <w:ilvl w:val="0"/>
          <w:numId w:val="2"/>
        </w:numPr>
        <w:spacing w:after="40" w:before="40"/>
      </w:pPr>
      <w:r>
        <w:rPr>
          <w:rFonts w:ascii="Arial" w:cs="Arial" w:eastAsia="Arial" w:hAnsi="Arial"/>
          <w:sz w:val="20"/>
          <w:szCs w:val="20"/>
        </w:rPr>
        <w:t xml:space="preserve">Add a dedicated 'Exhibit Cross-Reference Table' at the end of each prong section that maps each evidentiary claim to the specific exhibit that supports it.</w:t>
      </w:r>
    </w:p>
    <w:p>
      <w:pPr>
        <w:pStyle w:val="ListParagraph"/>
        <w:numPr>
          <w:ilvl w:val="0"/>
          <w:numId w:val="2"/>
        </w:numPr>
        <w:spacing w:after="40" w:before="40"/>
      </w:pPr>
      <w:r>
        <w:rPr>
          <w:rFonts w:ascii="Arial" w:cs="Arial" w:eastAsia="Arial" w:hAnsi="Arial"/>
          <w:sz w:val="20"/>
          <w:szCs w:val="20"/>
        </w:rPr>
        <w:t xml:space="preserve">Add a 1-page 'Why a Waiver Is Warranted' section at the end of Prong 3 that explicitly addresses the labor market argument and the cross-jurisdictional deployment rationale.</w:t>
      </w:r>
    </w:p>
    <w:p>
      <w:pPr>
        <w:pageBreakBefore/>
      </w:pPr>
      <w:r>
        <w:rPr>
          <w:sz w:val="20"/>
          <w:szCs w:val="20"/>
        </w:rPr>
        <w:t xml:space="preserve"/>
      </w:r>
    </w:p>
    <w:p>
      <w:pPr>
        <w:pStyle w:val="Heading1"/>
        <w:spacing w:after="120" w:before="360"/>
      </w:pPr>
      <w:r>
        <w:rPr>
          <w:rFonts w:ascii="Arial" w:cs="Arial" w:eastAsia="Arial" w:hAnsi="Arial"/>
          <w:b/>
          <w:bCs/>
          <w:color w:val="1F3864"/>
          <w:sz w:val="32"/>
          <w:szCs w:val="32"/>
        </w:rPr>
        <w:t xml:space="preserve">PART V — EXHIBIT-BY-EXHIBIT PROBATIVE VALUE ANALYSIS</w:t>
      </w:r>
    </w:p>
    <w:p>
      <w:pPr>
        <w:spacing w:after="80" w:before="0"/>
      </w:pPr>
      <w:r>
        <w:rPr>
          <w:rFonts w:ascii="Arial" w:cs="Arial" w:eastAsia="Arial" w:hAnsi="Arial"/>
          <w:b/>
          <w:bCs/>
          <w:i/>
          <w:iCs/>
          <w:color w:val="555555"/>
          <w:sz w:val="18"/>
          <w:szCs w:val="18"/>
        </w:rPr>
        <w:t xml:space="preserve">Role: Senior NIW Attorney — Exhibit Strategy Review</w:t>
      </w:r>
    </w:p>
    <w:p>
      <w:pPr>
        <w:spacing w:after="80" w:before="0"/>
      </w:pPr>
      <w:r>
        <w:rPr>
          <w:rFonts w:ascii="Arial" w:cs="Arial" w:eastAsia="Arial" w:hAnsi="Arial"/>
          <w:color w:val="000000"/>
          <w:sz w:val="20"/>
          <w:szCs w:val="20"/>
        </w:rPr>
        <w:t xml:space="preserve">The following table evaluates each exhibit individually, assigns a probative value rating to each Dhanasar prong, identifies weaknesses, and recommends specific enhancements. Ratings use a ★ scale (★★★★★ = maximum probative value).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000"/>
        <w:gridCol w:w="1000"/>
        <w:gridCol w:w="1000"/>
        <w:gridCol w:w="1000"/>
        <w:gridCol w:w="1160"/>
        <w:gridCol w:w="1600"/>
      </w:tblGrid>
      <w:tr>
        <w:trPr>
          <w:tblHeader/>
        </w:trPr>
        <w:tc>
          <w:tcPr>
            <w:tcW w:type="dxa" w:w="12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Exhibit</w:t>
            </w:r>
          </w:p>
        </w:tc>
        <w:tc>
          <w:tcPr>
            <w:tcW w:type="dxa" w:w="14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Probative Value</w:t>
            </w:r>
          </w:p>
        </w:tc>
        <w:tc>
          <w:tcPr>
            <w:tcW w:type="dxa" w:w="10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Prong 1
Merit</w:t>
            </w:r>
          </w:p>
        </w:tc>
        <w:tc>
          <w:tcPr>
            <w:tcW w:type="dxa" w:w="10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Prong 2
Positioned</w:t>
            </w:r>
          </w:p>
        </w:tc>
        <w:tc>
          <w:tcPr>
            <w:tcW w:type="dxa" w:w="10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Prong 3
Waiver</w:t>
            </w:r>
          </w:p>
        </w:tc>
        <w:tc>
          <w:tcPr>
            <w:tcW w:type="dxa" w:w="10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Level</w:t>
            </w:r>
          </w:p>
        </w:tc>
        <w:tc>
          <w:tcPr>
            <w:tcW w:type="dxa" w:w="116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Weakness / Gap</w:t>
            </w:r>
          </w:p>
        </w:tc>
        <w:tc>
          <w:tcPr>
            <w:tcW w:type="dxa" w:w="1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Enhancement</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Exhibit 21
AI-Enabled Fraud Detection System</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HIGH — substantive description of original system with lifecycle framework</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LOW</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Lacks third-party validation; no live deployment or pilot data; system described but not independently corroborated.</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Add independent technical review letter from U.S. compliance technology expert. Include pilot outcome data or beta deployment results. Cite specific GAO/PRAC dollar figures as the problem the system solves.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Exhibit 22
Tech Architecture &amp; Deployment Roadmap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MEDIUM-HIGH — shows scalability vision; deployment plan is future-oriented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Roadmap is prospective only; USCIS adjudicators may discount future plans without evidence of current capability or institutional interest.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Add a signed MOU, letter of interest, or pilot commitment from a U.S. municipality, housing authority, or federal program office. Anchor deployment phases to IIJA/IRA program timelines.</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Expert Opinion Letters (5)
CEO, COO, CSO, Internal Audit Head, PwC Partner</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HIGH — senior signatories with direct supervisory knowledge; signed, dated, on letterhead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LOW</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All letter writers are non-U.S. nationals with no U.S. grant management expertise; USCIS may discount for lack of U.S. context.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Add 1–2 letters from U.S.-based subject matter experts (e.g., CPA with single audit experience, HUD/EDA program officer, academic with public finance expertise). Restructure existing letters to cite specific U.S. regulatory standards.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ECCTIS Benchmark Certificate
(Exhibit 17.1)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HIGH for E21 classification; clearly establishes master's equivalency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375623" w:val="clear"/>
            <w:tcMar>
              <w:top w:type="dxa" w:w="80"/>
              <w:left w:type="dxa" w:w="80"/>
              <w:bottom w:type="dxa" w:w="80"/>
              <w:right w:type="dxa" w:w="80"/>
            </w:tcMar>
          </w:tcPr>
          <w:p>
            <w:pPr>
              <w:jc w:val="center"/>
            </w:pPr>
            <w:r>
              <w:rPr>
                <w:rFonts w:ascii="Arial" w:cs="Arial" w:eastAsia="Arial" w:hAnsi="Arial"/>
                <w:b/>
                <w:bCs/>
                <w:color w:val="FFFFFF"/>
                <w:sz w:val="18"/>
                <w:szCs w:val="18"/>
              </w:rPr>
              <w:t xml:space="preserve">LOW</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Purely credentialing exhibit with no direct connection to national importance or proposed endeavor impact.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Tie explicitly to proposed endeavor: add attorney cover paragraph explaining how postgraduate-level expertise is necessary to design and implement the specific federal compliance frameworks at issue.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CEO Award Evidence
(Exhibit 17)</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MEDIUM — demonstrates organizational recognition</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Award is internal; USCIS may treat as routine employee recognition rather than field recognition. No external peer recognition.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Supplement with professional association recognition, publication in peer-reviewed or industry journal, speaking engagement at a U.S. public finance or grants management conference, or citation by external organizations.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Cover Letter / Petition Letter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HIGH structure; well-organized Dhanasar prong arguments; citations to GAO/OMB</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Claims of national importance are asserted but evidence citations are general. Some GAO report numbers cited appear incomplete or without direct quotation.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Insert verbatim key statistics from each cited report directly into the petition letter. Add a dedicated sub-section on 'Market Failure' establishing why the private sector has not solved this problem.</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System Code / Algorithms
(G-2, G-3, G-6)</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MEDIUM — demonstrates technical capability; Python code samples are probative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C55A11"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Code exhibits are technical with no plain-language translation for non-technical adjudicators.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Add a one-page plain-language summary for each algorithm exhibit explaining the financial governance problem it solves, the limitation of existing tools, and how the petitioner's code addresses the gap. Frame in OMB/GAO language.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Sample Data / Dashboard Screenshots
(G-4, G-5, G-8)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MEDIUM — illustrates system functionality; visual evidence of output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Arial" w:cs="Arial" w:eastAsia="Arial" w:hAnsi="Arial"/>
                <w:b/>
                <w:bCs/>
                <w:sz w:val="18"/>
                <w:szCs w:val="18"/>
              </w:rPr>
              <w:t xml:space="preserve">★★☆☆</w:t>
            </w:r>
          </w:p>
        </w:tc>
        <w:tc>
          <w:tcPr>
            <w:tcW w:type="dxa" w:w="1000"/>
            <w:tcBorders>
              <w:top w:val="single" w:color="CCCCCC" w:sz="4"/>
              <w:left w:val="single" w:color="CCCCCC" w:sz="4"/>
              <w:bottom w:val="single" w:color="CCCCCC" w:sz="4"/>
              <w:right w:val="single" w:color="CCCCCC" w:sz="4"/>
            </w:tcBorders>
            <w:shd w:fill="C0000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MEDIUM-HIGH</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Screenshots are generated from test/sample data—not live deployment. USCIS may question operational validity.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Provide a notarized declaration confirming the screenshots reflect the functional system, not mock data. If a pilot has occurred, add output from real transactions (redacted for PII).</w:t>
            </w:r>
          </w:p>
        </w:tc>
      </w:tr>
    </w:tbl>
    <w:p>
      <w:pPr>
        <w:spacing w:after="0" w:before="100"/>
      </w:pPr>
      <w:r>
        <w:t xml:space="preserve"/>
      </w:r>
    </w:p>
    <w:p>
      <w:pPr>
        <w:pStyle w:val="Heading2"/>
        <w:spacing w:after="80" w:before="240"/>
      </w:pPr>
      <w:r>
        <w:rPr>
          <w:rFonts w:ascii="Arial" w:cs="Arial" w:eastAsia="Arial" w:hAnsi="Arial"/>
          <w:b/>
          <w:bCs/>
          <w:color w:val="2E75B6"/>
          <w:sz w:val="24"/>
          <w:szCs w:val="24"/>
        </w:rPr>
        <w:t xml:space="preserve">Recommended Exhibit Organization — Maximum Persuasive Impact</w:t>
      </w:r>
    </w:p>
    <w:p>
      <w:pPr>
        <w:spacing w:after="60" w:before="60"/>
      </w:pPr>
      <w:r>
        <w:rPr>
          <w:rFonts w:ascii="Arial" w:cs="Arial" w:eastAsia="Arial" w:hAnsi="Arial"/>
          <w:color w:val="000000"/>
          <w:sz w:val="20"/>
          <w:szCs w:val="20"/>
        </w:rPr>
        <w:t xml:space="preserve">Exhibits should be organized to guide the adjudicator through a sequential logical argument:</w:t>
      </w:r>
    </w:p>
    <w:p>
      <w:pPr>
        <w:pStyle w:val="ListParagraph"/>
        <w:numPr>
          <w:ilvl w:val="0"/>
          <w:numId w:val="2"/>
        </w:numPr>
        <w:spacing w:after="40" w:before="40"/>
      </w:pPr>
      <w:r>
        <w:rPr>
          <w:rFonts w:ascii="Arial" w:cs="Arial" w:eastAsia="Arial" w:hAnsi="Arial"/>
          <w:sz w:val="20"/>
          <w:szCs w:val="20"/>
        </w:rPr>
        <w:t xml:space="preserve">Tab 1 — Credential Exhibits: ECCTIS Certificate, CFA designation, FCA/FCCA certificates.</w:t>
      </w:r>
    </w:p>
    <w:p>
      <w:pPr>
        <w:pStyle w:val="ListParagraph"/>
        <w:numPr>
          <w:ilvl w:val="0"/>
          <w:numId w:val="2"/>
        </w:numPr>
        <w:spacing w:after="40" w:before="40"/>
      </w:pPr>
      <w:r>
        <w:rPr>
          <w:rFonts w:ascii="Arial" w:cs="Arial" w:eastAsia="Arial" w:hAnsi="Arial"/>
          <w:sz w:val="20"/>
          <w:szCs w:val="20"/>
        </w:rPr>
        <w:t xml:space="preserve">Tab 2 — National Problem Evidence: Copies of key pages from GAO-23-105678, PRAC FY2023, HUD OIG FY2023 (highlight the specific statistics cited in the petition letter).</w:t>
      </w:r>
    </w:p>
    <w:p>
      <w:pPr>
        <w:pStyle w:val="ListParagraph"/>
        <w:numPr>
          <w:ilvl w:val="0"/>
          <w:numId w:val="2"/>
        </w:numPr>
        <w:spacing w:after="40" w:before="40"/>
      </w:pPr>
      <w:r>
        <w:rPr>
          <w:rFonts w:ascii="Arial" w:cs="Arial" w:eastAsia="Arial" w:hAnsi="Arial"/>
          <w:sz w:val="20"/>
          <w:szCs w:val="20"/>
        </w:rPr>
        <w:t xml:space="preserve">Tab 3 — Proposed Endeavor — Technical Exhibits: Exhibit 21 (AI Fraud Detection), Exhibit 22 (Architecture &amp; Roadmap), G-1 through G-9.</w:t>
      </w:r>
    </w:p>
    <w:p>
      <w:pPr>
        <w:pStyle w:val="ListParagraph"/>
        <w:numPr>
          <w:ilvl w:val="0"/>
          <w:numId w:val="2"/>
        </w:numPr>
        <w:spacing w:after="40" w:before="40"/>
      </w:pPr>
      <w:r>
        <w:rPr>
          <w:rFonts w:ascii="Arial" w:cs="Arial" w:eastAsia="Arial" w:hAnsi="Arial"/>
          <w:sz w:val="20"/>
          <w:szCs w:val="20"/>
        </w:rPr>
        <w:t xml:space="preserve">Tab 4 — Expert Letters: U.S.-based expert letter (NEW) first; then existing letters from CEO, COO, CSO, Internal Audit Head, PwC Partner.</w:t>
      </w:r>
    </w:p>
    <w:p>
      <w:pPr>
        <w:pStyle w:val="ListParagraph"/>
        <w:numPr>
          <w:ilvl w:val="0"/>
          <w:numId w:val="2"/>
        </w:numPr>
        <w:spacing w:after="40" w:before="40"/>
      </w:pPr>
      <w:r>
        <w:rPr>
          <w:rFonts w:ascii="Arial" w:cs="Arial" w:eastAsia="Arial" w:hAnsi="Arial"/>
          <w:sz w:val="20"/>
          <w:szCs w:val="20"/>
        </w:rPr>
        <w:t xml:space="preserve">Tab 5 — U.S. Institutional Interest Evidence (NEW): Letter(s) of interest from U.S. entities.</w:t>
      </w:r>
    </w:p>
    <w:p>
      <w:pPr>
        <w:pStyle w:val="ListParagraph"/>
        <w:numPr>
          <w:ilvl w:val="0"/>
          <w:numId w:val="2"/>
        </w:numPr>
        <w:spacing w:after="40" w:before="40"/>
      </w:pPr>
      <w:r>
        <w:rPr>
          <w:rFonts w:ascii="Arial" w:cs="Arial" w:eastAsia="Arial" w:hAnsi="Arial"/>
          <w:sz w:val="20"/>
          <w:szCs w:val="20"/>
        </w:rPr>
        <w:t xml:space="preserve">Tab 6 — Supporting Compliance Exhibits: Audit Readiness Framework (Exhibit 20), ERP Implementation Guidance (Exhibit 19), Compliance Dashboard (Exhibit 18).</w:t>
      </w:r>
    </w:p>
    <w:p>
      <w:pPr>
        <w:pageBreakBefore/>
      </w:pPr>
      <w:r>
        <w:rPr>
          <w:sz w:val="20"/>
          <w:szCs w:val="20"/>
        </w:rPr>
        <w:t xml:space="preserve"/>
      </w:r>
    </w:p>
    <w:p>
      <w:pPr>
        <w:pStyle w:val="Heading1"/>
        <w:spacing w:after="120" w:before="360"/>
      </w:pPr>
      <w:r>
        <w:rPr>
          <w:rFonts w:ascii="Arial" w:cs="Arial" w:eastAsia="Arial" w:hAnsi="Arial"/>
          <w:b/>
          <w:bCs/>
          <w:color w:val="1F3864"/>
          <w:sz w:val="32"/>
          <w:szCs w:val="32"/>
        </w:rPr>
        <w:t xml:space="preserve">PART VI — MISSING EVIDENCE &amp; RECOMMENDED PETITION REVISIONS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160"/>
      </w:tblGrid>
      <w:tr>
        <w:trPr>
          <w:tblHeader/>
        </w:trPr>
        <w:tc>
          <w:tcPr>
            <w:tcW w:type="dxa" w:w="18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 Evidence Type</w:t>
            </w:r>
          </w:p>
        </w:tc>
        <w:tc>
          <w:tcPr>
            <w:tcW w:type="dxa" w:w="28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It Matters to USCIS</w:t>
            </w:r>
          </w:p>
        </w:tc>
        <w:tc>
          <w:tcPr>
            <w:tcW w:type="dxa" w:w="160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Prong(s) Affected</w:t>
            </w:r>
          </w:p>
        </w:tc>
        <w:tc>
          <w:tcPr>
            <w:tcW w:type="dxa" w:w="3160"/>
            <w:gridSpan w:val="1"/>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How to Obtain / Suggested Action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U.S.-Based Expert Opinion Letter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All current expert letters come from non-U.S. professionals. USCIS adjudicators typically give heightened weight to U.S. practitioners who can evaluate the system within the U.S. federal compliance context.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Prongs 1 &amp; 3</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Commission a letter from a U.S.-licensed CPA with Single Audit experience, a public finance professor at a U.S. university, or a former GAO/HUD OIG official. Target organizations: AICPA Government Audit Quality Center, NASBO, GFOA.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Pilot Deployment Evidence or Letter of Interest from U.S. Entity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USCIS Prong 3 analysis centers on whether the petitioner can actually execute the endeavor in the U.S. without employer sponsorship. Current exhibits show a concept and roadmap but no U.S. institutional engagement.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Prong 3 (Critical)</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Obtain a signed Letter of Interest, MOU, or advisory agreement from a U.S. municipality, housing authority, tribal government, or nonprofit. Even a single letter from a U.S. entity expressing intent to pilot GFDS V4 transforms the Prong 3 analysis.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Direct Quotation of Federal Data in Petition Letter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Petition cites report numbers but does not always embed key statistics directly. USCIS adjudicators read the petition letter—not the footnotes—as the primary argument.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Prong 1</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Revise petition letter Sections 1.1–1.3 to insert verbatim dollar figures ($236B improper payments; $45.6B COVID fraud; 63% HUD audit non-compliance rate) sourced from cited reports. Every national importance claim should be quantified.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Independent Technical Review of GFDS V4</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System exhibits (G-1 through G-9) describe architecture but lack third-party validation of functional design adequacy.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Prongs 1 &amp; 2</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Commission a technical review letter from a U.S. cybersecurity/fintech professional or public sector technology consultant who can attest that the system design is technically sound and addresses documented compliance gaps.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Evidence of U.S. Professional Engagement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No evidence of U.S. conference presentations, publications in U.S. journals, citations by U.S. professionals, or advisory roles at U.S. organizations.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Prongs 2 &amp; 3</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Submit abstract or presentation proposal to GFOA Annual Conference, AGA (Association of Government Accountants), or AICPA. Publish a short article in a U.S. public finance publication. Even a submitted (not yet accepted) manuscript demonstrates 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Market Failure Analysis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Petition asserts that existing solutions are inadequate but does not systematically demonstrate why the private sector or existing TA programs have not solved these problems.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Prong 1</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Arial" w:cs="Arial" w:eastAsia="Arial" w:hAnsi="Arial"/>
                <w:sz w:val="18"/>
                <w:szCs w:val="18"/>
              </w:rPr>
              <w:t xml:space="preserve">Add a 1-page 'Market Gap Analysis' section to the petition letter citing: (1) cost barriers of commercial compliance software for small grantees; (2) absence of open-access tools aligned to 2 CFR 200; (3) TA program limitations documented in GAO/PRAC reports.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Evidence of Originality / Uniqueness of Approach</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GFDS V4 is described as original, but no comparison to existing commercial solutions (e.g., SAP Grants Management, Workday, eCivis) is provided to demonstrate what makes this approach distinct.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Prong 1</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Arial" w:cs="Arial" w:eastAsia="Arial" w:hAnsi="Arial"/>
                <w:sz w:val="18"/>
                <w:szCs w:val="18"/>
              </w:rPr>
              <w:t xml:space="preserve">Add a comparative exhibit showing how GFDS V4 differs from and improves upon existing market solutions, specifically in its open-access design, 2 CFR 200 alignment, and modular architecture for under-resourced entities.</w:t>
            </w:r>
          </w:p>
        </w:tc>
      </w:tr>
    </w:tbl>
    <w:p>
      <w:pPr>
        <w:spacing w:after="0" w:before="120"/>
      </w:pPr>
      <w:r>
        <w:t xml:space="preserve"/>
      </w:r>
    </w:p>
    <w:p>
      <w:pPr>
        <w:pStyle w:val="Heading2"/>
        <w:spacing w:after="80" w:before="240"/>
      </w:pPr>
      <w:r>
        <w:rPr>
          <w:rFonts w:ascii="Arial" w:cs="Arial" w:eastAsia="Arial" w:hAnsi="Arial"/>
          <w:b/>
          <w:bCs/>
          <w:color w:val="2E75B6"/>
          <w:sz w:val="24"/>
          <w:szCs w:val="24"/>
        </w:rPr>
        <w:t xml:space="preserve">Priority Action Plan — Immediate Implementation Sequence</w:t>
      </w:r>
    </w:p>
    <w:p>
      <w:pPr>
        <w:spacing w:after="60" w:before="60"/>
      </w:pPr>
      <w:r>
        <w:rPr>
          <w:rFonts w:ascii="Arial" w:cs="Arial" w:eastAsia="Arial" w:hAnsi="Arial"/>
          <w:b/>
          <w:bCs/>
          <w:color w:val="000000"/>
          <w:sz w:val="20"/>
          <w:szCs w:val="20"/>
        </w:rPr>
        <w:t xml:space="preserve">Actions Ranked by Impact-to-Effort Ratio:</w:t>
      </w:r>
    </w:p>
    <w:p>
      <w:pPr>
        <w:pStyle w:val="ListParagraph"/>
        <w:numPr>
          <w:ilvl w:val="0"/>
          <w:numId w:val="2"/>
        </w:numPr>
        <w:spacing w:after="40" w:before="40"/>
      </w:pPr>
      <w:r>
        <w:rPr>
          <w:rFonts w:ascii="Arial" w:cs="Arial" w:eastAsia="Arial" w:hAnsi="Arial"/>
          <w:sz w:val="20"/>
          <w:szCs w:val="20"/>
        </w:rPr>
        <w:t xml:space="preserve">[PRIORITY 1 — CRITICAL] Obtain U.S.-based expert letter. Estimated effort: 2–3 weeks. Impact: Directly addresses RFE B-1 and strengthens all three prongs simultaneously.</w:t>
      </w:r>
    </w:p>
    <w:p>
      <w:pPr>
        <w:pStyle w:val="ListParagraph"/>
        <w:numPr>
          <w:ilvl w:val="0"/>
          <w:numId w:val="2"/>
        </w:numPr>
        <w:spacing w:after="40" w:before="40"/>
      </w:pPr>
      <w:r>
        <w:rPr>
          <w:rFonts w:ascii="Arial" w:cs="Arial" w:eastAsia="Arial" w:hAnsi="Arial"/>
          <w:sz w:val="20"/>
          <w:szCs w:val="20"/>
        </w:rPr>
        <w:t xml:space="preserve">[PRIORITY 2 — CRITICAL] Revise petition letter to embed statistics from cited reports directly into national importance narrative. Estimated effort: 3–5 days. Impact: Directly addresses RFE A-1 and raises Prong 1 from Medium-Strong to Strong.</w:t>
      </w:r>
    </w:p>
    <w:p>
      <w:pPr>
        <w:pStyle w:val="ListParagraph"/>
        <w:numPr>
          <w:ilvl w:val="0"/>
          <w:numId w:val="2"/>
        </w:numPr>
        <w:spacing w:after="40" w:before="40"/>
      </w:pPr>
      <w:r>
        <w:rPr>
          <w:rFonts w:ascii="Arial" w:cs="Arial" w:eastAsia="Arial" w:hAnsi="Arial"/>
          <w:sz w:val="20"/>
          <w:szCs w:val="20"/>
        </w:rPr>
        <w:t xml:space="preserve">[PRIORITY 3 — HIGH] Obtain at least one U.S. letter of interest from a target organization. Estimated effort: 2–4 weeks. Impact: Directly addresses RFE C-1; transforms Prong 3 from Medium to Strong.</w:t>
      </w:r>
    </w:p>
    <w:p>
      <w:pPr>
        <w:pStyle w:val="ListParagraph"/>
        <w:numPr>
          <w:ilvl w:val="0"/>
          <w:numId w:val="2"/>
        </w:numPr>
        <w:spacing w:after="40" w:before="40"/>
      </w:pPr>
      <w:r>
        <w:rPr>
          <w:rFonts w:ascii="Arial" w:cs="Arial" w:eastAsia="Arial" w:hAnsi="Arial"/>
          <w:sz w:val="20"/>
          <w:szCs w:val="20"/>
        </w:rPr>
        <w:t xml:space="preserve">[PRIORITY 4 — HIGH] Add market gap analysis section to petition letter comparing GFDS V4 to existing commercial tools. Estimated effort: 2–3 days. Impact: Directly addresses RFE A-2.</w:t>
      </w:r>
    </w:p>
    <w:p>
      <w:pPr>
        <w:pStyle w:val="ListParagraph"/>
        <w:numPr>
          <w:ilvl w:val="0"/>
          <w:numId w:val="2"/>
        </w:numPr>
        <w:spacing w:after="40" w:before="40"/>
      </w:pPr>
      <w:r>
        <w:rPr>
          <w:rFonts w:ascii="Arial" w:cs="Arial" w:eastAsia="Arial" w:hAnsi="Arial"/>
          <w:sz w:val="20"/>
          <w:szCs w:val="20"/>
        </w:rPr>
        <w:t xml:space="preserve">[PRIORITY 5 — MEDIUM] Commission technical validation letter for GFDS V4. Estimated effort: 1–2 weeks. Impact: Strengthens Prong 1 and Prong 2 technical credibility.</w:t>
      </w:r>
    </w:p>
    <w:p>
      <w:pPr>
        <w:pStyle w:val="ListParagraph"/>
        <w:numPr>
          <w:ilvl w:val="0"/>
          <w:numId w:val="2"/>
        </w:numPr>
        <w:spacing w:after="40" w:before="40"/>
      </w:pPr>
      <w:r>
        <w:rPr>
          <w:rFonts w:ascii="Arial" w:cs="Arial" w:eastAsia="Arial" w:hAnsi="Arial"/>
          <w:sz w:val="20"/>
          <w:szCs w:val="20"/>
        </w:rPr>
        <w:t xml:space="preserve">[PRIORITY 6 — MEDIUM] Restructure petition letter per attorney strategy above. Estimated effort: 3–5 days. Impact: Improves adjudicator navigation and reduces risk of key arguments being missed.</w:t>
      </w:r>
    </w:p>
    <w:p>
      <w:pPr>
        <w:pStyle w:val="ListParagraph"/>
        <w:numPr>
          <w:ilvl w:val="0"/>
          <w:numId w:val="2"/>
        </w:numPr>
        <w:spacing w:after="40" w:before="40"/>
      </w:pPr>
      <w:r>
        <w:rPr>
          <w:rFonts w:ascii="Arial" w:cs="Arial" w:eastAsia="Arial" w:hAnsi="Arial"/>
          <w:sz w:val="20"/>
          <w:szCs w:val="20"/>
        </w:rPr>
        <w:t xml:space="preserve">[PRIORITY 7 — LONG TERM] Submit article or presentation proposal to U.S. public finance conference. Impact: Strengthens Prong 2 and Prong 3 in any future filing or appeal.</w:t>
      </w:r>
    </w:p>
    <w:p>
      <w:pPr>
        <w:spacing w:after="0" w:before="120"/>
      </w:pPr>
      <w:r>
        <w:t xml:space="preserve"/>
      </w:r>
    </w:p>
    <w:p>
      <w:pPr>
        <w:pBdr>
          <w:bottom w:val="single" w:color="2E75B6" w:sz="6" w:space="1"/>
        </w:pBdr>
        <w:spacing w:after="120" w:before="120"/>
      </w:pPr>
      <w:r>
        <w:t xml:space="preserve"/>
      </w:r>
    </w:p>
    <w:p>
      <w:pPr>
        <w:spacing w:after="80" w:before="80"/>
      </w:pPr>
      <w:r>
        <w:rPr>
          <w:rFonts w:ascii="Arial" w:cs="Arial" w:eastAsia="Arial" w:hAnsi="Arial"/>
          <w:b/>
          <w:bCs/>
          <w:sz w:val="18"/>
          <w:szCs w:val="18"/>
        </w:rPr>
        <w:t xml:space="preserve">DISCLAIMER: </w:t>
      </w:r>
      <w:r>
        <w:rPr>
          <w:rFonts w:ascii="Arial" w:cs="Arial" w:eastAsia="Arial" w:hAnsi="Arial"/>
          <w:i/>
          <w:iCs/>
          <w:sz w:val="18"/>
          <w:szCs w:val="18"/>
        </w:rPr>
        <w:t xml:space="preserve">This report is prepared for internal strategy purposes by Chen Immigration Law Associates. It does not constitute a formal legal opinion and is not a guarantee of any outcome. All probability estimates are based on case analysis and current USCIS adjudication trends and are subject to change. This document is attorney-client privileged.</w:t>
      </w:r>
    </w:p>
    <w:p>
      <w:pPr>
        <w:pBdr>
          <w:bottom w:val="single" w:color="2E75B6" w:sz="6" w:space="1"/>
        </w:pBdr>
        <w:spacing w:after="12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abstractNum w:abstractNumId="4" w15:restartNumberingAfterBreak="0">
    <w:multiLevelType w:val="hybridMultilevel"/>
    <w:lvl w:ilvl="0" w15:tentative="1">
      <w:start w:val="1"/>
      <w:numFmt w:val="bullet"/>
      <w:lvlText w:val="○"/>
      <w:lvlJc w:val="left"/>
      <w:pPr>
        <w:spacing w:after="20" w:before="20"/>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2026-05-08T11:19:23.725Z</dcterms:created>
  <dcterms:modified xsi:type="dcterms:W3CDTF">2026-05-08T11:19:23.745Z</dcterms:modified>
</cp:coreProperties>
</file>

<file path=docProps/custom.xml><?xml version="1.0" encoding="utf-8"?>
<Properties xmlns="http://schemas.openxmlformats.org/officeDocument/2006/custom-properties" xmlns:vt="http://schemas.openxmlformats.org/officeDocument/2006/docPropsVTypes"/>
</file>