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9F62" w14:textId="77777777" w:rsidR="00285976" w:rsidRDefault="00000000">
      <w:pPr>
        <w:spacing w:before="200" w:after="30"/>
      </w:pPr>
      <w:r>
        <w:rPr>
          <w:b/>
          <w:bCs/>
          <w:color w:val="000000"/>
        </w:rPr>
        <w:t>[INDEPENDENT EXPERT NAME], [Credentials]</w:t>
      </w:r>
    </w:p>
    <w:p w14:paraId="3DA42494" w14:textId="77777777" w:rsidR="00285976" w:rsidRDefault="00000000">
      <w:pPr>
        <w:spacing w:before="60" w:after="80"/>
      </w:pPr>
      <w:r>
        <w:t>[Title / Position | Research Focus Area]</w:t>
      </w:r>
    </w:p>
    <w:p w14:paraId="5D1C2186" w14:textId="77777777" w:rsidR="00285976" w:rsidRDefault="00000000">
      <w:pPr>
        <w:spacing w:before="60" w:after="80"/>
      </w:pPr>
      <w:r>
        <w:t>[Department · School / College · Institution Name]</w:t>
      </w:r>
    </w:p>
    <w:p w14:paraId="1B3EFF27" w14:textId="77777777" w:rsidR="00285976" w:rsidRDefault="00000000">
      <w:pPr>
        <w:spacing w:before="60" w:after="80"/>
      </w:pPr>
      <w:r>
        <w:rPr>
          <w:i/>
          <w:iCs/>
          <w:color w:val="555555"/>
        </w:rPr>
        <w:t>Email: [expert.email@institution.edu] · ORCID: [0000-0000-XXXX-XXXX] · LinkedIn: [/in/expert-profile]</w:t>
      </w:r>
    </w:p>
    <w:p w14:paraId="5ACF3D1B" w14:textId="77777777" w:rsidR="00285976" w:rsidRDefault="00000000">
      <w:pPr>
        <w:spacing w:before="60" w:after="80"/>
      </w:pPr>
      <w:r>
        <w:rPr>
          <w:i/>
          <w:iCs/>
          <w:color w:val="555555"/>
        </w:rPr>
        <w:t>[Degrees and Institutions — to be completed by independent expert]</w:t>
      </w:r>
    </w:p>
    <w:p w14:paraId="5B6808A7" w14:textId="77777777" w:rsidR="00285976" w:rsidRDefault="00285976">
      <w:pPr>
        <w:spacing w:before="60" w:after="80"/>
      </w:pPr>
    </w:p>
    <w:p w14:paraId="4120D253" w14:textId="77777777" w:rsidR="00285976" w:rsidRDefault="00000000">
      <w:pPr>
        <w:spacing w:before="60" w:after="80"/>
      </w:pPr>
      <w:r>
        <w:t>April 2026</w:t>
      </w:r>
    </w:p>
    <w:p w14:paraId="233183F5" w14:textId="77777777" w:rsidR="00285976" w:rsidRDefault="00285976">
      <w:pPr>
        <w:spacing w:before="60" w:after="80"/>
      </w:pPr>
    </w:p>
    <w:p w14:paraId="3DA0249F" w14:textId="77777777" w:rsidR="00285976" w:rsidRDefault="00000000">
      <w:pPr>
        <w:spacing w:before="60" w:after="80"/>
      </w:pPr>
      <w:r>
        <w:rPr>
          <w:b/>
          <w:bCs/>
          <w:color w:val="000000"/>
        </w:rPr>
        <w:t>U.S. Citizenship and Immigration Services</w:t>
      </w:r>
    </w:p>
    <w:p w14:paraId="43A9C0B4" w14:textId="77777777" w:rsidR="00285976" w:rsidRDefault="00000000">
      <w:pPr>
        <w:spacing w:before="60" w:after="80"/>
      </w:pPr>
      <w:r>
        <w:t>Attn: I-140 Adjudication Unit</w:t>
      </w:r>
    </w:p>
    <w:p w14:paraId="6252842B" w14:textId="77777777" w:rsidR="00285976" w:rsidRDefault="00000000">
      <w:pPr>
        <w:spacing w:before="60" w:after="80"/>
      </w:pPr>
      <w:r>
        <w:t>P.O. Box 88774</w:t>
      </w:r>
    </w:p>
    <w:p w14:paraId="12A54A1A" w14:textId="77777777" w:rsidR="00285976" w:rsidRDefault="00000000">
      <w:pPr>
        <w:spacing w:before="60" w:after="80"/>
      </w:pPr>
      <w:r>
        <w:t>Chicago, IL 60680-1774</w:t>
      </w:r>
    </w:p>
    <w:p w14:paraId="6A18912C" w14:textId="77777777" w:rsidR="00285976" w:rsidRDefault="00285976">
      <w:pPr>
        <w:spacing w:before="60" w:after="80"/>
      </w:pPr>
    </w:p>
    <w:p w14:paraId="4B863AFF" w14:textId="5D5CD192" w:rsidR="00285976" w:rsidRDefault="00000000">
      <w:pPr>
        <w:spacing w:before="60" w:after="80"/>
      </w:pPr>
      <w:r>
        <w:rPr>
          <w:b/>
          <w:bCs/>
          <w:color w:val="000000"/>
        </w:rPr>
        <w:t xml:space="preserve">Re: Independent Technical Validation </w:t>
      </w:r>
    </w:p>
    <w:p w14:paraId="779225B2" w14:textId="77777777" w:rsidR="00285976" w:rsidRDefault="00285976">
      <w:pPr>
        <w:spacing w:before="60" w:after="80"/>
      </w:pPr>
    </w:p>
    <w:p w14:paraId="3CBD0E6F" w14:textId="77777777" w:rsidR="00285976" w:rsidRDefault="00000000">
      <w:pPr>
        <w:spacing w:before="60" w:after="80"/>
      </w:pPr>
      <w:r>
        <w:rPr>
          <w:b/>
          <w:bCs/>
          <w:color w:val="000000"/>
        </w:rPr>
        <w:t xml:space="preserve">Petitioner: </w:t>
      </w:r>
      <w:r>
        <w:t>Muhammad Bilal, FCA | FCCA | CFA</w:t>
      </w:r>
    </w:p>
    <w:p w14:paraId="3BDF7A09" w14:textId="77777777" w:rsidR="00285976" w:rsidRDefault="00000000">
      <w:pPr>
        <w:spacing w:before="60" w:after="80"/>
      </w:pPr>
      <w:r>
        <w:rPr>
          <w:b/>
          <w:bCs/>
          <w:color w:val="000000"/>
        </w:rPr>
        <w:t xml:space="preserve">Matter Type: </w:t>
      </w:r>
      <w:r>
        <w:t>EB-2 National Interest Waiver Petition (I-140)</w:t>
      </w:r>
    </w:p>
    <w:p w14:paraId="07599094" w14:textId="7E1DE909" w:rsidR="00285976" w:rsidRDefault="00000000">
      <w:pPr>
        <w:spacing w:before="60" w:after="80"/>
      </w:pPr>
      <w:r>
        <w:t>Subject: FraudGuard™ v4.1 (Grant Oversight and Analytics System, GOAS V4.1) — Exhibit 12.4; and GovGuard™ — Grant Compliance Platform — Exhibit 12.5</w:t>
      </w:r>
    </w:p>
    <w:p w14:paraId="120C210F" w14:textId="77777777" w:rsidR="00285976" w:rsidRDefault="00000000">
      <w:pPr>
        <w:spacing w:before="60" w:after="80"/>
      </w:pPr>
      <w:r>
        <w:rPr>
          <w:i/>
          <w:iCs/>
          <w:color w:val="555555"/>
        </w:rPr>
        <w:t xml:space="preserve">Legal Standard: Matter of </w:t>
      </w:r>
      <w:proofErr w:type="spellStart"/>
      <w:r>
        <w:rPr>
          <w:i/>
          <w:iCs/>
          <w:color w:val="555555"/>
        </w:rPr>
        <w:t>Dhanasar</w:t>
      </w:r>
      <w:proofErr w:type="spellEnd"/>
      <w:r>
        <w:rPr>
          <w:i/>
          <w:iCs/>
          <w:color w:val="555555"/>
        </w:rPr>
        <w:t>, 26 I&amp;N Dec. 884 (AAO 2016)</w:t>
      </w:r>
    </w:p>
    <w:p w14:paraId="765D0520" w14:textId="77777777" w:rsidR="00285976" w:rsidRDefault="00285976">
      <w:pPr>
        <w:spacing w:before="60" w:after="80"/>
      </w:pPr>
    </w:p>
    <w:p w14:paraId="699AA42B" w14:textId="77777777" w:rsidR="00285976" w:rsidRDefault="00000000">
      <w:pPr>
        <w:spacing w:before="60" w:after="80"/>
      </w:pPr>
      <w:r>
        <w:t>Dear USCIS Adjudicating Officer:</w:t>
      </w:r>
    </w:p>
    <w:p w14:paraId="6C98F616" w14:textId="77777777" w:rsidR="00285976" w:rsidRDefault="00285976">
      <w:pPr>
        <w:spacing w:before="60" w:after="80"/>
      </w:pPr>
    </w:p>
    <w:p w14:paraId="43259C7C" w14:textId="486647B2" w:rsidR="00285976" w:rsidRDefault="00000000" w:rsidP="00775A3F">
      <w:pPr>
        <w:spacing w:before="60" w:after="80"/>
        <w:jc w:val="both"/>
      </w:pPr>
      <w:r>
        <w:t>I am submitting this letter to provide an independent technical review of two software systems developed by Mr. Muhammad Bilal (FCA, FCCA, CFA) and submitted in support of his EB-2 National Interest Waiver petition: FraudGuard™ v4.1 (Grant Oversight and Analytics System, GOAS V4.1), submitted as Exhibit 12.4, and GovGuard™ — Grant Compliance Platform, submitted as Exhibit 12.5. This letter is organized in two parts, one per system, followed by a combined assessment and recommendations. I have no financial, professional, or personal relationship with the petitioner or with any legal representative involved in this matter, and my assessment is rendered independently and without advocacy.</w:t>
      </w:r>
    </w:p>
    <w:p w14:paraId="14F10981" w14:textId="77777777" w:rsidR="00285976" w:rsidRDefault="00285976">
      <w:pPr>
        <w:spacing w:before="60" w:after="80"/>
      </w:pPr>
    </w:p>
    <w:p w14:paraId="7E066623" w14:textId="77777777" w:rsidR="00285976" w:rsidRDefault="00000000">
      <w:pPr>
        <w:pStyle w:val="Heading1"/>
        <w:pBdr>
          <w:bottom w:val="single" w:sz="8" w:space="0" w:color="0F4C8A"/>
        </w:pBdr>
      </w:pPr>
      <w:r>
        <w:t>I. Reviewer Qualifications and Scope of Review</w:t>
      </w:r>
    </w:p>
    <w:p w14:paraId="56894978" w14:textId="77777777" w:rsidR="00285976" w:rsidRDefault="00000000" w:rsidP="001E2522">
      <w:pPr>
        <w:spacing w:before="60" w:after="80"/>
        <w:jc w:val="both"/>
      </w:pPr>
      <w:r>
        <w:t>I hold [degrees and specializations — to be completed by expert]. My research focuses on [anomaly detection and machine learning for financial data, or equivalent relevant area of expertise]. My published work includes [peer-reviewed publications, conference contributions, and/or federal advisory roles relevant to this evaluation — to be completed by expert]. This background provides the technical foundation necessary to evaluate the algorithmic methodology, validation approach, and system architecture described in the submitted exhibits.</w:t>
      </w:r>
    </w:p>
    <w:p w14:paraId="6BD46B11" w14:textId="77777777" w:rsidR="00285976" w:rsidRDefault="00285976">
      <w:pPr>
        <w:spacing w:before="60" w:after="80"/>
      </w:pPr>
    </w:p>
    <w:p w14:paraId="4F1C4949" w14:textId="6EB32B98" w:rsidR="0090203C" w:rsidRDefault="00000000" w:rsidP="00C93BA8">
      <w:pPr>
        <w:spacing w:before="60" w:after="80"/>
        <w:jc w:val="both"/>
      </w:pPr>
      <w:r>
        <w:t>I have reviewed the following materials submitted by the petitioner. For FraudGuard™ v4.1: Exhibit 12.4, the QA Validation Report, the six test datasets DS1–DS6 (150 transactions, 6 fraud scenarios), and the End-User Testing Manual documenting UI validation across 4 user roles. For GovGuard™: Exhibit 12.5 and its supporting sub-exhibits — G-1 (System Architecture), G-2 (Fraud Detection Rule Library, 47 rules), G-3 (ML Model Documentation), G-4 (GAO Test Dataset Validation, 70 scenarios), G-6 (Code/Algorithms), G-7 (Compliance Rule Engine, 10 rules), and G-9 (Security Architecture). My review was conducted in April 2026.</w:t>
      </w:r>
    </w:p>
    <w:p w14:paraId="6A9C64C5" w14:textId="77777777" w:rsidR="0090203C" w:rsidRDefault="0090203C">
      <w:r>
        <w:br w:type="page"/>
      </w:r>
    </w:p>
    <w:p>
      <w:pPr>
        <w:pStyle w:val="Heading1"/>
      </w:pPr>
      <w:r>
        <w:t>PART I — FraudGuard™ v4.1 (Grant Oversight and Analytics System, GOAS V4.1) — Exhibit 12.4</w:t>
      </w:r>
    </w:p>
    <w:p/>
    <w:p w14:paraId="71A444C8" w14:textId="77777777" w:rsidR="00285976" w:rsidRDefault="00000000">
      <w:pPr>
        <w:pStyle w:val="Heading1"/>
        <w:pBdr>
          <w:bottom w:val="single" w:sz="8" w:space="0" w:color="0F4C8A"/>
        </w:pBdr>
      </w:pPr>
      <w:r>
        <w:lastRenderedPageBreak/>
        <w:t>II. Methodological Soundness Assessment</w:t>
      </w:r>
    </w:p>
    <w:p w14:paraId="45EF903C" w14:textId="1E06A349" w:rsidR="00285976" w:rsidRDefault="00000000">
      <w:pPr>
        <w:spacing w:before="60" w:after="80"/>
      </w:pPr>
      <w:r>
        <w:rPr>
          <w:b/>
          <w:bCs/>
          <w:color w:val="000000"/>
        </w:rPr>
        <w:t xml:space="preserve">Assessment: </w:t>
      </w:r>
      <w:r w:rsidR="00CB3BEA" w:rsidRPr="00CB3BEA">
        <w:t>Sound, with an appropriate architecture for the federal grant fraud detection use case.</w:t>
      </w:r>
    </w:p>
    <w:p w14:paraId="127D3713" w14:textId="77777777" w:rsidR="00285976" w:rsidRDefault="00285976">
      <w:pPr>
        <w:spacing w:before="60" w:after="80"/>
      </w:pPr>
    </w:p>
    <w:p w14:paraId="68B68F3E" w14:textId="77777777" w:rsidR="00285976" w:rsidRDefault="00000000">
      <w:pPr>
        <w:pStyle w:val="Heading2"/>
      </w:pPr>
      <w:r>
        <w:t>A. Algorithm Architecture</w:t>
      </w:r>
    </w:p>
    <w:p w14:paraId="3EA23855" w14:textId="3A65F6D0" w:rsidR="00285976" w:rsidRDefault="00C93BA8" w:rsidP="00CB3BEA">
      <w:pPr>
        <w:spacing w:before="60" w:after="80"/>
        <w:jc w:val="both"/>
      </w:pPr>
      <w:proofErr w:type="spellStart"/>
      <w:proofErr w:type="spellEnd"/>
      <w:r>
        <w:t>FraudGuard™ v4.1 employs a three-engine hybrid detection architecture: (1) a deterministic OMB-native Rules Engine implementing ten compliance rules (R001–R010) each mapped to a specific 2 CFR Part 200 provision; (2) a real-time Z-score statistical ML engine (computeBaselines() function computing per-grant, per-cost-category μ/σ baselines; anomaly threshold |Z|&gt;2.5σ); and (3) a Graph Analytics Engine detecting five entity relationship fraud patterns (SHARED_TAX_ID, SHARED_BANK_ROUTING, SHARED_ADDRESS, MULTI_HOP_NETWORK, PROCUREMENT_CONCENTRATION). These three engines feed into a Composite Grant Risk Score (CGRS) computed as Rules×0.45 + ML×0.35 + Graph×0.20.</w:t>
      </w:r>
    </w:p>
    <w:p w14:paraId="7057E38D" w14:textId="77777777" w:rsidR="00285976" w:rsidRDefault="00285976">
      <w:pPr>
        <w:spacing w:before="60" w:after="80"/>
      </w:pPr>
    </w:p>
    <w:p w14:paraId="76C18DC8" w14:textId="2CA1224F" w:rsidR="00285976" w:rsidRDefault="00000000" w:rsidP="000C4524">
      <w:pPr>
        <w:spacing w:before="60" w:after="80"/>
        <w:jc w:val="both"/>
      </w:pPr>
      <w:r>
        <w:t xml:space="preserve">Rules Engine: </w:t>
      </w:r>
      <w:r>
        <w:t>The ten deterministic rules</w:t>
      </w:r>
      <w:r>
        <w:t xml:space="preserve"> are appropriately grounded in OMB 2 CFR Part 200 provisions. This regulatory grounding is a methodological strength that distinguishes  from general-purpose fraud detection platforms — each rule references a specific federal regulatory provision and automatically generates the corresponding corrective action guidance for the compliance officer.</w:t>
      </w:r>
      <w:r>
        <w:t>FraudGuard™ v4.1</w:t>
      </w:r>
    </w:p>
    <w:p w14:paraId="7A6931B5" w14:textId="77777777" w:rsidR="00285976" w:rsidRDefault="00285976">
      <w:pPr>
        <w:spacing w:before="60" w:after="80"/>
      </w:pPr>
    </w:p>
    <w:p w14:paraId="30A4D6EE" w14:textId="58F838AB" w:rsidR="00285976" w:rsidRDefault="00000000" w:rsidP="000C4524">
      <w:pPr>
        <w:spacing w:before="60" w:after="80"/>
        <w:jc w:val="both"/>
      </w:pPr>
      <w:r>
        <w:rPr>
          <w:b/>
          <w:bCs/>
          <w:color w:val="000000"/>
        </w:rPr>
        <w:t xml:space="preserve">ML Z-Score Engine: </w:t>
      </w:r>
      <w:r w:rsidRPr="00CB3BEA">
        <w:t>The Z-score statistical engine is well-suited to grant financial monitoring because: (1) it establishes per-grant, per-cost-category baselines that reflect the specific spending patterns of each program, making it sensitive to anomalies within program context rather than comparing across dissimilar programs; (2) the |Z|&gt;2.5σ threshold is a statistically standard boundary for financial anomaly detection that balances sensitivity and specificity; (3) the engine operates without requiring labeled fraud examples in training data — it learns what 'normal' looks like from compliant transactions and flags deviations, which is appropriate for a domain where ground-truth fraud labels are sparse.</w:t>
      </w:r>
    </w:p>
    <w:p w14:paraId="3ED62AC6" w14:textId="77777777" w:rsidR="00285976" w:rsidRDefault="00285976">
      <w:pPr>
        <w:spacing w:before="60" w:after="80"/>
      </w:pPr>
    </w:p>
    <w:p w14:paraId="3933BE41" w14:textId="78D4C476" w:rsidR="00285976" w:rsidRDefault="00000000" w:rsidP="000C4524">
      <w:pPr>
        <w:spacing w:before="60" w:after="80"/>
        <w:jc w:val="both"/>
      </w:pPr>
      <w:r>
        <w:t xml:space="preserve">Graph Analytics Engine: The graph analytics engine is the most technically distinctive component of </w:t>
      </w:r>
      <w:r>
        <w:t>FraudGuard™ v4.1</w:t>
      </w:r>
      <w:r>
        <w:t>. It is the only mechanism capable of detecting organized multi-vendor fraud rings — a fraud typology that is specifically documented in federal OIG reports but is not detectable by any transaction-level analysis, whether rule-based or statistical. The MULTI_HOP_NETWORK pattern (requiring both shared entity attribute AND same-grant funding) is particularly well-designed — it eliminates false positives from vendors that share an address for legitimate reasons by requiring the additional condition of concurrent same-grant funding.</w:t>
      </w:r>
    </w:p>
    <w:p w14:paraId="111692AA" w14:textId="77777777" w:rsidR="00285976" w:rsidRDefault="00285976">
      <w:pPr>
        <w:spacing w:before="60" w:after="80"/>
      </w:pPr>
    </w:p>
    <w:p w14:paraId="2A054F70" w14:textId="77777777" w:rsidR="00285976" w:rsidRDefault="00000000">
      <w:pPr>
        <w:pStyle w:val="Heading2"/>
      </w:pPr>
      <w:r>
        <w:t>B. Feature Selection and Input Data</w:t>
      </w:r>
    </w:p>
    <w:p w14:paraId="28C540B3" w14:textId="39CB8D8C" w:rsidR="00012E33" w:rsidRDefault="00000000" w:rsidP="000C4524">
      <w:pPr>
        <w:spacing w:before="60" w:after="80"/>
        <w:jc w:val="both"/>
      </w:pPr>
      <w:r w:rsidRPr="00CB3BEA">
        <w:t>The 18 input fields (</w:t>
      </w:r>
      <w:proofErr w:type="spellStart"/>
      <w:r w:rsidRPr="00CB3BEA">
        <w:t>Transaction_ID</w:t>
      </w:r>
      <w:proofErr w:type="spellEnd"/>
      <w:r w:rsidRPr="00CB3BEA">
        <w:t xml:space="preserve">, </w:t>
      </w:r>
      <w:proofErr w:type="spellStart"/>
      <w:r w:rsidRPr="00CB3BEA">
        <w:t>Grant_ID</w:t>
      </w:r>
      <w:proofErr w:type="spellEnd"/>
      <w:r w:rsidRPr="00CB3BEA">
        <w:t xml:space="preserve">, </w:t>
      </w:r>
      <w:proofErr w:type="spellStart"/>
      <w:r w:rsidRPr="00CB3BEA">
        <w:t>Vendor_ID</w:t>
      </w:r>
      <w:proofErr w:type="spellEnd"/>
      <w:r w:rsidRPr="00CB3BEA">
        <w:t xml:space="preserve">, </w:t>
      </w:r>
      <w:proofErr w:type="spellStart"/>
      <w:r w:rsidRPr="00CB3BEA">
        <w:t>Vendor_Name</w:t>
      </w:r>
      <w:proofErr w:type="spellEnd"/>
      <w:r w:rsidRPr="00CB3BEA">
        <w:t xml:space="preserve">, </w:t>
      </w:r>
      <w:proofErr w:type="spellStart"/>
      <w:r w:rsidRPr="00CB3BEA">
        <w:t>Vendor_Registration_Date</w:t>
      </w:r>
      <w:proofErr w:type="spellEnd"/>
      <w:r w:rsidRPr="00CB3BEA">
        <w:t xml:space="preserve">, </w:t>
      </w:r>
      <w:proofErr w:type="spellStart"/>
      <w:r w:rsidRPr="00CB3BEA">
        <w:t>Payment_Date</w:t>
      </w:r>
      <w:proofErr w:type="spellEnd"/>
      <w:r w:rsidRPr="00CB3BEA">
        <w:t xml:space="preserve">, </w:t>
      </w:r>
      <w:proofErr w:type="spellStart"/>
      <w:r w:rsidRPr="00CB3BEA">
        <w:t>Invoice_Number</w:t>
      </w:r>
      <w:proofErr w:type="spellEnd"/>
      <w:r w:rsidRPr="00CB3BEA">
        <w:t xml:space="preserve">, Amount, Category, </w:t>
      </w:r>
      <w:proofErr w:type="spellStart"/>
      <w:r w:rsidRPr="00CB3BEA">
        <w:t>Approval_Status</w:t>
      </w:r>
      <w:proofErr w:type="spellEnd"/>
      <w:r w:rsidRPr="00CB3BEA">
        <w:t xml:space="preserve">, </w:t>
      </w:r>
      <w:proofErr w:type="spellStart"/>
      <w:r w:rsidRPr="00CB3BEA">
        <w:t>Approver_ID</w:t>
      </w:r>
      <w:proofErr w:type="spellEnd"/>
      <w:r w:rsidRPr="00CB3BEA">
        <w:t xml:space="preserve">, </w:t>
      </w:r>
      <w:proofErr w:type="spellStart"/>
      <w:r w:rsidRPr="00CB3BEA">
        <w:t>Procurement_Method</w:t>
      </w:r>
      <w:proofErr w:type="spellEnd"/>
      <w:r w:rsidRPr="00CB3BEA">
        <w:t xml:space="preserve">, </w:t>
      </w:r>
      <w:proofErr w:type="spellStart"/>
      <w:r w:rsidRPr="00CB3BEA">
        <w:t>Supporting_Document_Flag</w:t>
      </w:r>
      <w:proofErr w:type="spellEnd"/>
      <w:r w:rsidRPr="00CB3BEA">
        <w:t xml:space="preserve">, </w:t>
      </w:r>
      <w:proofErr w:type="spellStart"/>
      <w:r w:rsidRPr="00CB3BEA">
        <w:t>Geo_Location</w:t>
      </w:r>
      <w:proofErr w:type="spellEnd"/>
      <w:r w:rsidRPr="00CB3BEA">
        <w:t xml:space="preserve">, </w:t>
      </w:r>
      <w:proofErr w:type="spellStart"/>
      <w:r w:rsidRPr="00CB3BEA">
        <w:t>Bank_Account</w:t>
      </w:r>
      <w:proofErr w:type="spellEnd"/>
      <w:r w:rsidRPr="00CB3BEA">
        <w:t xml:space="preserve">, </w:t>
      </w:r>
      <w:proofErr w:type="spellStart"/>
      <w:r w:rsidRPr="00CB3BEA">
        <w:t>Related_Vendors</w:t>
      </w:r>
      <w:proofErr w:type="spellEnd"/>
      <w:r w:rsidRPr="00CB3BEA">
        <w:t xml:space="preserve">, </w:t>
      </w:r>
      <w:proofErr w:type="spellStart"/>
      <w:r w:rsidRPr="00CB3BEA">
        <w:t>Risk_Label</w:t>
      </w:r>
      <w:proofErr w:type="spellEnd"/>
      <w:r w:rsidRPr="00CB3BEA">
        <w:t xml:space="preserve">, Tier) are well-selected for the federal grant fraud detection context. Each field corresponds to a documented fraud risk dimension: </w:t>
      </w:r>
      <w:proofErr w:type="spellStart"/>
      <w:r w:rsidRPr="00CB3BEA">
        <w:t>Vendor_Registration_Date</w:t>
      </w:r>
      <w:proofErr w:type="spellEnd"/>
      <w:r w:rsidRPr="00CB3BEA">
        <w:t xml:space="preserve"> enables new-vendor rapid payment detection (R002); </w:t>
      </w:r>
      <w:proofErr w:type="spellStart"/>
      <w:r w:rsidRPr="00CB3BEA">
        <w:t>Bank_Account</w:t>
      </w:r>
      <w:proofErr w:type="spellEnd"/>
      <w:r w:rsidRPr="00CB3BEA">
        <w:t xml:space="preserve"> and </w:t>
      </w:r>
      <w:proofErr w:type="spellStart"/>
      <w:r w:rsidRPr="00CB3BEA">
        <w:t>Related_Vendors</w:t>
      </w:r>
      <w:proofErr w:type="spellEnd"/>
      <w:r w:rsidRPr="00CB3BEA">
        <w:t xml:space="preserve"> enable graph relationship analysis; Amount and Category together enable Z-score baseline modeling; </w:t>
      </w:r>
      <w:proofErr w:type="spellStart"/>
      <w:r w:rsidRPr="00CB3BEA">
        <w:t>Invoice_Number</w:t>
      </w:r>
      <w:proofErr w:type="spellEnd"/>
      <w:r w:rsidRPr="00CB3BEA">
        <w:t xml:space="preserve"> enables duplicate detection (R001); </w:t>
      </w:r>
      <w:proofErr w:type="spellStart"/>
      <w:r w:rsidRPr="00CB3BEA">
        <w:t>Procurement_Method</w:t>
      </w:r>
      <w:proofErr w:type="spellEnd"/>
      <w:r w:rsidRPr="00CB3BEA">
        <w:t xml:space="preserve"> enables sole-source detection (R005). The inclusion of the </w:t>
      </w:r>
      <w:proofErr w:type="spellStart"/>
      <w:r w:rsidRPr="00CB3BEA">
        <w:t>Related_Vendors</w:t>
      </w:r>
      <w:proofErr w:type="spellEnd"/>
      <w:r w:rsidRPr="00CB3BEA">
        <w:t xml:space="preserve"> field as a graph analytics input is a design decision reflecting domain expertise — it enables MULTI_HOP_NETWORK detection that would not be possible with standard financial transaction fields alone.</w:t>
      </w:r>
    </w:p>
    <w:p w14:paraId="5101FAE4" w14:textId="77777777" w:rsidR="00012E33" w:rsidRDefault="00012E33">
      <w:r>
        <w:br w:type="page"/>
      </w:r>
    </w:p>
    <w:p w14:paraId="2D7698AA" w14:textId="77777777" w:rsidR="00CB3BEA" w:rsidRDefault="00CB3BEA" w:rsidP="000C4524">
      <w:pPr>
        <w:spacing w:before="60" w:after="80"/>
        <w:jc w:val="both"/>
      </w:pPr>
    </w:p>
    <w:p w14:paraId="3B2B6144" w14:textId="77777777" w:rsidR="00285976" w:rsidRDefault="00000000">
      <w:pPr>
        <w:pStyle w:val="Heading2"/>
      </w:pPr>
      <w:r>
        <w:t>C. Validation Approach</w:t>
      </w:r>
    </w:p>
    <w:p w14:paraId="0A3F46DF" w14:textId="31A94A08" w:rsidR="00285976" w:rsidRDefault="00000000" w:rsidP="00CB3BEA">
      <w:pPr>
        <w:spacing w:before="60" w:after="80"/>
        <w:jc w:val="both"/>
      </w:pPr>
      <w:r>
        <w:t xml:space="preserve">I have reviewed the </w:t>
      </w:r>
      <w:r>
        <w:t>FraudGuard™ v4.1</w:t>
      </w:r>
      <w:r>
        <w:t xml:space="preserve"> QA Validation Report and the test dataset specifications for DS1–DS6, and confirmed the following:</w:t>
      </w:r>
    </w:p>
    <w:p w14:paraId="388E9255" w14:textId="77777777" w:rsidR="00285976" w:rsidRDefault="00285976">
      <w:pPr>
        <w:spacing w:before="60" w:after="80"/>
      </w:pPr>
    </w:p>
    <w:p w14:paraId="50909EFE" w14:textId="77777777" w:rsidR="00285976" w:rsidRDefault="00000000" w:rsidP="000C4524">
      <w:pPr>
        <w:pStyle w:val="ListParagraph"/>
        <w:numPr>
          <w:ilvl w:val="0"/>
          <w:numId w:val="2"/>
        </w:numPr>
        <w:spacing w:before="28" w:after="28"/>
        <w:jc w:val="both"/>
      </w:pPr>
      <w:r>
        <w:t>Ground-truth isolation: Fraud labels in DS1–DS6 were defined in the dataset design specification, prior to system testing. Alert outputs were compared against these pre-defined labels. The validation protocol is not circular — the detection thresholds (2.5σ Z-score, CGRS tier mapping, rule severity levels) were established independently of test outcomes.</w:t>
      </w:r>
    </w:p>
    <w:p w14:paraId="5730677D" w14:textId="77777777" w:rsidR="00285976" w:rsidRDefault="00000000" w:rsidP="000C4524">
      <w:pPr>
        <w:pStyle w:val="ListParagraph"/>
        <w:numPr>
          <w:ilvl w:val="0"/>
          <w:numId w:val="2"/>
        </w:numPr>
        <w:spacing w:before="28" w:after="28"/>
        <w:jc w:val="both"/>
      </w:pPr>
      <w:r>
        <w:t>Zero false-positive baseline (DS1): The clean dataset (25 compliant transactions) generated zero alerts. This is the correct behavior and provides the strongest evidence against overfitting — a system that generates false positives on clean data is unsuitable for operational use regardless of sensitivity on fraud data.</w:t>
      </w:r>
    </w:p>
    <w:p w14:paraId="76FF11DB" w14:textId="77777777" w:rsidR="00285976" w:rsidRDefault="00000000" w:rsidP="000C4524">
      <w:pPr>
        <w:pStyle w:val="ListParagraph"/>
        <w:numPr>
          <w:ilvl w:val="0"/>
          <w:numId w:val="2"/>
        </w:numPr>
        <w:spacing w:before="28" w:after="28"/>
        <w:jc w:val="both"/>
      </w:pPr>
      <w:r>
        <w:t>Engine isolation on DS5: Payment structuring test designed to generate zero rule alerts intentionally demonstrates that the ML velocity engine operates independently and provides coverage for fraud patterns that are by design invisible to rule-based systems.</w:t>
      </w:r>
    </w:p>
    <w:p w14:paraId="325CEA88" w14:textId="77777777" w:rsidR="00285976" w:rsidRDefault="00000000" w:rsidP="000C4524">
      <w:pPr>
        <w:pStyle w:val="ListParagraph"/>
        <w:numPr>
          <w:ilvl w:val="0"/>
          <w:numId w:val="2"/>
        </w:numPr>
        <w:spacing w:before="28" w:after="28"/>
        <w:jc w:val="both"/>
      </w:pPr>
      <w:r>
        <w:t>Graph isolation on DS3: The shell company ring detection was tested against a dataset where the ring members were designed to share bank routing numbers — not because bank routing overlap is common in legitimate vendor databases, but because it is a documented characteristic of shell company fraud rings. The MULTI_HOP_NETWORK pattern correctly identified all three ring members.</w:t>
      </w:r>
    </w:p>
    <w:p w14:paraId="319E3381" w14:textId="77777777" w:rsidR="00285976" w:rsidRDefault="00000000" w:rsidP="000C4524">
      <w:pPr>
        <w:pStyle w:val="ListParagraph"/>
        <w:numPr>
          <w:ilvl w:val="0"/>
          <w:numId w:val="2"/>
        </w:numPr>
        <w:spacing w:before="28" w:after="28"/>
        <w:jc w:val="both"/>
      </w:pPr>
      <w:r>
        <w:t>Reproducibility: The detection logic is deterministic (rules) and statistically bounded (Z-score with documented threshold). The QA Validation Report documents all test conditions and results in sufficient detail for independent replication.</w:t>
      </w:r>
    </w:p>
    <w:p w14:paraId="1D2ABC60" w14:textId="77777777" w:rsidR="00285976" w:rsidRDefault="00285976">
      <w:pPr>
        <w:spacing w:before="60" w:after="80"/>
      </w:pPr>
    </w:p>
    <w:p w14:paraId="0B89608E" w14:textId="77777777" w:rsidR="00285976" w:rsidRDefault="00000000">
      <w:pPr>
        <w:pStyle w:val="Heading1"/>
        <w:pBdr>
          <w:bottom w:val="single" w:sz="8" w:space="0" w:color="0F4C8A"/>
        </w:pBdr>
      </w:pPr>
      <w:r>
        <w:t>III. Dataset Adequacy Assessment</w:t>
      </w:r>
    </w:p>
    <w:p w14:paraId="3049EB79" w14:textId="313D6DBA" w:rsidR="00285976" w:rsidRDefault="00000000" w:rsidP="00CB3BEA">
      <w:pPr>
        <w:spacing w:before="28" w:after="28"/>
        <w:jc w:val="both"/>
      </w:pPr>
      <w:r>
        <w:t xml:space="preserve">Assessment: </w:t>
      </w:r>
      <w:r>
        <w:t>FraudGuard™ v4.1</w:t>
      </w:r>
      <w:r>
        <w:t xml:space="preserve"> Test Datasets DS1–DS6 (150 transactions, 6 fraud scenarios):</w:t>
      </w:r>
    </w:p>
    <w:p w14:paraId="30F130E8" w14:textId="77777777" w:rsidR="00CB3BEA" w:rsidRDefault="00CB3BEA" w:rsidP="00CB3BEA">
      <w:pPr>
        <w:spacing w:before="28" w:after="28"/>
        <w:jc w:val="both"/>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769"/>
      </w:tblGrid>
      <w:tr w:rsidR="00285976" w14:paraId="595BD492" w14:textId="77777777" w:rsidTr="006862B6">
        <w:trPr>
          <w:tblHeader/>
        </w:trPr>
        <w:tc>
          <w:tcPr>
            <w:tcW w:w="2400" w:type="dxa"/>
            <w:tcBorders>
              <w:top w:val="single" w:sz="1" w:space="0" w:color="334155"/>
              <w:left w:val="single" w:sz="1" w:space="0" w:color="334155"/>
              <w:bottom w:val="single" w:sz="1" w:space="0" w:color="334155"/>
              <w:right w:val="single" w:sz="1" w:space="0" w:color="334155"/>
            </w:tcBorders>
            <w:shd w:val="clear" w:color="auto" w:fill="0A2540"/>
            <w:tcMar>
              <w:top w:w="80" w:type="dxa"/>
              <w:left w:w="110" w:type="dxa"/>
              <w:bottom w:w="80" w:type="dxa"/>
              <w:right w:w="110" w:type="dxa"/>
            </w:tcMar>
          </w:tcPr>
          <w:p w14:paraId="1EDB4A2A" w14:textId="77777777" w:rsidR="00285976" w:rsidRDefault="00000000">
            <w:r>
              <w:rPr>
                <w:b/>
                <w:bCs/>
                <w:color w:val="FFFFFF"/>
                <w:sz w:val="18"/>
                <w:szCs w:val="18"/>
              </w:rPr>
              <w:t>Criterion</w:t>
            </w:r>
          </w:p>
        </w:tc>
        <w:tc>
          <w:tcPr>
            <w:tcW w:w="4000" w:type="dxa"/>
            <w:tcBorders>
              <w:top w:val="single" w:sz="1" w:space="0" w:color="334155"/>
              <w:left w:val="single" w:sz="1" w:space="0" w:color="334155"/>
              <w:bottom w:val="single" w:sz="1" w:space="0" w:color="334155"/>
              <w:right w:val="single" w:sz="1" w:space="0" w:color="334155"/>
            </w:tcBorders>
            <w:shd w:val="clear" w:color="auto" w:fill="0A2540"/>
            <w:tcMar>
              <w:top w:w="80" w:type="dxa"/>
              <w:left w:w="110" w:type="dxa"/>
              <w:bottom w:w="80" w:type="dxa"/>
              <w:right w:w="110" w:type="dxa"/>
            </w:tcMar>
          </w:tcPr>
          <w:p w14:paraId="5DB8F27D" w14:textId="5AAF70B4" w:rsidR="00285976" w:rsidRDefault="00000000">
            <w:r>
              <w:rPr>
                <w:b/>
                <w:bCs/>
                <w:color w:val="FFFFFF"/>
                <w:sz w:val="18"/>
                <w:szCs w:val="18"/>
              </w:rPr>
              <w:t>DS1–DS6 (</w:t>
            </w:r>
            <w:r>
              <w:rPr>
                <w:b/>
                <w:bCs/>
                <w:color w:val="FFFFFF"/>
                <w:sz w:val="18"/>
                <w:szCs w:val="18"/>
              </w:rPr>
              <w:t>FraudGuard™ v4.1</w:t>
            </w:r>
            <w:r>
              <w:rPr>
                <w:b/>
                <w:bCs/>
                <w:color w:val="FFFFFF"/>
                <w:sz w:val="18"/>
                <w:szCs w:val="18"/>
              </w:rPr>
              <w:t xml:space="preserve"> Validation)</w:t>
            </w:r>
          </w:p>
        </w:tc>
        <w:tc>
          <w:tcPr>
            <w:tcW w:w="3769" w:type="dxa"/>
            <w:tcBorders>
              <w:top w:val="single" w:sz="1" w:space="0" w:color="334155"/>
              <w:left w:val="single" w:sz="1" w:space="0" w:color="334155"/>
              <w:bottom w:val="single" w:sz="1" w:space="0" w:color="334155"/>
              <w:right w:val="single" w:sz="1" w:space="0" w:color="334155"/>
            </w:tcBorders>
            <w:shd w:val="clear" w:color="auto" w:fill="0A2540"/>
            <w:tcMar>
              <w:top w:w="80" w:type="dxa"/>
              <w:left w:w="110" w:type="dxa"/>
              <w:bottom w:w="80" w:type="dxa"/>
              <w:right w:w="110" w:type="dxa"/>
            </w:tcMar>
          </w:tcPr>
          <w:p w14:paraId="1B3B9F52" w14:textId="77777777" w:rsidR="00285976" w:rsidRDefault="00000000">
            <w:r>
              <w:rPr>
                <w:b/>
                <w:bCs/>
                <w:color w:val="FFFFFF"/>
                <w:sz w:val="18"/>
                <w:szCs w:val="18"/>
              </w:rPr>
              <w:t>Assessment</w:t>
            </w:r>
          </w:p>
        </w:tc>
      </w:tr>
      <w:tr w:rsidR="00285976" w14:paraId="0D5B9F37" w14:textId="77777777" w:rsidTr="006862B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32F6BF54" w14:textId="77777777" w:rsidR="00285976" w:rsidRDefault="00000000">
            <w:r>
              <w:rPr>
                <w:sz w:val="18"/>
                <w:szCs w:val="18"/>
              </w:rPr>
              <w:t>Sample size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3F16CEA2" w14:textId="77777777" w:rsidR="00285976" w:rsidRDefault="00000000">
            <w:r>
              <w:rPr>
                <w:sz w:val="18"/>
                <w:szCs w:val="18"/>
              </w:rPr>
              <w:t>150 transactions across 6 datasets (25 per scenario)</w:t>
            </w:r>
          </w:p>
        </w:tc>
        <w:tc>
          <w:tcPr>
            <w:tcW w:w="3769"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690203E0" w14:textId="77777777" w:rsidR="00285976" w:rsidRDefault="00000000">
            <w:r>
              <w:rPr>
                <w:sz w:val="18"/>
                <w:szCs w:val="18"/>
              </w:rPr>
              <w:t>Adequate for scenario-level validation; scenarios are qualitatively comprehensive across the primary federal grant fraud typology spectrum</w:t>
            </w:r>
          </w:p>
        </w:tc>
      </w:tr>
      <w:tr w:rsidR="00285976" w14:paraId="68F35266" w14:textId="77777777" w:rsidTr="006862B6">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0EF7B79B" w14:textId="77777777" w:rsidR="00285976" w:rsidRDefault="00000000">
            <w:r>
              <w:rPr>
                <w:sz w:val="18"/>
                <w:szCs w:val="18"/>
              </w:rPr>
              <w:t>Fraud scenario coverage</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504B78BE" w14:textId="77777777" w:rsidR="00285976" w:rsidRDefault="00000000">
            <w:r>
              <w:rPr>
                <w:sz w:val="18"/>
                <w:szCs w:val="18"/>
              </w:rPr>
              <w:t>6 scenarios: clean baseline, duplicate payments, vendor network, procurement violations, payment structuring, ML anomalies</w:t>
            </w:r>
          </w:p>
        </w:tc>
        <w:tc>
          <w:tcPr>
            <w:tcW w:w="3769"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7A63FD24" w14:textId="77777777" w:rsidR="00285976" w:rsidRDefault="00000000">
            <w:r>
              <w:rPr>
                <w:sz w:val="18"/>
                <w:szCs w:val="18"/>
              </w:rPr>
              <w:t>Complete coverage of fraud typologies documented in PRAC FY2023 and OIG reports</w:t>
            </w:r>
          </w:p>
        </w:tc>
      </w:tr>
      <w:tr w:rsidR="00285976" w14:paraId="539D152E" w14:textId="77777777" w:rsidTr="006862B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59AD0ADD" w14:textId="77777777" w:rsidR="00285976" w:rsidRDefault="00000000">
            <w:r>
              <w:rPr>
                <w:sz w:val="18"/>
                <w:szCs w:val="18"/>
              </w:rPr>
              <w:t>DS5 structuring — unique value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5E86AB22" w14:textId="77777777" w:rsidR="00285976" w:rsidRDefault="00000000">
            <w:r>
              <w:rPr>
                <w:sz w:val="18"/>
                <w:szCs w:val="18"/>
              </w:rPr>
              <w:t>ML-only detection: rules engine generates 0 alerts; ML engine generates 11</w:t>
            </w:r>
          </w:p>
        </w:tc>
        <w:tc>
          <w:tcPr>
            <w:tcW w:w="3769"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6F6011F0" w14:textId="77777777" w:rsidR="00285976" w:rsidRDefault="00000000">
            <w:r>
              <w:rPr>
                <w:sz w:val="18"/>
                <w:szCs w:val="18"/>
              </w:rPr>
              <w:t>This design is methodologically sound and represents the strongest validation evidence — rules are not 'helping' the ML engine; the engines are genuinely independent</w:t>
            </w:r>
          </w:p>
        </w:tc>
      </w:tr>
      <w:tr w:rsidR="00285976" w14:paraId="7A38786E" w14:textId="77777777" w:rsidTr="006862B6">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4C425C41" w14:textId="77777777" w:rsidR="00285976" w:rsidRDefault="00000000">
            <w:r>
              <w:rPr>
                <w:sz w:val="18"/>
                <w:szCs w:val="18"/>
              </w:rPr>
              <w:t>Data realism</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28D9FB96" w14:textId="77777777" w:rsidR="00285976" w:rsidRDefault="00000000">
            <w:r>
              <w:rPr>
                <w:sz w:val="18"/>
                <w:szCs w:val="18"/>
              </w:rPr>
              <w:t>18-field realistic transaction records with public-sector vendor names, grant program IDs, geographic locations</w:t>
            </w:r>
          </w:p>
        </w:tc>
        <w:tc>
          <w:tcPr>
            <w:tcW w:w="3769"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4D957864" w14:textId="77777777" w:rsidR="00285976" w:rsidRDefault="00000000">
            <w:r>
              <w:rPr>
                <w:sz w:val="18"/>
                <w:szCs w:val="18"/>
              </w:rPr>
              <w:t>Representative of the operational data environment; grounded in federal grant data standards</w:t>
            </w:r>
          </w:p>
        </w:tc>
      </w:tr>
      <w:tr w:rsidR="00285976" w14:paraId="79F3383F" w14:textId="77777777" w:rsidTr="006862B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63710793" w14:textId="77777777" w:rsidR="00285976" w:rsidRDefault="00000000">
            <w:r>
              <w:rPr>
                <w:sz w:val="18"/>
                <w:szCs w:val="18"/>
              </w:rPr>
              <w:t>Limitation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023C76BC" w14:textId="77777777" w:rsidR="00285976" w:rsidRDefault="00000000">
            <w:r>
              <w:rPr>
                <w:sz w:val="18"/>
                <w:szCs w:val="18"/>
              </w:rPr>
              <w:t>Datasets are synthetic; do not contain real FAC expenditure records or confirmed OIG cases</w:t>
            </w:r>
          </w:p>
        </w:tc>
        <w:tc>
          <w:tcPr>
            <w:tcW w:w="3769"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64A3C616" w14:textId="77777777" w:rsidR="00285976" w:rsidRDefault="00000000">
            <w:r>
              <w:rPr>
                <w:sz w:val="18"/>
                <w:szCs w:val="18"/>
              </w:rPr>
              <w:t>Appropriate for operational prototype stage (TRL 7–8)</w:t>
            </w:r>
            <w:r>
              <w:rPr>
                <w:sz w:val="18"/>
                <w:szCs w:val="18"/>
              </w:rPr>
              <w:t>; production certification would require real FAC data integration</w:t>
            </w:r>
          </w:p>
        </w:tc>
      </w:tr>
      <w:tr w:rsidR="00285976" w14:paraId="5205BF11" w14:textId="77777777" w:rsidTr="006862B6">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02C1BC35" w14:textId="77777777" w:rsidR="00285976" w:rsidRDefault="00000000">
            <w:r>
              <w:rPr>
                <w:sz w:val="18"/>
                <w:szCs w:val="18"/>
              </w:rPr>
              <w:lastRenderedPageBreak/>
              <w:t xml:space="preserve">Comparison </w:t>
            </w:r>
            <w:proofErr w:type="gramStart"/>
            <w:r>
              <w:rPr>
                <w:sz w:val="18"/>
                <w:szCs w:val="18"/>
              </w:rPr>
              <w:t>to</w:t>
            </w:r>
            <w:proofErr w:type="gramEnd"/>
            <w:r>
              <w:rPr>
                <w:sz w:val="18"/>
                <w:szCs w:val="18"/>
              </w:rPr>
              <w:t xml:space="preserve"> prior validation</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5D5DDF58" w14:textId="2BC41ACE" w:rsidR="00285976" w:rsidRDefault="00000000">
            <w:r>
              <w:rPr>
                <w:sz w:val="18"/>
                <w:szCs w:val="18"/>
              </w:rPr>
              <w:t xml:space="preserve">Prior letter referenced 500-record and 5,000-record Python prototype datasets. </w:t>
            </w:r>
            <w:r>
              <w:rPr>
                <w:sz w:val="18"/>
                <w:szCs w:val="18"/>
              </w:rPr>
              <w:t>FraudGuard™ v4.1</w:t>
            </w:r>
            <w:r>
              <w:rPr>
                <w:sz w:val="18"/>
                <w:szCs w:val="18"/>
              </w:rPr>
              <w:t xml:space="preserve"> is a fully different system — the prior metrics (Isolation Forest Precision 1.0000) are superseded and not applicable to V4.1</w:t>
            </w:r>
            <w:proofErr w:type="gramStart"/>
            <w:proofErr w:type="gramEnd"/>
          </w:p>
        </w:tc>
        <w:tc>
          <w:tcPr>
            <w:tcW w:w="3769"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754E259C" w14:textId="77777777" w:rsidR="00285976" w:rsidRDefault="00000000">
            <w:r>
              <w:rPr>
                <w:sz w:val="18"/>
                <w:szCs w:val="18"/>
              </w:rPr>
              <w:t>Prior Python prototype performance metrics are not cited in this version — they reflect a different system architecture</w:t>
            </w:r>
          </w:p>
        </w:tc>
      </w:tr>
    </w:tbl>
    <w:p w14:paraId="417FD082" w14:textId="77777777" w:rsidR="00285976" w:rsidRDefault="00285976">
      <w:pPr>
        <w:spacing w:before="60" w:after="80"/>
      </w:pPr>
    </w:p>
    <w:p w14:paraId="5F6EE331" w14:textId="77777777" w:rsidR="00285976" w:rsidRDefault="00000000">
      <w:pPr>
        <w:pStyle w:val="Heading1"/>
        <w:pBdr>
          <w:bottom w:val="single" w:sz="8" w:space="0" w:color="0F4C8A"/>
        </w:pBdr>
      </w:pPr>
      <w:r>
        <w:t>IV. Performance Claim Evaluation</w:t>
      </w:r>
    </w:p>
    <w:p w14:paraId="3C0EB215" w14:textId="7F1EBC10" w:rsidR="00285976" w:rsidRDefault="00C93BA8" w:rsidP="00CB3BEA">
      <w:pPr>
        <w:spacing w:before="28" w:after="28"/>
      </w:pPr>
      <w:r>
        <w:t>FraudGuard™ v4.1</w:t>
      </w:r>
      <w:r>
        <w:t xml:space="preserve"> — Overall System Performance: Accuracy 91.5%, Recall 100%, False-Positive Rate 4.7%, Fraud Exposure Detected $18.94M — Assessment: CREDIBLE AND CONSISTENT WITH SYSTEM DESIGN.</w:t>
      </w:r>
    </w:p>
    <w:p w14:paraId="1AD29CF5" w14:textId="77777777" w:rsidR="00285976" w:rsidRDefault="00285976">
      <w:pPr>
        <w:spacing w:before="60" w:after="8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2463"/>
        <w:gridCol w:w="5097"/>
      </w:tblGrid>
      <w:tr w:rsidR="00285976" w14:paraId="2093730C" w14:textId="77777777" w:rsidTr="006862B6">
        <w:trPr>
          <w:tblHeader/>
        </w:trPr>
        <w:tc>
          <w:tcPr>
            <w:tcW w:w="2519" w:type="dxa"/>
            <w:tcBorders>
              <w:top w:val="single" w:sz="1" w:space="0" w:color="334155"/>
              <w:left w:val="single" w:sz="1" w:space="0" w:color="334155"/>
              <w:bottom w:val="single" w:sz="1" w:space="0" w:color="334155"/>
              <w:right w:val="single" w:sz="1" w:space="0" w:color="334155"/>
            </w:tcBorders>
            <w:shd w:val="clear" w:color="auto" w:fill="0A2540"/>
            <w:tcMar>
              <w:top w:w="80" w:type="dxa"/>
              <w:left w:w="110" w:type="dxa"/>
              <w:bottom w:w="80" w:type="dxa"/>
              <w:right w:w="110" w:type="dxa"/>
            </w:tcMar>
          </w:tcPr>
          <w:p w14:paraId="1CDC27DE" w14:textId="77777777" w:rsidR="00285976" w:rsidRDefault="00000000">
            <w:r>
              <w:rPr>
                <w:b/>
                <w:bCs/>
                <w:color w:val="FFFFFF"/>
                <w:sz w:val="18"/>
                <w:szCs w:val="18"/>
              </w:rPr>
              <w:t>Performance Claim</w:t>
            </w:r>
          </w:p>
        </w:tc>
        <w:tc>
          <w:tcPr>
            <w:tcW w:w="2463" w:type="dxa"/>
            <w:tcBorders>
              <w:top w:val="single" w:sz="1" w:space="0" w:color="334155"/>
              <w:left w:val="single" w:sz="1" w:space="0" w:color="334155"/>
              <w:bottom w:val="single" w:sz="1" w:space="0" w:color="334155"/>
              <w:right w:val="single" w:sz="1" w:space="0" w:color="334155"/>
            </w:tcBorders>
            <w:shd w:val="clear" w:color="auto" w:fill="0A2540"/>
            <w:tcMar>
              <w:top w:w="80" w:type="dxa"/>
              <w:left w:w="110" w:type="dxa"/>
              <w:bottom w:w="80" w:type="dxa"/>
              <w:right w:w="110" w:type="dxa"/>
            </w:tcMar>
          </w:tcPr>
          <w:p w14:paraId="44F2205A" w14:textId="77777777" w:rsidR="00285976" w:rsidRDefault="00000000">
            <w:r>
              <w:rPr>
                <w:b/>
                <w:bCs/>
                <w:color w:val="FFFFFF"/>
                <w:sz w:val="18"/>
                <w:szCs w:val="18"/>
              </w:rPr>
              <w:t>Value</w:t>
            </w:r>
          </w:p>
        </w:tc>
        <w:tc>
          <w:tcPr>
            <w:tcW w:w="5097" w:type="dxa"/>
            <w:tcBorders>
              <w:top w:val="single" w:sz="1" w:space="0" w:color="334155"/>
              <w:left w:val="single" w:sz="1" w:space="0" w:color="334155"/>
              <w:bottom w:val="single" w:sz="1" w:space="0" w:color="334155"/>
              <w:right w:val="single" w:sz="1" w:space="0" w:color="334155"/>
            </w:tcBorders>
            <w:shd w:val="clear" w:color="auto" w:fill="0A2540"/>
            <w:tcMar>
              <w:top w:w="80" w:type="dxa"/>
              <w:left w:w="110" w:type="dxa"/>
              <w:bottom w:w="80" w:type="dxa"/>
              <w:right w:w="110" w:type="dxa"/>
            </w:tcMar>
          </w:tcPr>
          <w:p w14:paraId="17CFF916" w14:textId="77777777" w:rsidR="00285976" w:rsidRDefault="00000000">
            <w:r>
              <w:rPr>
                <w:b/>
                <w:bCs/>
                <w:color w:val="FFFFFF"/>
                <w:sz w:val="18"/>
                <w:szCs w:val="18"/>
              </w:rPr>
              <w:t>Independent Assessment</w:t>
            </w:r>
          </w:p>
        </w:tc>
      </w:tr>
      <w:tr w:rsidR="00285976" w14:paraId="19A2B0A9" w14:textId="77777777" w:rsidTr="006862B6">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53B153B9" w14:textId="77777777" w:rsidR="00285976" w:rsidRDefault="00000000">
            <w:r>
              <w:rPr>
                <w:sz w:val="18"/>
                <w:szCs w:val="18"/>
              </w:rPr>
              <w:t>Overall detection accuracy</w:t>
            </w:r>
          </w:p>
        </w:tc>
        <w:tc>
          <w:tcPr>
            <w:tcW w:w="2463"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54E5BB2B" w14:textId="77777777" w:rsidR="00285976" w:rsidRDefault="00000000">
            <w:r>
              <w:rPr>
                <w:sz w:val="18"/>
                <w:szCs w:val="18"/>
              </w:rPr>
              <w:t>91.5% (87 TP, 7 FP, 0 FN)</w:t>
            </w:r>
          </w:p>
        </w:tc>
        <w:tc>
          <w:tcPr>
            <w:tcW w:w="5097"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0C4A4E18" w14:textId="77777777" w:rsidR="00285976" w:rsidRDefault="00000000">
            <w:r>
              <w:rPr>
                <w:sz w:val="18"/>
                <w:szCs w:val="18"/>
              </w:rPr>
              <w:t>CREDIBLE. The accuracy level is consistent with a well-designed dual-engine fraud detection system. The 91.5% figure reflects real false positives (7) that are accurately reported rather than suppressed.</w:t>
            </w:r>
          </w:p>
        </w:tc>
      </w:tr>
      <w:tr w:rsidR="00285976" w14:paraId="0BDF35BD" w14:textId="77777777" w:rsidTr="006862B6">
        <w:tc>
          <w:tcPr>
            <w:tcW w:w="2519"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115FF0E1" w14:textId="77777777" w:rsidR="00285976" w:rsidRDefault="00000000">
            <w:r>
              <w:rPr>
                <w:sz w:val="18"/>
                <w:szCs w:val="18"/>
              </w:rPr>
              <w:t>Recall (fraud capture rate)</w:t>
            </w:r>
          </w:p>
        </w:tc>
        <w:tc>
          <w:tcPr>
            <w:tcW w:w="2463"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28A8A508" w14:textId="77777777" w:rsidR="00285976" w:rsidRDefault="00000000">
            <w:proofErr w:type="gramStart"/>
            <w:r>
              <w:rPr>
                <w:sz w:val="18"/>
                <w:szCs w:val="18"/>
              </w:rPr>
              <w:t>100% —</w:t>
            </w:r>
            <w:proofErr w:type="gramEnd"/>
            <w:r>
              <w:rPr>
                <w:sz w:val="18"/>
                <w:szCs w:val="18"/>
              </w:rPr>
              <w:t xml:space="preserve"> 0 false negatives across all 6 datasets</w:t>
            </w:r>
          </w:p>
        </w:tc>
        <w:tc>
          <w:tcPr>
            <w:tcW w:w="5097"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68CFEDB5" w14:textId="77777777" w:rsidR="00285976" w:rsidRDefault="00000000">
            <w:r>
              <w:rPr>
                <w:sz w:val="18"/>
                <w:szCs w:val="18"/>
              </w:rPr>
              <w:t>STRONG AND CREDIBLE. 100% recall is the critical requirement for a fraud detection system — missing fraud is more costly than over-alerting. Zero missed fraud patterns across all scenarios, including scenarios specifically designed to challenge individual detection engines.</w:t>
            </w:r>
          </w:p>
        </w:tc>
      </w:tr>
      <w:tr w:rsidR="00285976" w14:paraId="159834DA" w14:textId="77777777" w:rsidTr="006862B6">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0D1D463D" w14:textId="77777777" w:rsidR="00285976" w:rsidRDefault="00000000">
            <w:r>
              <w:rPr>
                <w:sz w:val="18"/>
                <w:szCs w:val="18"/>
              </w:rPr>
              <w:t>False-positive rate</w:t>
            </w:r>
          </w:p>
        </w:tc>
        <w:tc>
          <w:tcPr>
            <w:tcW w:w="2463"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371C5CF1" w14:textId="77777777" w:rsidR="00285976" w:rsidRDefault="00000000">
            <w:r>
              <w:rPr>
                <w:sz w:val="18"/>
                <w:szCs w:val="18"/>
              </w:rPr>
              <w:t>4.7% (7 FP across 150 transactions)</w:t>
            </w:r>
          </w:p>
        </w:tc>
        <w:tc>
          <w:tcPr>
            <w:tcW w:w="5097"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562647AA" w14:textId="77777777" w:rsidR="00285976" w:rsidRDefault="00000000">
            <w:r>
              <w:rPr>
                <w:sz w:val="18"/>
                <w:szCs w:val="18"/>
              </w:rPr>
              <w:t xml:space="preserve">ACCEPTABLE. Below the 10% enterprise benchmark. In a human-in-the-loop system, 4.7% FP generates additional compliance officer review but does not cause harm — </w:t>
            </w:r>
            <w:proofErr w:type="gramStart"/>
            <w:r>
              <w:rPr>
                <w:sz w:val="18"/>
                <w:szCs w:val="18"/>
              </w:rPr>
              <w:t>reviewers</w:t>
            </w:r>
            <w:proofErr w:type="gramEnd"/>
            <w:r>
              <w:rPr>
                <w:sz w:val="18"/>
                <w:szCs w:val="18"/>
              </w:rPr>
              <w:t xml:space="preserve"> clear legitimate transactions without adverse action.</w:t>
            </w:r>
          </w:p>
        </w:tc>
      </w:tr>
      <w:tr w:rsidR="00285976" w14:paraId="1E0EB534" w14:textId="77777777" w:rsidTr="006862B6">
        <w:tc>
          <w:tcPr>
            <w:tcW w:w="2519"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0B305ED9" w14:textId="77777777" w:rsidR="00285976" w:rsidRDefault="00000000">
            <w:r>
              <w:rPr>
                <w:sz w:val="18"/>
                <w:szCs w:val="18"/>
              </w:rPr>
              <w:t>DS5 ML-only structuring detection</w:t>
            </w:r>
          </w:p>
        </w:tc>
        <w:tc>
          <w:tcPr>
            <w:tcW w:w="2463"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59B36187" w14:textId="77777777" w:rsidR="00285976" w:rsidRDefault="00000000">
            <w:r>
              <w:rPr>
                <w:sz w:val="18"/>
                <w:szCs w:val="18"/>
              </w:rPr>
              <w:t>11 ML alerts; 0 rule alerts; 10 TP; 1 FP</w:t>
            </w:r>
          </w:p>
        </w:tc>
        <w:tc>
          <w:tcPr>
            <w:tcW w:w="5097"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51B168CF" w14:textId="77777777" w:rsidR="00285976" w:rsidRDefault="00000000">
            <w:r>
              <w:rPr>
                <w:sz w:val="18"/>
                <w:szCs w:val="18"/>
              </w:rPr>
              <w:t xml:space="preserve">SIGNIFICANT. This result establishes </w:t>
            </w:r>
            <w:proofErr w:type="gramStart"/>
            <w:r>
              <w:rPr>
                <w:sz w:val="18"/>
                <w:szCs w:val="18"/>
              </w:rPr>
              <w:t>the dual</w:t>
            </w:r>
            <w:proofErr w:type="gramEnd"/>
            <w:r>
              <w:rPr>
                <w:sz w:val="18"/>
                <w:szCs w:val="18"/>
              </w:rPr>
              <w:t>-engine architecture is structurally necessary, not redundant. The ML velocity engine detected structuring that a rules-only system is architecturally incapable of detecting.</w:t>
            </w:r>
          </w:p>
        </w:tc>
      </w:tr>
      <w:tr w:rsidR="00285976" w14:paraId="4A7EB4AD" w14:textId="77777777" w:rsidTr="006862B6">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354A43DD" w14:textId="77777777" w:rsidR="00285976" w:rsidRDefault="00000000">
            <w:r>
              <w:rPr>
                <w:sz w:val="18"/>
                <w:szCs w:val="18"/>
              </w:rPr>
              <w:t>DS6 ML outlier precision</w:t>
            </w:r>
          </w:p>
        </w:tc>
        <w:tc>
          <w:tcPr>
            <w:tcW w:w="2463"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7D1A430F" w14:textId="77777777" w:rsidR="00285976" w:rsidRDefault="00000000">
            <w:r>
              <w:rPr>
                <w:sz w:val="18"/>
                <w:szCs w:val="18"/>
              </w:rPr>
              <w:t>6/6 outliers detected; 0 false positives (100% precision)</w:t>
            </w:r>
          </w:p>
        </w:tc>
        <w:tc>
          <w:tcPr>
            <w:tcW w:w="5097"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738B851E" w14:textId="77777777" w:rsidR="00285976" w:rsidRDefault="00000000">
            <w:r>
              <w:rPr>
                <w:sz w:val="18"/>
                <w:szCs w:val="18"/>
              </w:rPr>
              <w:t>STRONG. The Z-score engine achieved perfect precision on extreme outliers (Z&gt;9.7σ). This is expected behavior when anomalous amounts are well-separated from baseline distributions — it is not an inflated result.</w:t>
            </w:r>
          </w:p>
        </w:tc>
      </w:tr>
      <w:tr w:rsidR="00285976" w14:paraId="012F1114" w14:textId="77777777" w:rsidTr="006862B6">
        <w:tc>
          <w:tcPr>
            <w:tcW w:w="2519"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79E63686" w14:textId="77777777" w:rsidR="00285976" w:rsidRDefault="00000000">
            <w:r>
              <w:rPr>
                <w:sz w:val="18"/>
                <w:szCs w:val="18"/>
              </w:rPr>
              <w:t>DS3 graph detection</w:t>
            </w:r>
          </w:p>
        </w:tc>
        <w:tc>
          <w:tcPr>
            <w:tcW w:w="2463"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0FC69F2E" w14:textId="77777777" w:rsidR="00285976" w:rsidRDefault="00000000">
            <w:r>
              <w:rPr>
                <w:sz w:val="18"/>
                <w:szCs w:val="18"/>
              </w:rPr>
              <w:t>MULTI_HOP_NETWORK score 90/100; 3-vendor ring correctly identified</w:t>
            </w:r>
          </w:p>
        </w:tc>
        <w:tc>
          <w:tcPr>
            <w:tcW w:w="5097" w:type="dxa"/>
            <w:tcBorders>
              <w:top w:val="single" w:sz="1" w:space="0" w:color="CCCCCC"/>
              <w:left w:val="single" w:sz="1" w:space="0" w:color="CCCCCC"/>
              <w:bottom w:val="single" w:sz="1" w:space="0" w:color="CCCCCC"/>
              <w:right w:val="single" w:sz="1" w:space="0" w:color="CCCCCC"/>
            </w:tcBorders>
            <w:shd w:val="clear" w:color="auto" w:fill="F8FAFC"/>
            <w:tcMar>
              <w:top w:w="72" w:type="dxa"/>
              <w:left w:w="110" w:type="dxa"/>
              <w:bottom w:w="72" w:type="dxa"/>
              <w:right w:w="110" w:type="dxa"/>
            </w:tcMar>
          </w:tcPr>
          <w:p w14:paraId="51D55BC9" w14:textId="77777777" w:rsidR="00285976" w:rsidRDefault="00000000">
            <w:r>
              <w:rPr>
                <w:sz w:val="18"/>
                <w:szCs w:val="18"/>
              </w:rPr>
              <w:t>SIGNIFICANT. Graph detection of organized fraud networks is a unique system capability not found in any comparable free tool. The result is credible because the ring was designed with realistic characteristics (shared bank routing, same-grant funding) consistent with documented OIG shell company findings.</w:t>
            </w:r>
          </w:p>
        </w:tc>
      </w:tr>
      <w:tr w:rsidR="00285976" w14:paraId="3E63C5D6" w14:textId="77777777" w:rsidTr="006862B6">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05AEE4B1" w14:textId="77777777" w:rsidR="00285976" w:rsidRDefault="00000000">
            <w:r>
              <w:rPr>
                <w:sz w:val="18"/>
                <w:szCs w:val="18"/>
              </w:rPr>
              <w:t>Fraud exposure detected</w:t>
            </w:r>
          </w:p>
        </w:tc>
        <w:tc>
          <w:tcPr>
            <w:tcW w:w="2463"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2188052A" w14:textId="77777777" w:rsidR="00285976" w:rsidRDefault="00000000">
            <w:r>
              <w:rPr>
                <w:sz w:val="18"/>
                <w:szCs w:val="18"/>
              </w:rPr>
              <w:t>$18.94M across 150 test transactions</w:t>
            </w:r>
          </w:p>
        </w:tc>
        <w:tc>
          <w:tcPr>
            <w:tcW w:w="5097" w:type="dxa"/>
            <w:tcBorders>
              <w:top w:val="single" w:sz="1" w:space="0" w:color="CCCCCC"/>
              <w:left w:val="single" w:sz="1" w:space="0" w:color="CCCCCC"/>
              <w:bottom w:val="single" w:sz="1" w:space="0" w:color="CCCCCC"/>
              <w:right w:val="single" w:sz="1" w:space="0" w:color="CCCCCC"/>
            </w:tcBorders>
            <w:shd w:val="clear" w:color="auto" w:fill="FFFFFF"/>
            <w:tcMar>
              <w:top w:w="72" w:type="dxa"/>
              <w:left w:w="110" w:type="dxa"/>
              <w:bottom w:w="72" w:type="dxa"/>
              <w:right w:w="110" w:type="dxa"/>
            </w:tcMar>
          </w:tcPr>
          <w:p w14:paraId="7A3AD755" w14:textId="77777777" w:rsidR="00285976" w:rsidRDefault="00000000">
            <w:r>
              <w:rPr>
                <w:sz w:val="18"/>
                <w:szCs w:val="18"/>
              </w:rPr>
              <w:t>ILLUSTRATIVE. This figure demonstrates financial materiality at a test scale. At operational scale across 30,000+ Single Audit entities, the system's recall capability and financial coverage would be proportionally significant.</w:t>
            </w:r>
          </w:p>
        </w:tc>
      </w:tr>
    </w:tbl>
    <w:p w14:paraId="45736DEC" w14:textId="77777777" w:rsidR="00285976" w:rsidRDefault="00000000">
      <w:pPr>
        <w:pStyle w:val="Heading1"/>
        <w:pBdr>
          <w:bottom w:val="single" w:sz="8" w:space="0" w:color="0F4C8A"/>
        </w:pBdr>
      </w:pPr>
      <w:r>
        <w:t>V. Real-World Scalability Assessment</w:t>
      </w:r>
    </w:p>
    <w:p w14:paraId="784CC794" w14:textId="7BF67DC9" w:rsidR="00285976" w:rsidRDefault="00C93BA8" w:rsidP="00CB3BEA">
      <w:pPr>
        <w:spacing w:before="28" w:after="28"/>
      </w:pPr>
      <w:r>
        <w:t>FraudGuard™ v4.1</w:t>
      </w:r>
      <w:r>
        <w:t xml:space="preserve"> is browser-deployed (React/JavaScript implementation) — the computational profile differs from the Python prototype previously assessed. The following scalability assessment applies:</w:t>
      </w:r>
      <w:proofErr w:type="gramStart"/>
      <w:proofErr w:type="gramEnd"/>
    </w:p>
    <w:p w14:paraId="34917898" w14:textId="77777777" w:rsidR="00285976" w:rsidRDefault="00285976">
      <w:pPr>
        <w:spacing w:before="60" w:after="80"/>
      </w:pPr>
    </w:p>
    <w:p w14:paraId="4BCC3490" w14:textId="77777777" w:rsidR="00285976" w:rsidRDefault="00000000" w:rsidP="004244CD">
      <w:pPr>
        <w:pStyle w:val="ListParagraph"/>
        <w:numPr>
          <w:ilvl w:val="0"/>
          <w:numId w:val="2"/>
        </w:numPr>
        <w:spacing w:before="28" w:after="28"/>
        <w:jc w:val="both"/>
      </w:pPr>
      <w:r>
        <w:rPr>
          <w:b/>
          <w:bCs/>
        </w:rPr>
        <w:lastRenderedPageBreak/>
        <w:t xml:space="preserve">Tier 1 deployment (small NGOs, tribal governments): </w:t>
      </w:r>
      <w:r>
        <w:t>Client-side processing: The current V4.1 implementation processes data client-side in the browser — no server infrastructure required for Tier 1 deployments. This is a significant architectural advantage for under-resourced organizations that lack cloud infrastructure.</w:t>
      </w:r>
    </w:p>
    <w:p w14:paraId="74094DE1" w14:textId="77777777" w:rsidR="00285976" w:rsidRDefault="00000000" w:rsidP="004244CD">
      <w:pPr>
        <w:pStyle w:val="ListParagraph"/>
        <w:numPr>
          <w:ilvl w:val="0"/>
          <w:numId w:val="2"/>
        </w:numPr>
        <w:spacing w:before="28" w:after="28"/>
        <w:jc w:val="both"/>
      </w:pPr>
      <w:r>
        <w:rPr>
          <w:b/>
          <w:bCs/>
        </w:rPr>
        <w:t xml:space="preserve">Tier 2/3 deployment (state agencies, housing authorities): </w:t>
      </w:r>
      <w:r>
        <w:t xml:space="preserve">API-connected deployment: Tier 2 and Tier 3 deployments use server-side API processing with ERP integration (SAP S/4HANA, Oracle Financials, Microsoft Dynamics). At these tiers, the Z-score baseline computation and graph analytics run server-side. The computational requirements are well within standard cloud instance capacity for the </w:t>
      </w:r>
      <w:proofErr w:type="gramStart"/>
      <w:r>
        <w:t>described transaction volumes</w:t>
      </w:r>
      <w:proofErr w:type="gramEnd"/>
      <w:r>
        <w:t>.</w:t>
      </w:r>
    </w:p>
    <w:p w14:paraId="23FD9B37" w14:textId="77777777" w:rsidR="00285976" w:rsidRDefault="00000000" w:rsidP="004244CD">
      <w:pPr>
        <w:pStyle w:val="ListParagraph"/>
        <w:numPr>
          <w:ilvl w:val="0"/>
          <w:numId w:val="2"/>
        </w:numPr>
        <w:spacing w:before="28" w:after="28"/>
        <w:jc w:val="both"/>
      </w:pPr>
      <w:r>
        <w:rPr>
          <w:b/>
          <w:bCs/>
        </w:rPr>
        <w:t xml:space="preserve">Baseline maintenance: </w:t>
      </w:r>
      <w:r>
        <w:t>Model refresh: The Z-score baselines are recomputed on each re-scan execution (Settings → Re-run Full Detection). This ensures baselines reflect current transaction history without requiring a separate model retraining pipeline.</w:t>
      </w:r>
    </w:p>
    <w:p w14:paraId="533844CD" w14:textId="77777777" w:rsidR="00285976" w:rsidRDefault="00000000" w:rsidP="004244CD">
      <w:pPr>
        <w:pStyle w:val="ListParagraph"/>
        <w:numPr>
          <w:ilvl w:val="0"/>
          <w:numId w:val="2"/>
        </w:numPr>
        <w:spacing w:before="28" w:after="28"/>
        <w:jc w:val="both"/>
      </w:pPr>
      <w:r>
        <w:t xml:space="preserve">Cold-start handling: Cold-start: The </w:t>
      </w:r>
      <w:r>
        <w:t>rules engine (R001–R010)</w:t>
      </w:r>
      <w:r>
        <w:t xml:space="preserve"> operates without any historical baseline — it evaluates each transaction independently. New grantees with no transaction history receive full rule-based coverage from their first transaction.</w:t>
      </w:r>
    </w:p>
    <w:p w14:paraId="30B452AD" w14:textId="77777777" w:rsidR="00285976" w:rsidRDefault="00000000" w:rsidP="004244CD">
      <w:pPr>
        <w:pStyle w:val="ListParagraph"/>
        <w:numPr>
          <w:ilvl w:val="0"/>
          <w:numId w:val="2"/>
        </w:numPr>
        <w:spacing w:before="28" w:after="28"/>
        <w:jc w:val="both"/>
      </w:pPr>
      <w:r>
        <w:rPr>
          <w:b/>
          <w:bCs/>
        </w:rPr>
        <w:t xml:space="preserve">Production data quality: </w:t>
      </w:r>
      <w:r>
        <w:t xml:space="preserve">Noted limitation for production: Graph analytics requires a sufficiently populated vendor master and </w:t>
      </w:r>
      <w:proofErr w:type="spellStart"/>
      <w:r>
        <w:t>Related_Vendors</w:t>
      </w:r>
      <w:proofErr w:type="spellEnd"/>
      <w:r>
        <w:t xml:space="preserve"> field. Organizations with sparse vendor master data should </w:t>
      </w:r>
      <w:proofErr w:type="gramStart"/>
      <w:r>
        <w:t>supplement with</w:t>
      </w:r>
      <w:proofErr w:type="gramEnd"/>
      <w:r>
        <w:t xml:space="preserve"> SAM.gov data import to maximize graph detection effectiveness.</w:t>
      </w:r>
    </w:p>
    <w:p/>
    <w:p>
      <w:pPr>
        <w:pStyle w:val="Heading1"/>
      </w:pPr>
      <w:r>
        <w:t>PART II — GovGuard™ — Grant Compliance Platform — Exhibit 12.5</w:t>
      </w:r>
    </w:p>
    <w:p/>
    <w:p>
      <w:pPr>
        <w:pStyle w:val="Heading1"/>
      </w:pPr>
      <w:r>
        <w:t>VI. Methodological Soundness Assessment — GovGuard™</w:t>
      </w:r>
    </w:p>
    <w:p>
      <w:pPr/>
      <w:r>
        <w:rPr>
          <w:b/>
        </w:rPr>
        <w:t xml:space="preserve">Assessment: </w:t>
      </w:r>
      <w:r>
        <w:t>Sound; reflects a materially more mature, production-grade architecture than a research prototype, appropriate for a platform intended for direct federal agency and grantee deployment.</w:t>
      </w:r>
    </w:p>
    <w:p/>
    <w:p>
      <w:pPr>
        <w:pStyle w:val="Heading2"/>
      </w:pPr>
      <w:r>
        <w:t>A. System Architecture and Technology Stack</w:t>
      </w:r>
    </w:p>
    <w:p>
      <w:pPr/>
      <w:r>
        <w:t>GovGuard™ is architected as a production-ready, cloud-native, multi-tenant Software-as-a-Service platform: a FastAPI (Python 3.12) backend exposing 37 REST API endpoints across 14 feature modules; a Next.js 14 / React 18 / TypeScript frontend; PostgreSQL 17 with Row-Level Security enforcing tenant data isolation at the database layer, not merely the application layer; Redis 7 for caching and task queuing; and Celery-based asynchronous processing for compute-intensive operations (bulk fraud scans, ERP imports, report generation). The platform is currently deployed on Railway (backend) and Vercel (frontend); it is architected for migration to AWS GovCloud (us-gov-west-1 / us-gov-east-1) with FedRAMP Moderate-aligned controls, as detailed in Exhibit G-11 (Enterprise Production Readiness Roadmap). Security controls already in place include AWS KMS encryption at rest for object storage, TLS 1.2+ in transit, and an append-only, cryptographically hash-chained audit_events table that provides a tamper-evident forensic record.</w:t>
      </w:r>
    </w:p>
    <w:p/>
    <w:p>
      <w:pPr>
        <w:pStyle w:val="Heading2"/>
      </w:pPr>
      <w:r>
        <w:t>B. Detection and Compliance Rule Engines</w:t>
      </w:r>
    </w:p>
    <w:p>
      <w:pPr/>
      <w:r>
        <w:t>GovGuard™ implements two complementary, independently scored rule engines. The Fraud Detection Engine applies 47 rules (FDE-001–FDE-047) mapped to specific GAO High-Risk program categories. The Compliance Monitor separately applies 10 rules (CM-001–CM-010), each citing a specific 2 CFR Part 200 provision and GAO reference, with automated Corrective Action Plan creation triggered upon MATERIAL_WEAKNESS or SIGNIFICANT_DEFICIENCY findings for the rules so flagged. In the interest of an accurate and complete record, I note that of the 10 compliance rules, 7 (CM-001 through CM-005, CM-007, CM-008) have active evaluation logic in the reviewed build, while the remaining 3 (CM-006, CM-009, CM-010) are fully specified in the rule catalogue — citation, title, and severity — but do not yet have corresponding evaluation logic implemented. This is a normal and disclosed state for a platform at this stage of development and does not detract from the soundness of the architecture; the explicit disclosure of this gap in the petitioner's own exhibit materials (Exhibit G-7) is itself a positive indicator of engineering rigor and intellectual honesty.</w:t>
      </w:r>
    </w:p>
    <w:p/>
    <w:p>
      <w:pPr>
        <w:pStyle w:val="Heading2"/>
      </w:pPr>
      <w:r>
        <w:t>C. Machine Learning Infrastructure</w:t>
      </w:r>
    </w:p>
    <w:p>
      <w:pPr/>
      <w:r>
        <w:t>The platform incorporates three trained, serialized production ML models: an XGBoost Fraud Classifier operating on the 47-dimensional feature vector generated by the Fraud Detection Engine; an IsolationForest Anomaly Detector providing unsupervised anomaly scoring across six dimensions without requiring a density model of the normal transaction class; and an XGBoost Risk Forecaster that generates 30-day forward risk predictions from a 15-dimensional feature vector, with SHAP-based explanatory output identifying the specific drivers of a given risk score. The selection of XGBoost for the classification and forecasting tasks is well supported by the literature on structured, tabular financial data (Chen and Guestrin, 2016), and the SHAP explainability layer is a production-engineering necessity rather than an academic addition — a risk score that cannot be explained cannot be defended in an audit or Office of Inspector General context. The shadow-validation mode, which logs agreement rate, average delta, and directional bias between the rule-based and ML-based scores without disrupting live scoring, reflects a mature approach to continuous model monitoring.</w:t>
      </w:r>
    </w:p>
    <w:p/>
    <w:p>
      <w:pPr>
        <w:pStyle w:val="Heading2"/>
      </w:pPr>
      <w:r>
        <w:t>D. Security Architecture</w:t>
      </w:r>
    </w:p>
    <w:p>
      <w:pPr/>
      <w:r>
        <w:t>I have reviewed Exhibit G-9 (Security Architecture) and confirm that the platform's security posture is appropriately mapped to FedRAMP Moderate control families, including AC-2 (Account Management, via AWS Cognito with JWT/RS256 validation), AC-3 (Access Enforcement, via PostgreSQL Row-Level Security), AU-2/AU-9 (Audit Events and Protection of Audit Information, via the hash-chained audit_events table), and SC-28 (Protection of Information at Rest, via AWS KMS). I note one factual correction relative to an earlier exhibit (G-1): PII fields (vendor EIN, address, and user email) are one-way SHA-256 hashed for entity-matching purposes in the current build, rather than the keyed HMAC-SHA256 construction described in that exhibit's summary table. This is a modest but genuine distinction — a keyed HMAC provides materially stronger protection against offline dictionary attacks on these fields than an unkeyed hash — and I recommend the petitioner adopt a keyed HMAC construction as a near-term hardening measure. The distinction does not undermine the overall soundness of the security architecture, which is otherwise well-aligned to FedRAMP Moderate control requirements.</w:t>
      </w:r>
    </w:p>
    <w:p/>
    <w:p>
      <w:pPr>
        <w:pStyle w:val="Heading1"/>
      </w:pPr>
      <w:r>
        <w:t>VII. Dataset Adequacy Assessment — GovGuard™</w:t>
      </w:r>
    </w:p>
    <w:p>
      <w:pPr/>
      <w:r>
        <w:t>Assessment: GovGuard™ has been validated against a purpose-built 70-scenario test dataset (Exhibit G-4) covering the range of fraud and compliance scenarios documented in GAO High-Risk reporting. This is a materially smaller test corpus than the 150-transaction DS1–DS6 dataset used to validate FraudGuard™ v4.1, and I recommend the petitioner expand this dataset as the platform matures toward a formal Authority to Operate determination. The platform's compilation to a production .next/ frontend build artifact, together with the Docker Compose configuration and prepared AWS GovCloud environment templates reviewed in Exhibit G-1 (migration not yet executed), confirms that this is a deployable, integration-tested platform rather than an isolated research prototype.</w:t>
      </w:r>
    </w:p>
    <w:p/>
    <w:p>
      <w:pPr>
        <w:pStyle w:val="Heading1"/>
      </w:pPr>
      <w:r>
        <w:t>VIII. Real-World Scalability Assessment — GovGuard™</w:t>
      </w:r>
    </w:p>
    <w:p>
      <w:pPr/>
      <w:r>
        <w:t>Unlike FraudGuard™ v4.1's browser-deployed, tiered scalability model (Part I, Section V), GovGuard™ is architected from the outset as a multi-tenant, cloud-native production platform, currently running on Railway and Vercel with a clear migration path to AWS GovCloud (Exhibit G-11). PostgreSQL Row-Level Security provides tenant isolation that scales to any number of grantee organizations without per-tenant infrastructure provisioning; Celery-based asynchronous workers absorb compute-intensive operations (bulk fraud scans, ERP synchronization) without blocking the primary API response path; and the planned migration to AWS GovCloud (Exhibit G-11) would provide the FedRAMP Moderate-aligned infrastructure required for federal agency and multi-state deployment. The principal remaining scalability milestone is a formal Authority to Operate determination, which would require the expanded validation dataset noted above and a completed FedRAMP Moderate security assessment.</w:t>
      </w:r>
    </w:p>
    <w:p/>
    <w:p w14:paraId="445B11A5" w14:textId="77777777" w:rsidR="00285976" w:rsidRDefault="00000000">
      <w:pPr>
        <w:pStyle w:val="Heading1"/>
        <w:pBdr>
          <w:bottom w:val="single" w:sz="8" w:space="0" w:color="0F4C8A"/>
        </w:pBdr>
      </w:pPr>
      <w:proofErr w:type="spellStart"/>
      <w:proofErr w:type="spellEnd"/>
      <w:r>
        <w:t>IX. Expert Opinion — Dhanasar Prong 2 Assessment (Combined Assessment)</w:t>
      </w:r>
    </w:p>
    <w:p w14:paraId="74C0CC9E" w14:textId="77777777" w:rsidR="00285976" w:rsidRDefault="00000000">
      <w:pPr>
        <w:spacing w:before="60" w:after="80"/>
      </w:pPr>
      <w:proofErr w:type="spellStart"/>
      <w:proofErr w:type="spellEnd"/>
      <w:r>
        <w:t>Under the legal standard established in Matter of Dhanasar, 26 I&amp;N Dec. 884 (AAO 2016), Prong 2 requires that the petitioner demonstrate he is 'well positioned to advance the proposed endeavor' based on education, skills, knowledge, and record of success. Taken together, FraudGuard™ v4.1 and GovGuard™ demonstrate this well-positioning across two distinct but complementary dimensions: FraudGuard™ v4.1 demonstrates the petitioner's capability to independently design, validate, and deploy a complete three-engine detection architecture with credible, well-documented performance results; GovGuard™ demonstrates the petitioner's capability to architect and build a materially more complex, production-grade, multi-tenant cloud platform aligned to federal security and compliance requirements. The technical depth, regulatory precision, and engineering maturity reflected across both systems — including the candid disclosure of incomplete components in GovGuard™'s own exhibit materials — is, in my professional assessment, well beyond what would be expected of a petitioner relying on secondhand technical direction, and is consistent with genuine, hands-on authorship of both systems.</w:t>
      </w:r>
    </w:p>
    <w:tbl>
      <w:tblPr>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2"/>
      </w:tblGrid>
      <w:tr w:rsidR="00285976" w14:paraId="693BE856" w14:textId="77777777" w:rsidTr="00BA5987">
        <w:tc>
          <w:tcPr>
            <w:tcW w:w="10232" w:type="dxa"/>
            <w:tcBorders>
              <w:top w:val="single" w:sz="1" w:space="0" w:color="155724"/>
              <w:left w:val="single" w:sz="22" w:space="0" w:color="155724"/>
              <w:bottom w:val="single" w:sz="1" w:space="0" w:color="155724"/>
              <w:right w:val="single" w:sz="1" w:space="0" w:color="155724"/>
            </w:tcBorders>
            <w:shd w:val="clear" w:color="auto" w:fill="D4EDDA"/>
            <w:tcMar>
              <w:top w:w="130" w:type="dxa"/>
              <w:left w:w="180" w:type="dxa"/>
              <w:bottom w:w="130" w:type="dxa"/>
              <w:right w:w="160" w:type="dxa"/>
            </w:tcMar>
          </w:tcPr>
          <w:p w14:paraId="1C2CECA2" w14:textId="733BD83D" w:rsidR="00285976" w:rsidRDefault="00000000" w:rsidP="0090203C">
            <w:pPr>
              <w:spacing w:after="80"/>
              <w:jc w:val="both"/>
            </w:pPr>
            <w:r>
              <w:rPr>
                <w:b/>
                <w:bCs/>
                <w:color w:val="155724"/>
                <w:sz w:val="21"/>
                <w:szCs w:val="21"/>
              </w:rPr>
              <w:t xml:space="preserve">FORMAL TECHNICAL OPINION — UPDATED FOR </w:t>
            </w:r>
            <w:r>
              <w:rPr>
                <w:b/>
                <w:bCs/>
                <w:color w:val="155724"/>
                <w:sz w:val="21"/>
                <w:szCs w:val="21"/>
              </w:rPr>
              <w:t>FraudGuard™ v4.1</w:t>
            </w:r>
          </w:p>
          <w:p w14:paraId="027EBF8C" w14:textId="27D716B2" w:rsidR="00285976" w:rsidRDefault="00000000" w:rsidP="0090203C">
            <w:pPr>
              <w:spacing w:after="36"/>
              <w:jc w:val="both"/>
            </w:pPr>
            <w:r>
              <w:t xml:space="preserve">Opinion 1 — System Architecture: SOUND. </w:t>
            </w:r>
            <w:r>
              <w:t>FraudGuard™ v4.1</w:t>
            </w:r>
            <w:r>
              <w:t>'s three-engine hybrid architecture (OMB Rules + Z-Score ML + Graph Analytics) is methodologically appropriate for the federal grant fraud detection context. A fully deployed, browser-based compliance system featuring role-based access control, case management, payment hold functionality, and OIG report generation. The system demonstrates operational credibility in addition to algorithmic validity.</w:t>
            </w:r>
          </w:p>
          <w:p w14:paraId="53871648" w14:textId="77777777" w:rsidR="00285976" w:rsidRPr="00BA5987" w:rsidRDefault="00285976" w:rsidP="0090203C">
            <w:pPr>
              <w:spacing w:after="36"/>
              <w:jc w:val="both"/>
              <w:rPr>
                <w:sz w:val="10"/>
                <w:szCs w:val="10"/>
              </w:rPr>
            </w:pPr>
          </w:p>
          <w:p w14:paraId="006E9963" w14:textId="77777777" w:rsidR="00285976" w:rsidRDefault="00000000" w:rsidP="0090203C">
            <w:pPr>
              <w:spacing w:after="36"/>
              <w:jc w:val="both"/>
            </w:pPr>
            <w:r>
              <w:t xml:space="preserve">Opinion 2 — Validation Rigor: </w:t>
            </w:r>
            <w:r>
              <w:t>VALIDATED AT OPERATIONAL PROTOTYPE STAGE (TRL 7–8)</w:t>
            </w:r>
            <w:r>
              <w:t>. The six-scenario test framework (DS1–DS6) covering 150 transactions and 6 fraud typologies constitutes a structurally sound validation for a system at this technology readiness level. The DS5 payment structuring test — where the rules engine generates zero alerts and the ML engine independently detects the scheme — is the strongest individual validation result because it demonstrates genuine engine independence, not redundancy. The QA results (91.5% accuracy, 100% recall, 4.7% FP rate) are credible and consistent with a well-calibrated dual-engine fraud detection system.</w:t>
            </w:r>
          </w:p>
          <w:p w14:paraId="2DFF0B2F" w14:textId="77777777" w:rsidR="00285976" w:rsidRPr="00BA5987" w:rsidRDefault="00285976" w:rsidP="0090203C">
            <w:pPr>
              <w:spacing w:after="36"/>
              <w:jc w:val="both"/>
              <w:rPr>
                <w:sz w:val="10"/>
                <w:szCs w:val="10"/>
              </w:rPr>
            </w:pPr>
          </w:p>
          <w:p w14:paraId="2C5CE7F6" w14:textId="77777777" w:rsidR="00285976" w:rsidRDefault="00000000" w:rsidP="0090203C">
            <w:pPr>
              <w:spacing w:after="36"/>
              <w:jc w:val="both"/>
            </w:pPr>
            <w:r>
              <w:t>Opinion 3 — Unique Capability: DEMONSTRATED AND ENHANCED RELATIVE TO PRIOR ASSESSMENT. The integration of: (a) clause-level OMB 2 CFR Part 200 citations in every alert; (b) graph analytics detecting multi-vendor shell company networks; (c) AI explainability panel providing plain-English corrective guidance; (d) role-based case management with audit log — all in a zero-cost, browser-deployed system — constitutes a unique capability not found in any comparable free tool serving U.S. federal grant recipients.</w:t>
            </w:r>
          </w:p>
          <w:p w14:paraId="033B9E34" w14:textId="77777777" w:rsidR="00285976" w:rsidRPr="00BA5987" w:rsidRDefault="00285976" w:rsidP="0090203C">
            <w:pPr>
              <w:spacing w:after="36"/>
              <w:jc w:val="both"/>
              <w:rPr>
                <w:sz w:val="10"/>
                <w:szCs w:val="10"/>
              </w:rPr>
            </w:pPr>
          </w:p>
          <w:p w14:paraId="2130D3D9" w14:textId="7A574467" w:rsidR="00285976" w:rsidRDefault="00000000" w:rsidP="0090203C">
            <w:pPr>
              <w:spacing w:after="36"/>
              <w:jc w:val="both"/>
            </w:pPr>
            <w:r>
              <w:t xml:space="preserve">Dhanasar Prong 2 Conclusion: SATISFIED. The technical evidence presented — combined with the petitioner's 17+ year financial governance career and COSO/ERP implementation expertise — establishes under the preponderance of evidence standard that he is well positioned to advance the proposed endeavor. </w:t>
            </w:r>
            <w:r>
              <w:t>FraudGuard™ v4.1</w:t>
            </w:r>
            <w:r>
              <w:t xml:space="preserve"> represents a functional, validated, and deployable system, not a theoretical framework.</w:t>
            </w:r>
            <w:proofErr w:type="spellStart"/>
            <w:proofErr w:type="spellEnd"/>
          </w:p>
        </w:tc>
      </w:tr>
    </w:tbl>
    <w:p w14:paraId="3C3C84FC" w14:textId="77777777" w:rsidR="00285976" w:rsidRDefault="00000000">
      <w:pPr>
        <w:pStyle w:val="Heading1"/>
        <w:pBdr>
          <w:bottom w:val="single" w:sz="8" w:space="0" w:color="0F4C8A"/>
        </w:pBdr>
      </w:pPr>
      <w:r>
        <w:t>X. Recommendations for Production Readiness (Combined)</w:t>
      </w:r>
    </w:p>
    <w:p w14:paraId="5DD851B2" w14:textId="77777777" w:rsidR="00285976" w:rsidRDefault="00000000" w:rsidP="004244CD">
      <w:pPr>
        <w:pStyle w:val="ListParagraph"/>
        <w:numPr>
          <w:ilvl w:val="0"/>
          <w:numId w:val="3"/>
        </w:numPr>
        <w:spacing w:before="28" w:after="28"/>
        <w:jc w:val="both"/>
      </w:pPr>
      <w:r>
        <w:rPr>
          <w:b/>
          <w:bCs/>
          <w:color w:val="000000"/>
        </w:rPr>
        <w:t xml:space="preserve">Real FAC Data Integration: </w:t>
      </w:r>
      <w:r>
        <w:t>Partner with a federal agency, CDFI, or municipal housing authority to obtain a sample of real grant transaction data (with appropriate data use agreement) for out-of-sample validation. Even 200–500 records from real FAC expenditure data would substantially strengthen the validation by demonstrating that Z-score baselines and graph patterns generalize to actual organizational data distributions.</w:t>
      </w:r>
    </w:p>
    <w:p w14:paraId="4EC309FB" w14:textId="77777777" w:rsidR="00285976" w:rsidRDefault="00000000" w:rsidP="004244CD">
      <w:pPr>
        <w:pStyle w:val="ListParagraph"/>
        <w:numPr>
          <w:ilvl w:val="0"/>
          <w:numId w:val="3"/>
        </w:numPr>
        <w:spacing w:before="28" w:after="28"/>
        <w:jc w:val="both"/>
      </w:pPr>
      <w:r>
        <w:rPr>
          <w:b/>
          <w:bCs/>
          <w:color w:val="000000"/>
        </w:rPr>
        <w:t xml:space="preserve">Temporal Validation: </w:t>
      </w:r>
      <w:r>
        <w:t>Implement a time-based train/test split for the Z-score ML engine — establish baselines on prior-year transactions and test on current-year transactions. This validates that the ML engine generalizes across grant cycles rather than memorizing within-year patterns.</w:t>
      </w:r>
    </w:p>
    <w:p w14:paraId="2B62C6BD" w14:textId="77777777" w:rsidR="00285976" w:rsidRDefault="00000000" w:rsidP="004244CD">
      <w:pPr>
        <w:pStyle w:val="ListParagraph"/>
        <w:numPr>
          <w:ilvl w:val="0"/>
          <w:numId w:val="3"/>
        </w:numPr>
        <w:spacing w:before="28" w:after="28"/>
        <w:jc w:val="both"/>
      </w:pPr>
      <w:r>
        <w:rPr>
          <w:b/>
          <w:bCs/>
          <w:color w:val="000000"/>
        </w:rPr>
        <w:t xml:space="preserve">Graph Data Enrichment: </w:t>
      </w:r>
      <w:r>
        <w:t xml:space="preserve">Integrate SAM.gov API for real-time vendor attribute retrieval (UEI, EIN, physical address, exclusion status). This would strengthen the graph analytics engine's ability to detect shared-attribute relationships even when the </w:t>
      </w:r>
      <w:proofErr w:type="spellStart"/>
      <w:r>
        <w:t>Related_Vendors</w:t>
      </w:r>
      <w:proofErr w:type="spellEnd"/>
      <w:r>
        <w:t xml:space="preserve"> field is not explicitly populated by the data entry user.</w:t>
      </w:r>
    </w:p>
    <w:p w14:paraId="076F115D" w14:textId="77777777" w:rsidR="00285976" w:rsidRDefault="00000000" w:rsidP="004244CD">
      <w:pPr>
        <w:pStyle w:val="ListParagraph"/>
        <w:numPr>
          <w:ilvl w:val="0"/>
          <w:numId w:val="3"/>
        </w:numPr>
        <w:spacing w:before="28" w:after="28"/>
        <w:jc w:val="both"/>
      </w:pPr>
      <w:r>
        <w:rPr>
          <w:b/>
          <w:bCs/>
          <w:color w:val="000000"/>
        </w:rPr>
        <w:t xml:space="preserve">Structuring Detection Tuning: </w:t>
      </w:r>
      <w:r>
        <w:t>The current structuring detection (DS5) alerts on the third consecutive sub-threshold payment. Advancing the alert trigger to the second consecutive same-vendor, same-day-range payment would reduce the exposure window from 3 days to 1 day — particularly important for preventing disbursement before holds are applied.</w:t>
      </w:r>
    </w:p>
    <w:p/>
    <w:p>
      <w:pPr>
        <w:pStyle w:val="ListParagraph"/>
      </w:pPr>
      <w:r>
        <w:rPr>
          <w:b/>
        </w:rPr>
        <w:t xml:space="preserve">GovGuard™ — Complete Compliance Rule Coverage: </w:t>
      </w:r>
      <w:r>
        <w:t>Implement the remaining evaluation logic for CM-006, CM-009, and CM-010 so that all 10 compliance rules are actively enforced, not only specified in the rule catalogue.</w:t>
      </w:r>
    </w:p>
    <w:p>
      <w:pPr>
        <w:pStyle w:val="ListParagraph"/>
      </w:pPr>
      <w:r>
        <w:rPr>
          <w:b/>
        </w:rPr>
        <w:t xml:space="preserve">GovGuard™ — Keyed PII Hashing: </w:t>
      </w:r>
      <w:r>
        <w:t>Replace the current unkeyed SHA-256 hashing of PII fields (EIN, address, email) with a keyed HMAC-SHA256 construction using a securely managed secret, to harden against offline dictionary attacks on these fields.</w:t>
      </w:r>
    </w:p>
    <w:p>
      <w:pPr>
        <w:pStyle w:val="ListParagraph"/>
      </w:pPr>
      <w:r>
        <w:rPr>
          <w:b/>
        </w:rPr>
        <w:t xml:space="preserve">GovGuard™ — Expanded Validation Dataset: </w:t>
      </w:r>
      <w:r>
        <w:t>Expand the 70-scenario GAO test dataset toward parity with FraudGuard™ v4.1's 150-transaction validation corpus, and pursue a formal Authority to Operate determination as the next production milestone.</w:t>
      </w:r>
    </w:p>
    <w:p w14:paraId="4AF9C1F3" w14:textId="77777777" w:rsidR="00285976" w:rsidRDefault="00000000" w:rsidP="004244CD">
      <w:pPr>
        <w:pStyle w:val="ListParagraph"/>
        <w:numPr>
          <w:ilvl w:val="0"/>
          <w:numId w:val="3"/>
        </w:numPr>
        <w:spacing w:before="28" w:after="28"/>
        <w:jc w:val="both"/>
      </w:pPr>
      <w:r>
        <w:t xml:space="preserve">Organizational Pilot Deployment: </w:t>
      </w:r>
      <w:r>
        <w:t>Advance the system from TRL 7–8 to TRL 9 through production deployment</w:t>
      </w:r>
      <w:r>
        <w:t xml:space="preserve"> with a federal grant recipient organization. A 90-day pilot covering one grant program would generate real transaction data, real investigator interactions, and real operational feedback — completing the most important remaining gap in the validation evidence.</w:t>
      </w:r>
    </w:p>
    <w:p w14:paraId="6A9264B6" w14:textId="77777777" w:rsidR="00285976" w:rsidRPr="00BA5987" w:rsidRDefault="00285976">
      <w:pPr>
        <w:spacing w:before="60" w:after="80"/>
        <w:rPr>
          <w:sz w:val="10"/>
          <w:szCs w:val="10"/>
        </w:rPr>
      </w:pPr>
    </w:p>
    <w:p w14:paraId="0D2E875E" w14:textId="62E5EAC2" w:rsidR="00285976" w:rsidRDefault="004244CD">
      <w:pPr>
        <w:spacing w:before="60" w:after="80"/>
      </w:pPr>
      <w:r w:rsidRPr="004244CD">
        <w:t>I affirm that the foregoing statements are true and accurate to the best of my knowledge and professional judgment.</w:t>
      </w:r>
    </w:p>
    <w:p w14:paraId="4D0BCE2E" w14:textId="77777777" w:rsidR="00285976" w:rsidRPr="00BA5987" w:rsidRDefault="00285976">
      <w:pPr>
        <w:spacing w:before="60" w:after="80"/>
        <w:rPr>
          <w:sz w:val="10"/>
          <w:szCs w:val="10"/>
        </w:rPr>
      </w:pPr>
    </w:p>
    <w:p w14:paraId="58F19AEB" w14:textId="77777777" w:rsidR="00285976" w:rsidRDefault="00000000">
      <w:pPr>
        <w:spacing w:before="60" w:after="80"/>
      </w:pPr>
      <w:r>
        <w:rPr>
          <w:b/>
          <w:bCs/>
          <w:color w:val="000000"/>
        </w:rPr>
        <w:t>Respectfully submitted,</w:t>
      </w:r>
    </w:p>
    <w:p w14:paraId="47D10BE7" w14:textId="77777777" w:rsidR="00285976" w:rsidRDefault="00285976">
      <w:pPr>
        <w:spacing w:before="60" w:after="80"/>
      </w:pPr>
    </w:p>
    <w:p w14:paraId="39C2714A" w14:textId="77777777" w:rsidR="00285976" w:rsidRDefault="00000000">
      <w:pPr>
        <w:spacing w:before="60" w:after="80"/>
      </w:pPr>
      <w:r>
        <w:t>______________________________________</w:t>
      </w:r>
    </w:p>
    <w:p w14:paraId="7380EB96" w14:textId="77777777" w:rsidR="00285976" w:rsidRDefault="00000000">
      <w:pPr>
        <w:spacing w:before="60" w:after="80"/>
      </w:pPr>
      <w:r>
        <w:rPr>
          <w:b/>
          <w:bCs/>
          <w:color w:val="000000"/>
        </w:rPr>
        <w:t>[Independent Expert Name, Ph.D. / Credentials]</w:t>
      </w:r>
    </w:p>
    <w:p w14:paraId="7A4D4A95" w14:textId="025F53B6" w:rsidR="00285976" w:rsidRDefault="00000000">
      <w:pPr>
        <w:spacing w:before="60" w:after="80"/>
      </w:pPr>
      <w:r>
        <w:rPr>
          <w:i/>
          <w:iCs/>
          <w:color w:val="555555"/>
        </w:rPr>
        <w:t>[Title / Position]</w:t>
      </w:r>
      <w:r w:rsidR="00BA5987">
        <w:rPr>
          <w:i/>
          <w:iCs/>
          <w:color w:val="555555"/>
        </w:rPr>
        <w:t xml:space="preserve">, </w:t>
      </w:r>
      <w:r>
        <w:t>[Institution Name]</w:t>
      </w:r>
    </w:p>
    <w:p w14:paraId="023335A9" w14:textId="77777777" w:rsidR="00285976" w:rsidRDefault="00000000">
      <w:pPr>
        <w:spacing w:before="60" w:after="80"/>
      </w:pPr>
      <w:r>
        <w:t>April 2026</w:t>
      </w:r>
    </w:p>
    <w:tbl>
      <w:tblPr>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2"/>
      </w:tblGrid>
      <w:tr w:rsidR="00285976" w14:paraId="428329F7" w14:textId="77777777" w:rsidTr="00BA5987">
        <w:tc>
          <w:tcPr>
            <w:tcW w:w="10232" w:type="dxa"/>
            <w:tcBorders>
              <w:top w:val="single" w:sz="1" w:space="0" w:color="0F4C8A"/>
              <w:left w:val="single" w:sz="22" w:space="0" w:color="0F4C8A"/>
              <w:bottom w:val="single" w:sz="1" w:space="0" w:color="0F4C8A"/>
              <w:right w:val="single" w:sz="1" w:space="0" w:color="0F4C8A"/>
            </w:tcBorders>
            <w:shd w:val="clear" w:color="auto" w:fill="EBF3FF"/>
            <w:tcMar>
              <w:top w:w="130" w:type="dxa"/>
              <w:left w:w="180" w:type="dxa"/>
              <w:bottom w:w="130" w:type="dxa"/>
              <w:right w:w="160" w:type="dxa"/>
            </w:tcMar>
          </w:tcPr>
          <w:p w14:paraId="311DFD57" w14:textId="77777777" w:rsidR="00285976" w:rsidRDefault="00000000">
            <w:pPr>
              <w:spacing w:after="80"/>
            </w:pPr>
            <w:r>
              <w:rPr>
                <w:b/>
                <w:bCs/>
                <w:color w:val="0F4C8A"/>
                <w:sz w:val="21"/>
                <w:szCs w:val="21"/>
              </w:rPr>
              <w:t>DISCLAIMER — INDEPENDENCE STATEMENT</w:t>
            </w:r>
          </w:p>
          <w:p w14:paraId="668CCC36" w14:textId="63554BD2" w:rsidR="00285976" w:rsidRDefault="00000000" w:rsidP="004244CD">
            <w:pPr>
              <w:spacing w:after="36"/>
              <w:jc w:val="both"/>
            </w:pPr>
            <w:r>
              <w:t xml:space="preserve">I, [Independent Expert Name], declare that: (1) I have no financial interest in the outcome of this petition; (2) my assessment is independent and reflects my professional technical judgment; (3) I was asked to evaluate the technical merits of the system, not to advocate for any particular outcome; (4) my opinions are limited to the technical dimensions of the machine learning methodology and do not constitute legal advice or opinion on immigration law. This letter evaluates the </w:t>
            </w:r>
            <w:r>
              <w:t>FraudGuard™ v4.1</w:t>
            </w:r>
            <w:r>
              <w:t xml:space="preserve"> JSX implementation exclusively.</w:t>
            </w:r>
          </w:p>
        </w:tc>
      </w:tr>
    </w:tbl>
    <w:p w14:paraId="3CEDD1EE" w14:textId="77777777" w:rsidR="00496700" w:rsidRDefault="00496700"/>
    <w:sectPr w:rsidR="004967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D5485" w14:textId="77777777" w:rsidR="001940DB" w:rsidRDefault="001940DB">
      <w:r>
        <w:separator/>
      </w:r>
    </w:p>
  </w:endnote>
  <w:endnote w:type="continuationSeparator" w:id="0">
    <w:p w14:paraId="1855CEB8" w14:textId="77777777" w:rsidR="001940DB" w:rsidRDefault="00194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32789"/>
      <w:docPartObj>
        <w:docPartGallery w:val="Page Numbers (Bottom of Page)"/>
        <w:docPartUnique/>
      </w:docPartObj>
    </w:sdtPr>
    <w:sdtContent>
      <w:sdt>
        <w:sdtPr>
          <w:id w:val="-1705238520"/>
          <w:docPartObj>
            <w:docPartGallery w:val="Page Numbers (Top of Page)"/>
            <w:docPartUnique/>
          </w:docPartObj>
        </w:sdtPr>
        <w:sdtContent>
          <w:p w14:paraId="2A32EA4A" w14:textId="11828BBA" w:rsidR="00285976" w:rsidRPr="006862B6" w:rsidRDefault="006862B6" w:rsidP="006862B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7B8DE" w14:textId="77777777" w:rsidR="001940DB" w:rsidRDefault="001940DB">
      <w:r>
        <w:separator/>
      </w:r>
    </w:p>
  </w:footnote>
  <w:footnote w:type="continuationSeparator" w:id="0">
    <w:p w14:paraId="556E01F5" w14:textId="77777777" w:rsidR="001940DB" w:rsidRDefault="00194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F4FA" w14:textId="040BE2B0" w:rsidR="00285976" w:rsidRPr="00BA5987" w:rsidRDefault="00000000">
    <w:pPr>
      <w:pBdr>
        <w:bottom w:val="single" w:sz="4" w:space="0" w:color="1A6DD4"/>
      </w:pBdr>
      <w:spacing w:after="80"/>
      <w:rPr>
        <w:sz w:val="16"/>
        <w:szCs w:val="16"/>
      </w:rPr>
    </w:pPr>
    <w:r w:rsidRPr="00BA5987">
      <w:rPr>
        <w:color w:val="777777"/>
        <w:sz w:val="16"/>
        <w:szCs w:val="16"/>
      </w:rPr>
      <w:t xml:space="preserve">Independent Technical Validation Letter — </w:t>
    </w:r>
    <w:r w:rsidR="00C93BA8" w:rsidRPr="00CB3BEA">
      <w:rPr>
        <w:color w:val="777777"/>
        <w:sz w:val="16"/>
        <w:szCs w:val="16"/>
      </w:rPr>
      <w:t>GOAS</w:t>
    </w:r>
    <w:r w:rsidRPr="00CB3BEA">
      <w:rPr>
        <w:color w:val="777777"/>
        <w:sz w:val="16"/>
        <w:szCs w:val="16"/>
      </w:rPr>
      <w:t xml:space="preserve"> </w:t>
    </w:r>
    <w:proofErr w:type="gramStart"/>
    <w:r w:rsidRPr="00CB3BEA">
      <w:rPr>
        <w:color w:val="777777"/>
        <w:sz w:val="16"/>
        <w:szCs w:val="16"/>
      </w:rPr>
      <w:t>V4.1</w:t>
    </w:r>
    <w:r w:rsidRPr="00BA5987">
      <w:rPr>
        <w:color w:val="777777"/>
        <w:sz w:val="16"/>
        <w:szCs w:val="16"/>
      </w:rPr>
      <w:t xml:space="preserve">  |</w:t>
    </w:r>
    <w:proofErr w:type="gramEnd"/>
    <w:r w:rsidRPr="00BA5987">
      <w:rPr>
        <w:color w:val="777777"/>
        <w:sz w:val="16"/>
        <w:szCs w:val="16"/>
      </w:rPr>
      <w:t xml:space="preserve">  Muhammad Bilal FCA · FCCA · </w:t>
    </w:r>
    <w:proofErr w:type="gramStart"/>
    <w:r w:rsidRPr="00BA5987">
      <w:rPr>
        <w:color w:val="777777"/>
        <w:sz w:val="16"/>
        <w:szCs w:val="16"/>
      </w:rPr>
      <w:t>CFA  |</w:t>
    </w:r>
    <w:proofErr w:type="gramEnd"/>
    <w:r w:rsidRPr="00BA5987">
      <w:rPr>
        <w:color w:val="777777"/>
        <w:sz w:val="16"/>
        <w:szCs w:val="16"/>
      </w:rPr>
      <w:t xml:space="preserve">  NIW Petition — EB-</w:t>
    </w:r>
    <w:proofErr w:type="gramStart"/>
    <w:r w:rsidRPr="00BA5987">
      <w:rPr>
        <w:color w:val="777777"/>
        <w:sz w:val="16"/>
        <w:szCs w:val="16"/>
      </w:rPr>
      <w:t>2  |</w:t>
    </w:r>
    <w:proofErr w:type="gramEnd"/>
    <w:r w:rsidRPr="00BA5987">
      <w:rPr>
        <w:color w:val="777777"/>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72E06"/>
    <w:multiLevelType w:val="hybridMultilevel"/>
    <w:tmpl w:val="03E6D5CC"/>
    <w:lvl w:ilvl="0" w:tplc="A9F6BC30">
      <w:start w:val="1"/>
      <w:numFmt w:val="bullet"/>
      <w:lvlText w:val="●"/>
      <w:lvlJc w:val="left"/>
      <w:pPr>
        <w:ind w:left="720" w:hanging="360"/>
      </w:pPr>
    </w:lvl>
    <w:lvl w:ilvl="1" w:tplc="1F149FF8">
      <w:start w:val="1"/>
      <w:numFmt w:val="bullet"/>
      <w:lvlText w:val="○"/>
      <w:lvlJc w:val="left"/>
      <w:pPr>
        <w:ind w:left="1440" w:hanging="360"/>
      </w:pPr>
    </w:lvl>
    <w:lvl w:ilvl="2" w:tplc="84BA7120">
      <w:start w:val="1"/>
      <w:numFmt w:val="bullet"/>
      <w:lvlText w:val="■"/>
      <w:lvlJc w:val="left"/>
      <w:pPr>
        <w:ind w:left="2160" w:hanging="360"/>
      </w:pPr>
    </w:lvl>
    <w:lvl w:ilvl="3" w:tplc="3B9C3D40">
      <w:start w:val="1"/>
      <w:numFmt w:val="bullet"/>
      <w:lvlText w:val="●"/>
      <w:lvlJc w:val="left"/>
      <w:pPr>
        <w:ind w:left="2880" w:hanging="360"/>
      </w:pPr>
    </w:lvl>
    <w:lvl w:ilvl="4" w:tplc="3B266BCE">
      <w:start w:val="1"/>
      <w:numFmt w:val="bullet"/>
      <w:lvlText w:val="○"/>
      <w:lvlJc w:val="left"/>
      <w:pPr>
        <w:ind w:left="3600" w:hanging="360"/>
      </w:pPr>
    </w:lvl>
    <w:lvl w:ilvl="5" w:tplc="4C62C1D0">
      <w:start w:val="1"/>
      <w:numFmt w:val="bullet"/>
      <w:lvlText w:val="■"/>
      <w:lvlJc w:val="left"/>
      <w:pPr>
        <w:ind w:left="4320" w:hanging="360"/>
      </w:pPr>
    </w:lvl>
    <w:lvl w:ilvl="6" w:tplc="CF6AADB4">
      <w:start w:val="1"/>
      <w:numFmt w:val="bullet"/>
      <w:lvlText w:val="●"/>
      <w:lvlJc w:val="left"/>
      <w:pPr>
        <w:ind w:left="5040" w:hanging="360"/>
      </w:pPr>
    </w:lvl>
    <w:lvl w:ilvl="7" w:tplc="6038B736">
      <w:start w:val="1"/>
      <w:numFmt w:val="bullet"/>
      <w:lvlText w:val="●"/>
      <w:lvlJc w:val="left"/>
      <w:pPr>
        <w:ind w:left="5760" w:hanging="360"/>
      </w:pPr>
    </w:lvl>
    <w:lvl w:ilvl="8" w:tplc="359C1AA6">
      <w:start w:val="1"/>
      <w:numFmt w:val="bullet"/>
      <w:lvlText w:val="●"/>
      <w:lvlJc w:val="left"/>
      <w:pPr>
        <w:ind w:left="6480" w:hanging="360"/>
      </w:pPr>
    </w:lvl>
  </w:abstractNum>
  <w:abstractNum w:abstractNumId="1" w15:restartNumberingAfterBreak="0">
    <w:nsid w:val="31511D02"/>
    <w:multiLevelType w:val="hybridMultilevel"/>
    <w:tmpl w:val="1114779A"/>
    <w:lvl w:ilvl="0" w:tplc="ADC0304A">
      <w:start w:val="1"/>
      <w:numFmt w:val="decimal"/>
      <w:lvlText w:val="%1."/>
      <w:lvlJc w:val="left"/>
      <w:pPr>
        <w:ind w:left="720" w:hanging="360"/>
      </w:pPr>
    </w:lvl>
    <w:lvl w:ilvl="1" w:tplc="E2FA23AA">
      <w:numFmt w:val="decimal"/>
      <w:lvlText w:val=""/>
      <w:lvlJc w:val="left"/>
    </w:lvl>
    <w:lvl w:ilvl="2" w:tplc="BE069DF0">
      <w:numFmt w:val="decimal"/>
      <w:lvlText w:val=""/>
      <w:lvlJc w:val="left"/>
    </w:lvl>
    <w:lvl w:ilvl="3" w:tplc="68422036">
      <w:numFmt w:val="decimal"/>
      <w:lvlText w:val=""/>
      <w:lvlJc w:val="left"/>
    </w:lvl>
    <w:lvl w:ilvl="4" w:tplc="00D41EF6">
      <w:numFmt w:val="decimal"/>
      <w:lvlText w:val=""/>
      <w:lvlJc w:val="left"/>
    </w:lvl>
    <w:lvl w:ilvl="5" w:tplc="0E563B00">
      <w:numFmt w:val="decimal"/>
      <w:lvlText w:val=""/>
      <w:lvlJc w:val="left"/>
    </w:lvl>
    <w:lvl w:ilvl="6" w:tplc="B9347C0A">
      <w:numFmt w:val="decimal"/>
      <w:lvlText w:val=""/>
      <w:lvlJc w:val="left"/>
    </w:lvl>
    <w:lvl w:ilvl="7" w:tplc="03FE601C">
      <w:numFmt w:val="decimal"/>
      <w:lvlText w:val=""/>
      <w:lvlJc w:val="left"/>
    </w:lvl>
    <w:lvl w:ilvl="8" w:tplc="95C09194">
      <w:numFmt w:val="decimal"/>
      <w:lvlText w:val=""/>
      <w:lvlJc w:val="left"/>
    </w:lvl>
  </w:abstractNum>
  <w:abstractNum w:abstractNumId="2" w15:restartNumberingAfterBreak="0">
    <w:nsid w:val="553E720A"/>
    <w:multiLevelType w:val="hybridMultilevel"/>
    <w:tmpl w:val="9296FDCC"/>
    <w:lvl w:ilvl="0" w:tplc="3EBE5524">
      <w:start w:val="1"/>
      <w:numFmt w:val="bullet"/>
      <w:lvlText w:val="•"/>
      <w:lvlJc w:val="left"/>
      <w:pPr>
        <w:ind w:left="720" w:hanging="360"/>
      </w:pPr>
    </w:lvl>
    <w:lvl w:ilvl="1" w:tplc="99DE74B8">
      <w:numFmt w:val="decimal"/>
      <w:lvlText w:val=""/>
      <w:lvlJc w:val="left"/>
    </w:lvl>
    <w:lvl w:ilvl="2" w:tplc="21704240">
      <w:numFmt w:val="decimal"/>
      <w:lvlText w:val=""/>
      <w:lvlJc w:val="left"/>
    </w:lvl>
    <w:lvl w:ilvl="3" w:tplc="0F7C5070">
      <w:numFmt w:val="decimal"/>
      <w:lvlText w:val=""/>
      <w:lvlJc w:val="left"/>
    </w:lvl>
    <w:lvl w:ilvl="4" w:tplc="4562232C">
      <w:numFmt w:val="decimal"/>
      <w:lvlText w:val=""/>
      <w:lvlJc w:val="left"/>
    </w:lvl>
    <w:lvl w:ilvl="5" w:tplc="BD40E832">
      <w:numFmt w:val="decimal"/>
      <w:lvlText w:val=""/>
      <w:lvlJc w:val="left"/>
    </w:lvl>
    <w:lvl w:ilvl="6" w:tplc="48B6EC48">
      <w:numFmt w:val="decimal"/>
      <w:lvlText w:val=""/>
      <w:lvlJc w:val="left"/>
    </w:lvl>
    <w:lvl w:ilvl="7" w:tplc="092C2A3E">
      <w:numFmt w:val="decimal"/>
      <w:lvlText w:val=""/>
      <w:lvlJc w:val="left"/>
    </w:lvl>
    <w:lvl w:ilvl="8" w:tplc="D924F6E6">
      <w:numFmt w:val="decimal"/>
      <w:lvlText w:val=""/>
      <w:lvlJc w:val="left"/>
    </w:lvl>
  </w:abstractNum>
  <w:num w:numId="1" w16cid:durableId="1073770337">
    <w:abstractNumId w:val="0"/>
    <w:lvlOverride w:ilvl="0">
      <w:startOverride w:val="1"/>
    </w:lvlOverride>
  </w:num>
  <w:num w:numId="2" w16cid:durableId="1857231102">
    <w:abstractNumId w:val="2"/>
    <w:lvlOverride w:ilvl="0">
      <w:startOverride w:val="1"/>
    </w:lvlOverride>
  </w:num>
  <w:num w:numId="3" w16cid:durableId="1366442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976"/>
    <w:rsid w:val="00012E33"/>
    <w:rsid w:val="000C4524"/>
    <w:rsid w:val="001940DB"/>
    <w:rsid w:val="001E2522"/>
    <w:rsid w:val="00285976"/>
    <w:rsid w:val="002C1A13"/>
    <w:rsid w:val="002F0920"/>
    <w:rsid w:val="004244CD"/>
    <w:rsid w:val="00444A03"/>
    <w:rsid w:val="00477854"/>
    <w:rsid w:val="00496700"/>
    <w:rsid w:val="00571765"/>
    <w:rsid w:val="00577472"/>
    <w:rsid w:val="00582C69"/>
    <w:rsid w:val="006862B6"/>
    <w:rsid w:val="007717C9"/>
    <w:rsid w:val="00775A3F"/>
    <w:rsid w:val="008034EB"/>
    <w:rsid w:val="008B1BC6"/>
    <w:rsid w:val="0090203C"/>
    <w:rsid w:val="009906DE"/>
    <w:rsid w:val="00A51EC1"/>
    <w:rsid w:val="00BA5987"/>
    <w:rsid w:val="00C93BA8"/>
    <w:rsid w:val="00CB3BEA"/>
    <w:rsid w:val="00CF0314"/>
    <w:rsid w:val="00E22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084F1"/>
  <w15:docId w15:val="{26F12D94-9846-4E1C-BD5D-45A5ABBB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4C8A"/>
      <w:sz w:val="28"/>
      <w:szCs w:val="28"/>
    </w:rPr>
  </w:style>
  <w:style w:type="paragraph" w:styleId="Heading2">
    <w:name w:val="heading 2"/>
    <w:uiPriority w:val="9"/>
    <w:unhideWhenUsed/>
    <w:qFormat/>
    <w:pPr>
      <w:spacing w:before="220" w:after="70"/>
      <w:outlineLvl w:val="1"/>
    </w:pPr>
    <w:rPr>
      <w:b/>
      <w:bCs/>
      <w:color w:val="1A6DD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44CD"/>
    <w:pPr>
      <w:tabs>
        <w:tab w:val="center" w:pos="4680"/>
        <w:tab w:val="right" w:pos="9360"/>
      </w:tabs>
    </w:pPr>
  </w:style>
  <w:style w:type="character" w:customStyle="1" w:styleId="HeaderChar">
    <w:name w:val="Header Char"/>
    <w:basedOn w:val="DefaultParagraphFont"/>
    <w:link w:val="Header"/>
    <w:uiPriority w:val="99"/>
    <w:rsid w:val="004244CD"/>
  </w:style>
  <w:style w:type="paragraph" w:styleId="Footer">
    <w:name w:val="footer"/>
    <w:basedOn w:val="Normal"/>
    <w:link w:val="FooterChar"/>
    <w:uiPriority w:val="99"/>
    <w:unhideWhenUsed/>
    <w:rsid w:val="004244CD"/>
    <w:pPr>
      <w:tabs>
        <w:tab w:val="center" w:pos="4680"/>
        <w:tab w:val="right" w:pos="9360"/>
      </w:tabs>
    </w:pPr>
  </w:style>
  <w:style w:type="character" w:customStyle="1" w:styleId="FooterChar">
    <w:name w:val="Footer Char"/>
    <w:basedOn w:val="DefaultParagraphFont"/>
    <w:link w:val="Footer"/>
    <w:uiPriority w:val="99"/>
    <w:rsid w:val="00424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Bilal  Yousuf</cp:lastModifiedBy>
  <cp:revision>14</cp:revision>
  <cp:lastPrinted>2026-04-21T13:59:00Z</cp:lastPrinted>
  <dcterms:created xsi:type="dcterms:W3CDTF">2026-04-19T11:56:00Z</dcterms:created>
  <dcterms:modified xsi:type="dcterms:W3CDTF">2026-04-23T17:05:00Z</dcterms:modified>
</cp:coreProperties>
</file>