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42fa0e39-2c28-4104-a7ea-ac5f28195f3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42fa0e39-2c28-4104-a7ea-ac5f28195f3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GLP-1 Weight Loss Medication: Insurance Requirements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GLP-1 receptor agonists, such as semaglutide/trizepitide, have gained popularity as an effective option for weight loss management. However, obtaining coverage through private insurance requires meeting specific criteria. Below is a comprehensive guide to understanding these requirements.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General Insurance Prior Authorization Requirements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  <w:u w:val="single" w:color="000000"/>
        </w:rPr>
        <w:t>While specific requirements may vary by insurance provider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common criteria include: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BMI Requirements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Typically, a Body Mass Index (BMI) of 30 or higher is needed. (Depending on the plan)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Alternatively, a BMI of 27 or higher with at least one weight-related comorbidity, such as hypertension, type 2 diabetes, or dyslipidemia, may be required.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Documentation of Previous Weight Loss Efforts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Evidence of previous attempts at weight loss, such as diet and exercise programs, is often necessary.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Regular Follow-Up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Continuous monitoring and follow-up appointments with a healthcare provider may be required to ensure the medication's effectiveness and safety.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Steps to Obtain Coverage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Consult with Your Healthcare Provider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8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Discuss your interest in GLP-1 medications for weight loss and determine if you meet the necessary health criteria.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Gather Documentation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Collect your medical records, including past weight loss attempts and any related health conditions.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Submit a Pre-authorization Request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Work with your healthcare provider to submit the necessary forms and documentation to your insurance company.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Important Considerations for Prior Authorization (PA) and Coverage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When seeking coverage for GLP-1 weight loss medications, there are several essential points to keep in mind, particularly if your initial prior authorization request is denied: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Self-Pay or Manufacturer Saver Program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If the PA is denied, the patient will be responsible for the cost of the medication unless they qualify for a manufacturer saver program that may offset expenses.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No Appeals Process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It is important to note that no appeals will be processed if a PA is denied. Once denied, the decision is final.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Switching Brands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8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Changing to a different GLP-1 brand and completing a new PA does not guarantee approval. Each brand and PA request is assessed independently.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PA Processing and Prioritization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Due to the high volume of PA requests, certain protocols and timelines are in place: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Diabetic Patient Priority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PA requests for diabetic patients managing DMII are prioritized and will be completed first.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1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Processing Timeframe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The typical timeframe for processing PAs is between 1 to 3 weeks. This can vary depending on the volume of requests and available resources.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Staffing and Workload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1 to 2 nurses are dedicated to completing PAs, balancing this task with clinic duties, provider assistance, and patient calls.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Communication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6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Patients are advised not to frequently contact the office regarding PA status, as this can delay processing times for everyone involved.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By understanding these considerations, patients can better navigate the process of obtaining insurance coverage for GLP-1 medications, while respecting the operational procedures of the healthcare provider's office.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  <w:font w:name="Bricolage Grotesque Medium">
    <w:panose1 w:val="020B0605040402000204"/>
    <w:charset w:characterSet="1"/>
    <w:embedBold r:id="rId7"/>
  </w:font>
  <w:font w:name="Bricolage Grotesque Semi-Bold">
    <w:panose1 w:val="020B0605040402000204"/>
    <w:charset w:characterSet="1"/>
    <w:embedBold r:id="rId8"/>
  </w:font>
  <w:font w:name="Bricolage Grotesque Light">
    <w:panose1 w:val="020B0605040402000204"/>
    <w:charset w:characterSet="1"/>
    <w:embedRegular r:id="rId9"/>
  </w:font>
  <w:font w:name="Bricolage Grotesque Extra-Light">
    <w:panose1 w:val="020B0605040402000204"/>
    <w:charset w:characterSet="1"/>
    <w:embedRegular r:id="rId10"/>
  </w:font>
  <w:font w:name="Bricolage Grotesque Bold">
    <w:panose1 w:val="020B0605040402000204"/>
    <w:charset w:characterSet="1"/>
    <w:embedBold r:id="rId11"/>
  </w:font>
  <w:font w:name="Bricolage Grotesque">
    <w:panose1 w:val="020B0605040402000204"/>
    <w:charset w:characterSet="1"/>
    <w:embedRegular r:id="rId12"/>
  </w:font>
  <w:font w:name="Bricolage Grotesque Ultra-Bold">
    <w:panose1 w:val="020B0605040402000204"/>
    <w:charset w:characterSet="1"/>
    <w:embedBold r:id="rId13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2026-06-25T14:20:57Z</dcterms:created>
  <dc:creator>Apache POI</dc:creator>
  <dc:title>GLP-1 Weight Loss Medication: Insurance Requirements</dc:title>
</cp:coreProperties>
</file>