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46EA" w14:textId="3CFCE44F" w:rsidR="0036428B" w:rsidRDefault="0036428B" w:rsidP="00C157D8">
      <w:pPr>
        <w:spacing w:before="120" w:after="120"/>
      </w:pPr>
    </w:p>
    <w:p w14:paraId="428D35C8" w14:textId="77777777" w:rsidR="0036428B" w:rsidRPr="00C157D8" w:rsidRDefault="009C41E0">
      <w:pPr>
        <w:spacing w:before="120" w:after="120" w:line="336" w:lineRule="auto"/>
        <w:rPr>
          <w:b/>
          <w:bCs/>
        </w:rPr>
      </w:pPr>
      <w:r w:rsidRPr="00C157D8">
        <w:rPr>
          <w:rFonts w:ascii="DM Sans" w:eastAsia="DM Sans" w:hAnsi="DM Sans" w:cs="DM Sans"/>
          <w:b/>
          <w:bCs/>
          <w:color w:val="000000"/>
          <w:spacing w:val="-31"/>
          <w:sz w:val="46"/>
          <w:szCs w:val="46"/>
          <w:u w:val="single" w:color="000000"/>
        </w:rPr>
        <w:t>Medicare GLP-1 Bridge</w:t>
      </w:r>
      <w:r w:rsidRPr="00C157D8">
        <w:rPr>
          <w:rFonts w:ascii="DM Sans" w:eastAsia="DM Sans" w:hAnsi="DM Sans" w:cs="DM Sans"/>
          <w:b/>
          <w:bCs/>
          <w:color w:val="000000"/>
          <w:sz w:val="23"/>
          <w:szCs w:val="23"/>
        </w:rPr>
        <w:t xml:space="preserve"> </w:t>
      </w:r>
    </w:p>
    <w:p w14:paraId="3E550B08" w14:textId="2A3C1EEA" w:rsidR="0036428B" w:rsidRDefault="009C41E0">
      <w:pPr>
        <w:spacing w:before="120" w:after="120" w:line="336" w:lineRule="auto"/>
      </w:pPr>
      <w:r>
        <w:rPr>
          <w:rFonts w:ascii="DM Sans" w:eastAsia="DM Sans" w:hAnsi="DM Sans" w:cs="DM Sans"/>
          <w:color w:val="262626"/>
          <w:sz w:val="23"/>
          <w:szCs w:val="23"/>
        </w:rPr>
        <w:t xml:space="preserve">Starting July 1, </w:t>
      </w:r>
      <w:r w:rsidR="00B76BE9">
        <w:rPr>
          <w:rFonts w:ascii="DM Sans" w:eastAsia="DM Sans" w:hAnsi="DM Sans" w:cs="DM Sans"/>
          <w:color w:val="262626"/>
          <w:sz w:val="23"/>
          <w:szCs w:val="23"/>
        </w:rPr>
        <w:t>2026,</w:t>
      </w:r>
      <w:r>
        <w:rPr>
          <w:rFonts w:ascii="DM Sans" w:eastAsia="DM Sans" w:hAnsi="DM Sans" w:cs="DM Sans"/>
          <w:color w:val="262626"/>
          <w:sz w:val="23"/>
          <w:szCs w:val="23"/>
        </w:rPr>
        <w:t xml:space="preserve"> to December 31, 2027, Medicare will begin a short-term demonstration, called the Medicare GLP-1 Bridge, that will provide </w:t>
      </w:r>
      <w:r>
        <w:rPr>
          <w:rFonts w:ascii="DM Sans Bold" w:eastAsia="DM Sans Bold" w:hAnsi="DM Sans Bold" w:cs="DM Sans Bold"/>
          <w:b/>
          <w:bCs/>
          <w:color w:val="262626"/>
          <w:sz w:val="23"/>
          <w:szCs w:val="23"/>
        </w:rPr>
        <w:t>eligible Medicare Part D beneficiaries</w:t>
      </w:r>
      <w:r>
        <w:rPr>
          <w:rFonts w:ascii="DM Sans" w:eastAsia="DM Sans" w:hAnsi="DM Sans" w:cs="DM Sans"/>
          <w:color w:val="262626"/>
          <w:sz w:val="23"/>
          <w:szCs w:val="23"/>
        </w:rPr>
        <w:t xml:space="preserve"> with access to certain GLP-1 drugs. (</w:t>
      </w:r>
      <w:proofErr w:type="spellStart"/>
      <w:r>
        <w:rPr>
          <w:rFonts w:ascii="DM Sans" w:eastAsia="DM Sans" w:hAnsi="DM Sans" w:cs="DM Sans"/>
          <w:color w:val="262626"/>
          <w:sz w:val="23"/>
          <w:szCs w:val="23"/>
        </w:rPr>
        <w:t>Wegovy</w:t>
      </w:r>
      <w:proofErr w:type="spellEnd"/>
      <w:r>
        <w:rPr>
          <w:rFonts w:ascii="DM Sans" w:eastAsia="DM Sans" w:hAnsi="DM Sans" w:cs="DM Sans"/>
          <w:color w:val="262626"/>
          <w:sz w:val="23"/>
          <w:szCs w:val="23"/>
        </w:rPr>
        <w:t xml:space="preserve"> Injection and tablets, </w:t>
      </w:r>
      <w:proofErr w:type="spellStart"/>
      <w:r>
        <w:rPr>
          <w:rFonts w:ascii="DM Sans" w:eastAsia="DM Sans" w:hAnsi="DM Sans" w:cs="DM Sans"/>
          <w:color w:val="262626"/>
          <w:sz w:val="23"/>
          <w:szCs w:val="23"/>
        </w:rPr>
        <w:t>Zepbound</w:t>
      </w:r>
      <w:proofErr w:type="spellEnd"/>
      <w:r>
        <w:rPr>
          <w:rFonts w:ascii="DM Sans" w:eastAsia="DM Sans" w:hAnsi="DM Sans" w:cs="DM Sans"/>
          <w:color w:val="262626"/>
          <w:sz w:val="23"/>
          <w:szCs w:val="23"/>
        </w:rPr>
        <w:t xml:space="preserve">, and </w:t>
      </w:r>
      <w:proofErr w:type="spellStart"/>
      <w:r>
        <w:rPr>
          <w:rFonts w:ascii="DM Sans" w:eastAsia="DM Sans" w:hAnsi="DM Sans" w:cs="DM Sans"/>
          <w:color w:val="262626"/>
          <w:sz w:val="23"/>
          <w:szCs w:val="23"/>
        </w:rPr>
        <w:t>Foundayo</w:t>
      </w:r>
      <w:proofErr w:type="spellEnd"/>
      <w:r>
        <w:rPr>
          <w:rFonts w:ascii="DM Sans" w:eastAsia="DM Sans" w:hAnsi="DM Sans" w:cs="DM Sans"/>
          <w:color w:val="262626"/>
          <w:sz w:val="23"/>
          <w:szCs w:val="23"/>
        </w:rPr>
        <w:t>)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5F95066C" w14:textId="77777777" w:rsidR="0036428B" w:rsidRDefault="009C41E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7324593D" w14:textId="77777777" w:rsidR="0036428B" w:rsidRDefault="009C41E0">
      <w:pPr>
        <w:spacing w:before="120" w:after="120" w:line="336" w:lineRule="auto"/>
      </w:pPr>
      <w:r>
        <w:rPr>
          <w:rFonts w:ascii="DM Sans Bold" w:eastAsia="DM Sans Bold" w:hAnsi="DM Sans Bold" w:cs="DM Sans Bold"/>
          <w:b/>
          <w:bCs/>
          <w:color w:val="000000"/>
          <w:spacing w:val="-31"/>
          <w:sz w:val="46"/>
          <w:szCs w:val="46"/>
          <w:u w:val="single" w:color="000000"/>
        </w:rPr>
        <w:t xml:space="preserve">Clinical Criteria </w:t>
      </w:r>
    </w:p>
    <w:p w14:paraId="54806A9A" w14:textId="77777777" w:rsidR="0036428B" w:rsidRDefault="009C41E0">
      <w:pPr>
        <w:spacing w:before="120" w:after="120" w:line="422" w:lineRule="auto"/>
      </w:pPr>
      <w:r>
        <w:rPr>
          <w:rFonts w:ascii="DM Sans Bold" w:eastAsia="DM Sans Bold" w:hAnsi="DM Sans Bold" w:cs="DM Sans Bold"/>
          <w:b/>
          <w:bCs/>
          <w:color w:val="000000"/>
          <w:sz w:val="23"/>
          <w:szCs w:val="23"/>
          <w:u w:val="single" w:color="000000"/>
        </w:rPr>
        <w:t>Lifestyle modification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5D867015" w14:textId="06FA72B9" w:rsidR="0036428B" w:rsidRDefault="009C41E0" w:rsidP="00C157D8">
      <w:pPr>
        <w:pStyle w:val="ListParagraph"/>
        <w:numPr>
          <w:ilvl w:val="0"/>
          <w:numId w:val="5"/>
        </w:numPr>
        <w:spacing w:before="120" w:after="120" w:line="422" w:lineRule="auto"/>
      </w:pPr>
      <w:r w:rsidRPr="00C157D8">
        <w:rPr>
          <w:rFonts w:ascii="DM Sans" w:eastAsia="DM Sans" w:hAnsi="DM Sans" w:cs="DM Sans"/>
          <w:color w:val="000000"/>
          <w:sz w:val="23"/>
          <w:szCs w:val="23"/>
        </w:rPr>
        <w:t xml:space="preserve">At least 18 years of age </w:t>
      </w:r>
    </w:p>
    <w:p w14:paraId="0986C32D" w14:textId="77777777" w:rsidR="0036428B" w:rsidRDefault="009C41E0" w:rsidP="00C157D8">
      <w:pPr>
        <w:pStyle w:val="ListParagraph"/>
        <w:numPr>
          <w:ilvl w:val="0"/>
          <w:numId w:val="5"/>
        </w:numPr>
        <w:spacing w:before="120" w:after="120" w:line="422" w:lineRule="auto"/>
      </w:pPr>
      <w:r w:rsidRPr="00C157D8">
        <w:rPr>
          <w:rFonts w:ascii="DM Sans" w:eastAsia="DM Sans" w:hAnsi="DM Sans" w:cs="DM Sans"/>
          <w:color w:val="000000"/>
          <w:sz w:val="23"/>
          <w:szCs w:val="23"/>
        </w:rPr>
        <w:t>BMI greater than or equal to thirty-five (</w:t>
      </w:r>
      <w:r w:rsidRPr="00C157D8">
        <w:rPr>
          <w:rFonts w:ascii="Cambria Math" w:eastAsia="DM Sans" w:hAnsi="Cambria Math" w:cs="Cambria Math"/>
          <w:color w:val="000000"/>
          <w:sz w:val="23"/>
          <w:szCs w:val="23"/>
        </w:rPr>
        <w:t>≥</w:t>
      </w:r>
      <w:r w:rsidRPr="00C157D8">
        <w:rPr>
          <w:rFonts w:ascii="DM Sans" w:eastAsia="DM Sans" w:hAnsi="DM Sans" w:cs="DM Sans"/>
          <w:color w:val="000000"/>
          <w:sz w:val="23"/>
          <w:szCs w:val="23"/>
        </w:rPr>
        <w:t xml:space="preserve">35) at the time of initiation of GLP-1 therapy </w:t>
      </w:r>
    </w:p>
    <w:p w14:paraId="11FA5E42" w14:textId="77777777" w:rsidR="0036428B" w:rsidRDefault="009C41E0" w:rsidP="00C157D8">
      <w:pPr>
        <w:pStyle w:val="ListParagraph"/>
        <w:numPr>
          <w:ilvl w:val="0"/>
          <w:numId w:val="5"/>
        </w:numPr>
        <w:spacing w:before="120" w:after="120" w:line="422" w:lineRule="auto"/>
      </w:pPr>
      <w:r w:rsidRPr="00C157D8">
        <w:rPr>
          <w:rFonts w:ascii="DM Sans" w:eastAsia="DM Sans" w:hAnsi="DM Sans" w:cs="DM Sans"/>
          <w:color w:val="000000"/>
          <w:sz w:val="23"/>
          <w:szCs w:val="23"/>
        </w:rPr>
        <w:t>BMI greater than or equal to thirty (</w:t>
      </w:r>
      <w:r w:rsidRPr="00C157D8">
        <w:rPr>
          <w:rFonts w:ascii="Cambria Math" w:eastAsia="DM Sans" w:hAnsi="Cambria Math" w:cs="Cambria Math"/>
          <w:color w:val="000000"/>
          <w:sz w:val="23"/>
          <w:szCs w:val="23"/>
        </w:rPr>
        <w:t>≥</w:t>
      </w:r>
      <w:r w:rsidRPr="00C157D8">
        <w:rPr>
          <w:rFonts w:ascii="DM Sans" w:eastAsia="DM Sans" w:hAnsi="DM Sans" w:cs="DM Sans"/>
          <w:color w:val="000000"/>
          <w:sz w:val="23"/>
          <w:szCs w:val="23"/>
        </w:rPr>
        <w:t xml:space="preserve">30) at the time of initiating GLP-1 therapy with </w:t>
      </w:r>
      <w:r w:rsidRPr="00C157D8">
        <w:rPr>
          <w:rFonts w:ascii="DM Sans Bold" w:eastAsia="DM Sans Bold" w:hAnsi="DM Sans Bold" w:cs="DM Sans Bold"/>
          <w:b/>
          <w:bCs/>
          <w:color w:val="000000"/>
          <w:sz w:val="23"/>
          <w:szCs w:val="23"/>
          <w:u w:val="single" w:color="000000"/>
        </w:rPr>
        <w:t>one or more of the following</w:t>
      </w:r>
      <w:r w:rsidRPr="00C157D8">
        <w:rPr>
          <w:rFonts w:ascii="DM Sans" w:eastAsia="DM Sans" w:hAnsi="DM Sans" w:cs="DM Sans"/>
          <w:color w:val="000000"/>
          <w:sz w:val="23"/>
          <w:szCs w:val="23"/>
        </w:rPr>
        <w:t xml:space="preserve">: </w:t>
      </w:r>
    </w:p>
    <w:p w14:paraId="4CFEB356" w14:textId="77777777" w:rsidR="0036428B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Heart failure with preserved ejection fraction </w:t>
      </w:r>
    </w:p>
    <w:p w14:paraId="6232CE45" w14:textId="77777777" w:rsidR="0036428B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Uncontrolled hypertension (defined as systolic blood pressure above 140 mm Hg or diastolic blood pressure above 90 mm Hg, despite concurrent treatment with </w:t>
      </w:r>
      <w:r>
        <w:rPr>
          <w:rFonts w:ascii="DM Sans" w:eastAsia="DM Sans" w:hAnsi="DM Sans" w:cs="DM Sans"/>
          <w:color w:val="000000"/>
          <w:sz w:val="23"/>
          <w:szCs w:val="23"/>
          <w:u w:val="single" w:color="000000"/>
        </w:rPr>
        <w:t>two antihypertensive medications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) </w:t>
      </w:r>
    </w:p>
    <w:p w14:paraId="2DD45C3E" w14:textId="40E1B073" w:rsidR="00C5157B" w:rsidRDefault="009C41E0" w:rsidP="00C5157B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Chronic kidney disease stage 3a or above </w:t>
      </w:r>
    </w:p>
    <w:p w14:paraId="3487437E" w14:textId="461CDCE0" w:rsidR="0036428B" w:rsidRDefault="009C41E0" w:rsidP="00C5157B">
      <w:pPr>
        <w:pStyle w:val="ListParagraph"/>
        <w:numPr>
          <w:ilvl w:val="0"/>
          <w:numId w:val="7"/>
        </w:numPr>
        <w:spacing w:after="0" w:line="422" w:lineRule="auto"/>
      </w:pPr>
      <w:r w:rsidRPr="00C5157B">
        <w:rPr>
          <w:rFonts w:ascii="DM Sans" w:eastAsia="DM Sans" w:hAnsi="DM Sans" w:cs="DM Sans"/>
          <w:color w:val="000000"/>
          <w:sz w:val="23"/>
          <w:szCs w:val="23"/>
        </w:rPr>
        <w:t xml:space="preserve">BMI greater than or equal to twenty-seven (≥27) at the time of initiating GLP-1 therapy with </w:t>
      </w:r>
      <w:r w:rsidRPr="00C5157B">
        <w:rPr>
          <w:rFonts w:ascii="DM Sans Bold" w:eastAsia="DM Sans Bold" w:hAnsi="DM Sans Bold" w:cs="DM Sans Bold"/>
          <w:b/>
          <w:bCs/>
          <w:color w:val="000000"/>
          <w:sz w:val="23"/>
          <w:szCs w:val="23"/>
          <w:u w:val="single" w:color="000000"/>
        </w:rPr>
        <w:t>one or more of the following</w:t>
      </w:r>
      <w:r w:rsidRPr="00C5157B">
        <w:rPr>
          <w:rFonts w:ascii="DM Sans" w:eastAsia="DM Sans" w:hAnsi="DM Sans" w:cs="DM Sans"/>
          <w:color w:val="000000"/>
          <w:sz w:val="23"/>
          <w:szCs w:val="23"/>
        </w:rPr>
        <w:t xml:space="preserve">: </w:t>
      </w:r>
    </w:p>
    <w:p w14:paraId="44351396" w14:textId="77777777" w:rsidR="0036428B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Pre-diabetes (as defined by American Diabetes Association guidelines) </w:t>
      </w:r>
    </w:p>
    <w:p w14:paraId="433D4107" w14:textId="401E2DAE" w:rsidR="0036428B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Previous myocardial infarction </w:t>
      </w:r>
    </w:p>
    <w:p w14:paraId="1FF473B9" w14:textId="77777777" w:rsidR="0036428B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Previous stroke </w:t>
      </w:r>
    </w:p>
    <w:p w14:paraId="0008534F" w14:textId="77777777" w:rsidR="0036428B" w:rsidRPr="00C157D8" w:rsidRDefault="009C41E0">
      <w:pPr>
        <w:numPr>
          <w:ilvl w:val="1"/>
          <w:numId w:val="2"/>
        </w:numPr>
        <w:spacing w:after="0" w:line="422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Symptomatic peripheral artery disease </w:t>
      </w:r>
    </w:p>
    <w:p w14:paraId="23B28C9B" w14:textId="77777777" w:rsidR="00C157D8" w:rsidRDefault="00C157D8" w:rsidP="00C157D8">
      <w:pPr>
        <w:spacing w:after="0" w:line="422" w:lineRule="auto"/>
        <w:ind w:left="800"/>
      </w:pPr>
    </w:p>
    <w:p w14:paraId="5A709BAB" w14:textId="77777777" w:rsidR="0036428B" w:rsidRDefault="009C41E0">
      <w:pPr>
        <w:spacing w:before="120" w:after="120" w:line="422" w:lineRule="auto"/>
      </w:pPr>
      <w:r>
        <w:rPr>
          <w:rFonts w:ascii="DM Sans" w:eastAsia="DM Sans" w:hAnsi="DM Sans" w:cs="DM Sans"/>
          <w:color w:val="262626"/>
          <w:sz w:val="23"/>
          <w:szCs w:val="23"/>
        </w:rPr>
        <w:t>The Medicare GLP-1 Bridge helps beneficiaries get GLP-1s when they are used only for weight loss or weight maintenance.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2D10E224" w14:textId="77777777" w:rsidR="0036428B" w:rsidRDefault="009C41E0">
      <w:pPr>
        <w:numPr>
          <w:ilvl w:val="0"/>
          <w:numId w:val="3"/>
        </w:numPr>
        <w:spacing w:after="0" w:line="422" w:lineRule="auto"/>
      </w:pPr>
      <w:r>
        <w:rPr>
          <w:rFonts w:ascii="DM Sans" w:eastAsia="DM Sans" w:hAnsi="DM Sans" w:cs="DM Sans"/>
          <w:color w:val="262626"/>
          <w:sz w:val="23"/>
          <w:szCs w:val="23"/>
        </w:rPr>
        <w:t xml:space="preserve">If a beneficiary has </w:t>
      </w:r>
      <w:r>
        <w:rPr>
          <w:rFonts w:ascii="DM Sans Bold" w:eastAsia="DM Sans Bold" w:hAnsi="DM Sans Bold" w:cs="DM Sans Bold"/>
          <w:b/>
          <w:bCs/>
          <w:color w:val="262626"/>
          <w:sz w:val="23"/>
          <w:szCs w:val="23"/>
          <w:u w:val="single" w:color="262626"/>
        </w:rPr>
        <w:t>type 2 diabetes, obstructive sleep apnea, or noncirrhotic metabolic dysfunction-associated steatohepatitis (MASH),</w:t>
      </w:r>
      <w:r>
        <w:rPr>
          <w:rFonts w:ascii="DM Sans" w:eastAsia="DM Sans" w:hAnsi="DM Sans" w:cs="DM Sans"/>
          <w:color w:val="262626"/>
          <w:sz w:val="23"/>
          <w:szCs w:val="23"/>
          <w:u w:val="single" w:color="262626"/>
        </w:rPr>
        <w:t xml:space="preserve"> </w:t>
      </w:r>
      <w:r>
        <w:rPr>
          <w:rFonts w:ascii="DM Sans" w:eastAsia="DM Sans" w:hAnsi="DM Sans" w:cs="DM Sans"/>
          <w:color w:val="262626"/>
          <w:sz w:val="23"/>
          <w:szCs w:val="23"/>
        </w:rPr>
        <w:t>they should get the GLP-1 through their Part D plan, not through the Medicare GLP-1 Bridge.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7BC03938" w14:textId="77777777" w:rsidR="0036428B" w:rsidRDefault="009C41E0">
      <w:pPr>
        <w:numPr>
          <w:ilvl w:val="0"/>
          <w:numId w:val="3"/>
        </w:numPr>
        <w:spacing w:after="0" w:line="422" w:lineRule="auto"/>
      </w:pPr>
      <w:r>
        <w:rPr>
          <w:rFonts w:ascii="DM Sans" w:eastAsia="DM Sans" w:hAnsi="DM Sans" w:cs="DM Sans"/>
          <w:color w:val="262626"/>
          <w:sz w:val="23"/>
          <w:szCs w:val="23"/>
        </w:rPr>
        <w:t>The Medicare GLP-1 Bridge only covers GLP-1s for weight management, with a $50 co-pay.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186017C0" w14:textId="77777777" w:rsidR="0036428B" w:rsidRPr="00C157D8" w:rsidRDefault="009C41E0">
      <w:pPr>
        <w:numPr>
          <w:ilvl w:val="0"/>
          <w:numId w:val="3"/>
        </w:numPr>
        <w:spacing w:after="0" w:line="422" w:lineRule="auto"/>
      </w:pPr>
      <w:r>
        <w:rPr>
          <w:rFonts w:ascii="DM Sans" w:eastAsia="DM Sans" w:hAnsi="DM Sans" w:cs="DM Sans"/>
          <w:color w:val="262626"/>
          <w:sz w:val="23"/>
          <w:szCs w:val="23"/>
        </w:rPr>
        <w:t xml:space="preserve">If the GLP-1 is prescribed for a Part D-covered use, the beneficiary should continue using their Part D plan, regardless if it is </w:t>
      </w:r>
      <w:r w:rsidRPr="00C5157B">
        <w:rPr>
          <w:rFonts w:ascii="DM Sans" w:eastAsia="DM Sans" w:hAnsi="DM Sans" w:cs="DM Sans"/>
          <w:b/>
          <w:bCs/>
          <w:color w:val="262626"/>
          <w:sz w:val="23"/>
          <w:szCs w:val="23"/>
          <w:u w:val="single"/>
        </w:rPr>
        <w:t>approved or denied</w:t>
      </w:r>
      <w:r>
        <w:rPr>
          <w:rFonts w:ascii="DM Sans" w:eastAsia="DM Sans" w:hAnsi="DM Sans" w:cs="DM Sans"/>
          <w:color w:val="262626"/>
          <w:sz w:val="23"/>
          <w:szCs w:val="23"/>
        </w:rPr>
        <w:t>.</w:t>
      </w: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p w14:paraId="1B7B9877" w14:textId="77777777" w:rsidR="00C157D8" w:rsidRDefault="00C157D8" w:rsidP="00C157D8">
      <w:pPr>
        <w:spacing w:after="0" w:line="422" w:lineRule="auto"/>
        <w:ind w:left="400"/>
      </w:pPr>
    </w:p>
    <w:p w14:paraId="397BE4B6" w14:textId="77777777" w:rsidR="0036428B" w:rsidRDefault="009C41E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pacing w:val="-31"/>
          <w:sz w:val="46"/>
          <w:szCs w:val="46"/>
          <w:u w:val="single" w:color="000000"/>
        </w:rPr>
        <w:t xml:space="preserve">Prior Authorizations </w:t>
      </w:r>
    </w:p>
    <w:p w14:paraId="6101EA4A" w14:textId="77777777" w:rsidR="0036428B" w:rsidRDefault="009C41E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— Due to the high volume of prior authorizations for GLP-1s, diabetic patients take priority and their PA requests will be completed first. </w:t>
      </w:r>
    </w:p>
    <w:p w14:paraId="2748FD3B" w14:textId="4E6281AA" w:rsidR="0036428B" w:rsidRDefault="009C41E0">
      <w:pPr>
        <w:spacing w:before="120" w:after="120" w:line="336" w:lineRule="auto"/>
      </w:pPr>
      <w:r>
        <w:rPr>
          <w:rFonts w:ascii="DM Sans" w:eastAsia="DM Sans" w:hAnsi="DM Sans" w:cs="DM Sans"/>
          <w:color w:val="000000"/>
          <w:sz w:val="23"/>
          <w:szCs w:val="23"/>
        </w:rPr>
        <w:t xml:space="preserve"> </w:t>
      </w:r>
    </w:p>
    <w:sectPr w:rsidR="0036428B">
      <w:headerReference w:type="default" r:id="rId7"/>
      <w:pgSz w:w="11910" w:h="16845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AD04" w14:textId="77777777" w:rsidR="0053622F" w:rsidRDefault="0053622F" w:rsidP="00C5157B">
      <w:pPr>
        <w:spacing w:after="0" w:line="240" w:lineRule="auto"/>
      </w:pPr>
      <w:r>
        <w:separator/>
      </w:r>
    </w:p>
  </w:endnote>
  <w:endnote w:type="continuationSeparator" w:id="0">
    <w:p w14:paraId="7FC2021F" w14:textId="77777777" w:rsidR="0053622F" w:rsidRDefault="0053622F" w:rsidP="00C51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FF42D7A5-785F-4945-B9CE-2E3EEF059D76}"/>
    <w:embedBold r:id="rId2" w:fontKey="{78186F22-E063-4B8E-B62B-764E3D1FEEE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F6A8ABA9-BED9-4384-999C-F4F0CF345B19}"/>
    <w:embedBold r:id="rId4" w:fontKey="{F92D918D-F964-49B7-8B2E-4C716D40BE3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F20DBEB7-47D4-4DC2-8451-F52AD76939F8}"/>
  </w:font>
  <w:font w:name="DM Sans Bold">
    <w:charset w:val="00"/>
    <w:family w:val="auto"/>
    <w:pitch w:val="default"/>
    <w:embedBold r:id="rId6" w:fontKey="{00732994-6BCA-4D61-A4CD-4CAEA277CEC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069A10-F0BC-4489-B0C6-1A7D7334B6C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B5454" w14:textId="77777777" w:rsidR="0053622F" w:rsidRDefault="0053622F" w:rsidP="00C5157B">
      <w:pPr>
        <w:spacing w:after="0" w:line="240" w:lineRule="auto"/>
      </w:pPr>
      <w:r>
        <w:separator/>
      </w:r>
    </w:p>
  </w:footnote>
  <w:footnote w:type="continuationSeparator" w:id="0">
    <w:p w14:paraId="29B5A58E" w14:textId="77777777" w:rsidR="0053622F" w:rsidRDefault="0053622F" w:rsidP="00C51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F4F2" w14:textId="66E5A521" w:rsidR="00B76BE9" w:rsidRPr="00B76BE9" w:rsidRDefault="00B76BE9" w:rsidP="00B76BE9">
    <w:pPr>
      <w:pStyle w:val="Title"/>
      <w:jc w:val="center"/>
    </w:pPr>
    <w:r>
      <w:t xml:space="preserve">Medicare Bridge Criteria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C4E"/>
    <w:multiLevelType w:val="hybridMultilevel"/>
    <w:tmpl w:val="D8D2A8A0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" w15:restartNumberingAfterBreak="0">
    <w:nsid w:val="24370ED4"/>
    <w:multiLevelType w:val="hybridMultilevel"/>
    <w:tmpl w:val="2CC4E57C"/>
    <w:lvl w:ilvl="0" w:tplc="6A3A925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5DA2A6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13EC22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62855C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BCF6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EFEB93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0C67C1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7E8544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A96630A">
      <w:numFmt w:val="decimal"/>
      <w:lvlText w:val=""/>
      <w:lvlJc w:val="left"/>
    </w:lvl>
  </w:abstractNum>
  <w:abstractNum w:abstractNumId="2" w15:restartNumberingAfterBreak="0">
    <w:nsid w:val="26F548AA"/>
    <w:multiLevelType w:val="hybridMultilevel"/>
    <w:tmpl w:val="30C43FD8"/>
    <w:lvl w:ilvl="0" w:tplc="82E4FED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32F05A">
      <w:numFmt w:val="bullet"/>
      <w:lvlText w:val="-"/>
      <w:lvlJc w:val="left"/>
      <w:pPr>
        <w:ind w:left="800" w:hanging="360"/>
      </w:pPr>
      <w:rPr>
        <w:rFonts w:ascii="DM Sans" w:eastAsia="DM Sans" w:hAnsi="DM Sans" w:cs="DM Sans" w:hint="default"/>
        <w:color w:val="000000"/>
        <w:sz w:val="23"/>
      </w:rPr>
    </w:lvl>
    <w:lvl w:ilvl="2" w:tplc="5350835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5B8257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72038D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8AC0D2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A9462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2202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28DCE1A8">
      <w:numFmt w:val="decimal"/>
      <w:lvlText w:val=""/>
      <w:lvlJc w:val="left"/>
    </w:lvl>
  </w:abstractNum>
  <w:abstractNum w:abstractNumId="3" w15:restartNumberingAfterBreak="0">
    <w:nsid w:val="319D07AF"/>
    <w:multiLevelType w:val="hybridMultilevel"/>
    <w:tmpl w:val="63EA6902"/>
    <w:lvl w:ilvl="0" w:tplc="9432F05A">
      <w:numFmt w:val="bullet"/>
      <w:lvlText w:val="-"/>
      <w:lvlJc w:val="left"/>
      <w:pPr>
        <w:ind w:left="720" w:hanging="360"/>
      </w:pPr>
      <w:rPr>
        <w:rFonts w:ascii="DM Sans" w:eastAsia="DM Sans" w:hAnsi="DM Sans" w:cs="DM Sans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20CB7"/>
    <w:multiLevelType w:val="hybridMultilevel"/>
    <w:tmpl w:val="FD0AF5B8"/>
    <w:lvl w:ilvl="0" w:tplc="33C455E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85E442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65C7D5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B1E645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8B64E1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542D6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1E58684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52E267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1962B9A">
      <w:numFmt w:val="decimal"/>
      <w:lvlText w:val=""/>
      <w:lvlJc w:val="left"/>
    </w:lvl>
  </w:abstractNum>
  <w:abstractNum w:abstractNumId="5" w15:restartNumberingAfterBreak="0">
    <w:nsid w:val="448F7319"/>
    <w:multiLevelType w:val="hybridMultilevel"/>
    <w:tmpl w:val="97340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653F6"/>
    <w:multiLevelType w:val="hybridMultilevel"/>
    <w:tmpl w:val="5B763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660003">
    <w:abstractNumId w:val="1"/>
  </w:num>
  <w:num w:numId="2" w16cid:durableId="649402061">
    <w:abstractNumId w:val="2"/>
  </w:num>
  <w:num w:numId="3" w16cid:durableId="1476683223">
    <w:abstractNumId w:val="4"/>
  </w:num>
  <w:num w:numId="4" w16cid:durableId="1894194509">
    <w:abstractNumId w:val="3"/>
  </w:num>
  <w:num w:numId="5" w16cid:durableId="395471437">
    <w:abstractNumId w:val="6"/>
  </w:num>
  <w:num w:numId="6" w16cid:durableId="600912785">
    <w:abstractNumId w:val="0"/>
  </w:num>
  <w:num w:numId="7" w16cid:durableId="1650094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8B"/>
    <w:rsid w:val="0036428B"/>
    <w:rsid w:val="0053622F"/>
    <w:rsid w:val="0071453D"/>
    <w:rsid w:val="009C41E0"/>
    <w:rsid w:val="00B76BE9"/>
    <w:rsid w:val="00C157D8"/>
    <w:rsid w:val="00C5157B"/>
    <w:rsid w:val="00E61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0E1FB"/>
  <w15:docId w15:val="{6D2008F3-9F56-4A43-B7F0-D5B17F5A6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7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1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57B"/>
  </w:style>
  <w:style w:type="paragraph" w:styleId="Footer">
    <w:name w:val="footer"/>
    <w:basedOn w:val="Normal"/>
    <w:link w:val="FooterChar"/>
    <w:uiPriority w:val="99"/>
    <w:unhideWhenUsed/>
    <w:rsid w:val="00C51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57B"/>
  </w:style>
  <w:style w:type="paragraph" w:styleId="Title">
    <w:name w:val="Title"/>
    <w:basedOn w:val="Normal"/>
    <w:next w:val="Normal"/>
    <w:link w:val="TitleChar"/>
    <w:uiPriority w:val="10"/>
    <w:qFormat/>
    <w:rsid w:val="00B76B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key outcomes you want to achieve in the product launch. Relate the outcome to company or business goals.</dc:title>
  <dc:creator>Apache POI</dc:creator>
  <cp:lastModifiedBy>Magan Varholdt Wise</cp:lastModifiedBy>
  <cp:revision>4</cp:revision>
  <cp:lastPrinted>2026-06-24T18:55:00Z</cp:lastPrinted>
  <dcterms:created xsi:type="dcterms:W3CDTF">2026-06-24T18:55:00Z</dcterms:created>
  <dcterms:modified xsi:type="dcterms:W3CDTF">2026-06-25T14:11:00Z</dcterms:modified>
</cp:coreProperties>
</file>