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100"/>
        <w:jc w:val="center"/>
      </w:pPr>
      <w:r>
        <w:rPr>
          <w:b/>
          <w:bCs/>
          <w:color w:val="1A7A6E"/>
          <w:sz w:val="60"/>
          <w:szCs w:val="60"/>
        </w:rPr>
        <w:t xml:space="preserve">AgriFraîcheur CI</w:t>
      </w:r>
    </w:p>
    <w:p>
      <w:pPr>
        <w:spacing w:after="40"/>
        <w:jc w:val="center"/>
      </w:pPr>
      <w:r>
        <w:rPr>
          <w:color w:val="0D1E1C"/>
          <w:sz w:val="30"/>
          <w:szCs w:val="30"/>
        </w:rPr>
        <w:t xml:space="preserve">Documentation de la transformation du site web</w:t>
      </w:r>
    </w:p>
    <w:p>
      <w:pPr>
        <w:spacing w:after="600"/>
        <w:jc w:val="center"/>
      </w:pPr>
      <w:r>
        <w:rPr>
          <w:i/>
          <w:iCs/>
          <w:color w:val="5A6B66"/>
          <w:sz w:val="22"/>
          <w:szCs w:val="22"/>
        </w:rPr>
        <w:t xml:space="preserve">Du template « Clearwave » (TemplateMo 622) au site AgriFraîcheur CI</w:t>
      </w:r>
    </w:p>
    <w:p>
      <w:pPr>
        <w:jc w:val="center"/>
      </w:pPr>
      <w:r>
        <w:rPr>
          <w:color w:val="5A6B66"/>
          <w:sz w:val="20"/>
          <w:szCs w:val="20"/>
        </w:rPr>
        <w:t xml:space="preserve">Treichville, Arras 3 — Abidjan, Côte d'Ivoire</w:t>
      </w:r>
    </w:p>
    <w:p>
      <w:pPr>
        <w:spacing w:after="600"/>
        <w:jc w:val="center"/>
      </w:pPr>
      <w:r>
        <w:rPr>
          <w:color w:val="5A6B66"/>
          <w:sz w:val="20"/>
          <w:szCs w:val="20"/>
        </w:rPr>
        <w:t xml:space="preserve">07 04 85 63 75  ·  AKD.ISSMA@gmail.com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Objectif et méthode</w:t>
      </w:r>
    </w:p>
    <w:p>
      <w:pPr>
        <w:spacing w:after="120"/>
      </w:pPr>
      <w:r>
        <w:t xml:space="preserve">Ce document explique, section par section, comment le template gratuit « Clearwave » (TemplateMo 622 — un template de site SaaS/productivité en anglais) a été transformé en site vitrine pour AgriFraîcheur CI, sans toucher à la structure technique du site.</w:t>
      </w:r>
    </w:p>
    <w:p>
      <w:pPr>
        <w:pStyle w:val="Heading2"/>
        <w:spacing w:after="120" w:before="240"/>
      </w:pPr>
      <w:r>
        <w:t xml:space="preserve">1.1 Ce qui a été modifié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Tous les textes visibles : titres, paragraphes, boutons, menus, formulaires, listes.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Les données chiffrées (statistiques, tarifs) pour qu'elles correspondent à une activité agroalimentaire ivoirienne plutôt qu'à un logiciel SaaS.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Les noms d'entreprises fictives (clients, partenaires, témoignages) remplacés par des noms cohérents avec le marché ivoirien.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Les liens de contact (téléphone, email) pointent maintenant vers les vraies coordonnées d'AgriFraîcheur CI.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Les noms de fichiers CSS/JS ont été simplifiés (style.css, script.js) et les liens mis à jour dans le HTML.</w:t>
      </w:r>
    </w:p>
    <w:p>
      <w:pPr>
        <w:pStyle w:val="Heading2"/>
        <w:spacing w:after="120" w:before="240"/>
      </w:pPr>
      <w:r>
        <w:t xml:space="preserve">1.2 Ce qui n'a PAS été modifié (pour ne rien casser)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Toutes les balises HTML, classes CSS et attributs id utilisés par le fichier script.js (menu mobile, carrousel 3D, zoom, bascule de tarifs, accordéon FAQ, compteurs animés, effets d'apparition au scroll).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 fichier de style style.css n'a subi aucune modification : les couleurs (vert/sauge), les polices, les espacements et les animations restent identiques — cette palette verte convient d'ailleurs très bien à une marque agricole.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logique JavaScript (script.js) est restée la même ; seules les valeurs de tarifs (montants et devise) ont été adaptées, à l'intérieur des mêmes variables.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Les 5 images du carrousel (tm-622-screen-01.jpg à 05.jpg) ont été conservées telles quelles : il s'agit de captures d'écran d'une interface web générique (tableau de bord, réglages, connexion...). Elles ne représentent pas de vrais produits AgriFraîcheur CI — voir section 5 « Recommandations » pour les remplacer par de vraies photos.</w:t>
      </w:r>
    </w:p>
    <w:p>
      <w:pPr>
        <w:spacing w:after="120"/>
      </w:pPr>
      <w:r>
        <w:rPr>
          <w:i/>
          <w:iCs/>
        </w:rPr>
        <w:t xml:space="preserve">Conséquence pratique : vous pouvez ouvrir le nouveau site, cliquer sur tous les boutons, le menu mobile, le carrousel, la bascule de tarifs mensuel/annuel et l'accordéon FAQ — tout fonctionne exactement comme dans le template d'origine, avec le contenu d'AgriFraîcheur CI à la place.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Fichiers livrés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00"/>
        <w:gridCol w:w="2900"/>
        <w:gridCol w:w="2400"/>
      </w:tblGrid>
      <w:tr>
        <w:trPr>
          <w:tblHeader/>
        </w:trPr>
        <w:tc>
          <w:tcPr>
            <w:tcW w:type="dxa" w:w="1600"/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2900"/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 original (EN)</w:t>
            </w:r>
          </w:p>
        </w:tc>
        <w:tc>
          <w:tcPr>
            <w:tcW w:type="dxa" w:w="2900"/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 adapté (FR)</w:t>
            </w:r>
          </w:p>
        </w:tc>
        <w:tc>
          <w:tcPr>
            <w:tcW w:type="dxa" w:w="2400"/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Explication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index.html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Fichier principal du template, en anglais, marque « Clearwave »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 unique du site AgriFraîcheur CI, entièrement en français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Renommage du titre, de la balise &lt;meta description&gt;, et de tout le contenu visible, section par section (voir chapitre 3).</w:t>
            </w:r>
          </w:p>
        </w:tc>
      </w:tr>
      <w:tr>
        <w:tc>
          <w:tcPr>
            <w:tcW w:type="dxa" w:w="16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style.css (ex templatemo-622-clearwave.css)</w:t>
            </w:r>
          </w:p>
        </w:tc>
        <w:tc>
          <w:tcPr>
            <w:tcW w:type="dxa" w:w="29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Feuille de style du template</w:t>
            </w:r>
          </w:p>
        </w:tc>
        <w:tc>
          <w:tcPr>
            <w:tcW w:type="dxa" w:w="29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Identique, seul le nom de fichier a changé</w:t>
            </w:r>
          </w:p>
        </w:tc>
        <w:tc>
          <w:tcPr>
            <w:tcW w:type="dxa" w:w="24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Aucune modification de contenu : la palette verte convient déjà à une marque agroalimentaire. Le lien &lt;link&gt; dans le HTML a été mis à jour.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script.js (ex templatemo-622-clearwave.js)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Logique JS en anglais (montants en dollars, texte « Collapse/Expand all »)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Même logique, montants en FCFA, textes de bouton en français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Voir chapitre 3.8 (Tarifs) et 3.10 (FAQ) pour le détail des valeurs changées.</w:t>
            </w:r>
          </w:p>
        </w:tc>
      </w:tr>
      <w:tr>
        <w:tc>
          <w:tcPr>
            <w:tcW w:type="dxa" w:w="16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images/tm-622-screen-01 à 05.jpg</w:t>
            </w:r>
          </w:p>
        </w:tc>
        <w:tc>
          <w:tcPr>
            <w:tcW w:type="dxa" w:w="29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captures d'écran d'une interface SaaS générique</w:t>
            </w:r>
          </w:p>
        </w:tc>
        <w:tc>
          <w:tcPr>
            <w:tcW w:type="dxa" w:w="29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Conservées à l'identique</w:t>
            </w:r>
          </w:p>
        </w:tc>
        <w:tc>
          <w:tcPr>
            <w:tcW w:type="dxa" w:w="24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Nécessaires au fonctionnement du carrousel 3D. À remplacer à terme par des photos réelles de produits ou de l'espace client (voir chapitre 5).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 Détail des transformations, section par section</w:t>
      </w:r>
    </w:p>
    <w:p>
      <w:pPr>
        <w:pStyle w:val="Heading2"/>
        <w:spacing w:after="120" w:before="240"/>
      </w:pPr>
      <w:r>
        <w:t xml:space="preserve">3.1 En-tête (&lt;head&gt;) et métadonnées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00"/>
        <w:gridCol w:w="2900"/>
        <w:gridCol w:w="2400"/>
      </w:tblGrid>
      <w:tr>
        <w:trPr>
          <w:tblHeader/>
        </w:trPr>
        <w:tc>
          <w:tcPr>
            <w:tcW w:type="dxa" w:w="1600"/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2900"/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 original (EN)</w:t>
            </w:r>
          </w:p>
        </w:tc>
        <w:tc>
          <w:tcPr>
            <w:tcW w:type="dxa" w:w="2900"/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 adapté (FR)</w:t>
            </w:r>
          </w:p>
        </w:tc>
        <w:tc>
          <w:tcPr>
            <w:tcW w:type="dxa" w:w="2400"/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Explication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Titre de l'onglet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TemplateMo 622 Clearwave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AgriFraîcheur CI — Fruits, Légumes &amp; Produits Agricoles Transformés à Abidjan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Titre visible dans l'onglet du navigateur et dans Google ; réécrit pour décrire l'activité réelle.</w:t>
            </w:r>
          </w:p>
        </w:tc>
      </w:tr>
      <w:tr>
        <w:tc>
          <w:tcPr>
            <w:tcW w:type="dxa" w:w="16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Langue</w:t>
            </w:r>
          </w:p>
        </w:tc>
        <w:tc>
          <w:tcPr>
            <w:tcW w:type="dxa" w:w="29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lang="en"</w:t>
            </w:r>
          </w:p>
        </w:tc>
        <w:tc>
          <w:tcPr>
            <w:tcW w:type="dxa" w:w="29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lang="fr"</w:t>
            </w:r>
          </w:p>
        </w:tc>
        <w:tc>
          <w:tcPr>
            <w:tcW w:type="dxa" w:w="24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Indique au navigateur et aux moteurs de recherche que le contenu est en français.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absente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Ajoutée : présentation courte d'AgriFraîcheur CI pour les résultats Google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Améliore le référencement local (Abidjan, Treichville).</w:t>
            </w:r>
          </w:p>
        </w:tc>
      </w:tr>
    </w:tbl>
    <w:p>
      <w:pPr>
        <w:pStyle w:val="Heading2"/>
        <w:spacing w:after="120" w:before="240"/>
      </w:pPr>
      <w:r>
        <w:t xml:space="preserve">3.2 Menu de navigation et menu mobile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00"/>
        <w:gridCol w:w="2900"/>
        <w:gridCol w:w="2400"/>
      </w:tblGrid>
      <w:tr>
        <w:trPr>
          <w:tblHeader/>
        </w:trPr>
        <w:tc>
          <w:tcPr>
            <w:tcW w:type="dxa" w:w="1600"/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2900"/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 original (EN)</w:t>
            </w:r>
          </w:p>
        </w:tc>
        <w:tc>
          <w:tcPr>
            <w:tcW w:type="dxa" w:w="2900"/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 adapté (FR)</w:t>
            </w:r>
          </w:p>
        </w:tc>
        <w:tc>
          <w:tcPr>
            <w:tcW w:type="dxa" w:w="2400"/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Explication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Logo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clearwave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AgriFraîcheur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Même mise en forme à deux couleurs conservée (classe .nav-logo / &lt;span&gt;).</w:t>
            </w:r>
          </w:p>
        </w:tc>
      </w:tr>
      <w:tr>
        <w:tc>
          <w:tcPr>
            <w:tcW w:type="dxa" w:w="16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Liens du menu</w:t>
            </w:r>
          </w:p>
        </w:tc>
        <w:tc>
          <w:tcPr>
            <w:tcW w:type="dxa" w:w="29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/ Features / Pricing / Reviews / Integrations / FAQ</w:t>
            </w:r>
          </w:p>
        </w:tc>
        <w:tc>
          <w:tcPr>
            <w:tcW w:type="dxa" w:w="29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Nos produits / Nos services / Tarifs / Avis clients / Paiement &amp; Livraison / FAQ</w:t>
            </w:r>
          </w:p>
        </w:tc>
        <w:tc>
          <w:tcPr>
            <w:tcW w:type="dxa" w:w="24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 liens pointent vers les mêmes ancres #screens #features #pricing etc. — seul le texte affiché change.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Boutons d'action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 in / Start Free Trial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07 04 85 63 75 (appel direct) / Commander maintenant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bouton « Sign in » n'a pas de sens pour un site vitrine agroalimentaire ; remplacé par un accès direct à l'appel téléphonique.</w:t>
            </w:r>
          </w:p>
        </w:tc>
      </w:tr>
    </w:tbl>
    <w:p>
      <w:pPr>
        <w:pStyle w:val="Heading2"/>
        <w:spacing w:after="120" w:before="240"/>
      </w:pPr>
      <w:r>
        <w:t xml:space="preserve">3.3 Section Hero (bannière principale)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00"/>
        <w:gridCol w:w="2900"/>
        <w:gridCol w:w="2400"/>
      </w:tblGrid>
      <w:tr>
        <w:trPr>
          <w:tblHeader/>
        </w:trPr>
        <w:tc>
          <w:tcPr>
            <w:tcW w:type="dxa" w:w="1600"/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2900"/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 original (EN)</w:t>
            </w:r>
          </w:p>
        </w:tc>
        <w:tc>
          <w:tcPr>
            <w:tcW w:type="dxa" w:w="2900"/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 adapté (FR)</w:t>
            </w:r>
          </w:p>
        </w:tc>
        <w:tc>
          <w:tcPr>
            <w:tcW w:type="dxa" w:w="2400"/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Explication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Badge d'accroche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Rated #1 Productivity SaaS of 2024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Producteur N°1 de fraîcheur à Abidjan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Reformulation qui garde la structure « classement + accroche » du badge.</w:t>
            </w:r>
          </w:p>
        </w:tc>
      </w:tr>
      <w:tr>
        <w:tc>
          <w:tcPr>
            <w:tcW w:type="dxa" w:w="16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Titre principal</w:t>
            </w:r>
          </w:p>
        </w:tc>
        <w:tc>
          <w:tcPr>
            <w:tcW w:type="dxa" w:w="29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Your workflow, finally clear.</w:t>
            </w:r>
          </w:p>
        </w:tc>
        <w:tc>
          <w:tcPr>
            <w:tcW w:type="dxa" w:w="29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 champ à votre table, toujours frais.</w:t>
            </w:r>
          </w:p>
        </w:tc>
        <w:tc>
          <w:tcPr>
            <w:tcW w:type="dxa" w:w="24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jeu de mots sur « clear/Clearwave » est remplacé par un message clé du secteur agroalimentaire : fraîcheur et circuit court.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Texte descriptif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Présente l'outil logiciel Clearwave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Présente l'activité réelle : fruits, légumes, banane plantain, manioc, attiéké, jus naturels, livraison à Abidjan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Contenu totalement réécrit à partir des informations fournies sur l'entreprise.</w:t>
            </w:r>
          </w:p>
        </w:tc>
      </w:tr>
      <w:tr>
        <w:tc>
          <w:tcPr>
            <w:tcW w:type="dxa" w:w="16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Indicateurs de confiance</w:t>
            </w:r>
          </w:p>
        </w:tc>
        <w:tc>
          <w:tcPr>
            <w:tcW w:type="dxa" w:w="29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 2 Certified / 99.9% Uptime / 50k+ Teams</w:t>
            </w:r>
          </w:p>
        </w:tc>
        <w:tc>
          <w:tcPr>
            <w:tcW w:type="dxa" w:w="29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Fraîcheur garantie / Livraison rapide à Abidjan / 500+ familles servies</w:t>
            </w:r>
          </w:p>
        </w:tc>
        <w:tc>
          <w:tcPr>
            <w:tcW w:type="dxa" w:w="24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 indicateurs techniques SaaS sont remplacés par des garanties pertinentes pour un client de produits frais.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Widget visuel (mini tableau de bord)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« Team Performance », Task Rate, Active Users, Saved/week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« Ventes de la semaine », Fraîcheur produit, Commandes livrées, Délai moyen de livraison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 graphique (barres, chiffres) conservée à l'identique ; seuls les libellés et unités changent.</w:t>
            </w:r>
          </w:p>
        </w:tc>
      </w:tr>
      <w:tr>
        <w:tc>
          <w:tcPr>
            <w:tcW w:type="dxa" w:w="16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Badges flottants</w:t>
            </w:r>
          </w:p>
        </w:tc>
        <w:tc>
          <w:tcPr>
            <w:tcW w:type="dxa" w:w="29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integration – Slack / +34% Output</w:t>
            </w:r>
          </w:p>
        </w:tc>
        <w:tc>
          <w:tcPr>
            <w:tcW w:type="dxa" w:w="29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Nouvelle récolte – Attiéké frais / +34% Commandes ce mois</w:t>
            </w:r>
          </w:p>
        </w:tc>
        <w:tc>
          <w:tcPr>
            <w:tcW w:type="dxa" w:w="24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Même emplacement et même style visuel, contenu adapté.</w:t>
            </w:r>
          </w:p>
        </w:tc>
      </w:tr>
    </w:tbl>
    <w:p>
      <w:pPr>
        <w:pStyle w:val="Heading2"/>
        <w:spacing w:after="120" w:before="240"/>
      </w:pPr>
      <w:r>
        <w:t xml:space="preserve">3.4 Bandeau défilant « Ils nous font confiance »</w:t>
      </w:r>
    </w:p>
    <w:p>
      <w:pPr>
        <w:spacing w:after="120"/>
      </w:pPr>
      <w:r>
        <w:t xml:space="preserve">Le bandeau défilant (logos d'entreprises clientes fictives) a été conservé avec sa même animation et ses mêmes icônes SVG génériques. Seuls les noms ont été remplacés par des établissements plausibles à Abidjan : Marché de Treichville, Restaurant Baoulé d'Or, Maquis Chez Tantie, Supérette Riviera, Cantine Cocody, Épicerie Marcory, Hôtel du Plateau, Traiteur Yamoussoukro. Le titre « Trusted by forward-thinking teams at » devient « Ils nous font confiance à Abidjan ».</w:t>
      </w:r>
    </w:p>
    <w:p>
      <w:pPr>
        <w:pStyle w:val="Heading2"/>
        <w:spacing w:after="120" w:before="240"/>
      </w:pPr>
      <w:r>
        <w:t xml:space="preserve">3.5 Galerie / carrousel 3D (« Nos produits »)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00"/>
        <w:gridCol w:w="2900"/>
        <w:gridCol w:w="2400"/>
      </w:tblGrid>
      <w:tr>
        <w:trPr>
          <w:tblHeader/>
        </w:trPr>
        <w:tc>
          <w:tcPr>
            <w:tcW w:type="dxa" w:w="1600"/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2900"/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 original (EN)</w:t>
            </w:r>
          </w:p>
        </w:tc>
        <w:tc>
          <w:tcPr>
            <w:tcW w:type="dxa" w:w="2900"/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 adapté (FR)</w:t>
            </w:r>
          </w:p>
        </w:tc>
        <w:tc>
          <w:tcPr>
            <w:tcW w:type="dxa" w:w="2400"/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Explication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Titre de section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Your workspace, in your pocket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Suivez vos commandes, où que vous soyez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Reformulation adaptée au suivi de commande plutôt qu'à un espace de travail logiciel.</w:t>
            </w:r>
          </w:p>
        </w:tc>
      </w:tr>
      <w:tr>
        <w:tc>
          <w:tcPr>
            <w:tcW w:type="dxa" w:w="16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Texte descriptif</w:t>
            </w:r>
          </w:p>
        </w:tc>
        <w:tc>
          <w:tcPr>
            <w:tcW w:type="dxa" w:w="29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Présente l'app mobile Clearwave</w:t>
            </w:r>
          </w:p>
        </w:tc>
        <w:tc>
          <w:tcPr>
            <w:tcW w:type="dxa" w:w="29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Présente le suivi de commandes/livraisons depuis le mobile</w:t>
            </w:r>
          </w:p>
        </w:tc>
        <w:tc>
          <w:tcPr>
            <w:tcW w:type="dxa" w:w="24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carrousel technique (zoom, pastilles, défilement tactile) est identique ; seul le texte d'intro change.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Images du carrousel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captures d'écran d'une interface SaaS (réglages, analytics, utilisateurs, connexion, tableau de bord)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Mêmes images, texte alternatif (attribut alt) traduit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Ces images restent des maquettes d'interface génériques — elles ne sont pas remplacées par manque de vraies photos produit. Voir recommandations chapitre 5.</w:t>
            </w:r>
          </w:p>
        </w:tc>
      </w:tr>
    </w:tbl>
    <w:p>
      <w:pPr>
        <w:pStyle w:val="Heading2"/>
        <w:spacing w:after="120" w:before="240"/>
      </w:pPr>
      <w:r>
        <w:t xml:space="preserve">3.6 Nos services (3 blocs « Features »)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00"/>
        <w:gridCol w:w="2900"/>
        <w:gridCol w:w="2400"/>
      </w:tblGrid>
      <w:tr>
        <w:trPr>
          <w:tblHeader/>
        </w:trPr>
        <w:tc>
          <w:tcPr>
            <w:tcW w:type="dxa" w:w="1600"/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2900"/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 original (EN)</w:t>
            </w:r>
          </w:p>
        </w:tc>
        <w:tc>
          <w:tcPr>
            <w:tcW w:type="dxa" w:w="2900"/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 adapté (FR)</w:t>
            </w:r>
          </w:p>
        </w:tc>
        <w:tc>
          <w:tcPr>
            <w:tcW w:type="dxa" w:w="2400"/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Explication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 1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 — Unified Dashboard : tableau de bord logiciel unifié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 — Catalogue Unifié : catalogue produits en temps réel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concept de « vue unifiée de données » devient un catalogue de produits disponibles.</w:t>
            </w:r>
          </w:p>
        </w:tc>
      </w:tr>
      <w:tr>
        <w:tc>
          <w:tcPr>
            <w:tcW w:type="dxa" w:w="16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 2</w:t>
            </w:r>
          </w:p>
        </w:tc>
        <w:tc>
          <w:tcPr>
            <w:tcW w:type="dxa" w:w="29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02 — Smart Automation : automatisation des tâches logicielles</w:t>
            </w:r>
          </w:p>
        </w:tc>
        <w:tc>
          <w:tcPr>
            <w:tcW w:type="dxa" w:w="29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02 — Livraison Simplifiée : commande par téléphone/WhatsApp et livraison organisée</w:t>
            </w:r>
          </w:p>
        </w:tc>
        <w:tc>
          <w:tcPr>
            <w:tcW w:type="dxa" w:w="24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L'automatisation logicielle devient l'organisation de la logistique de livraison.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 3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03 — Team Collaboration : commentaires et présence en temps réel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03 — Suivi Client : échanges WhatsApp/téléphone et commandes récurrentes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collaboration d'équipe devient le service client et la relation avec les restaurateurs/revendeurs.</w:t>
            </w:r>
          </w:p>
        </w:tc>
      </w:tr>
      <w:tr>
        <w:tc>
          <w:tcPr>
            <w:tcW w:type="dxa" w:w="16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Widgets visuels</w:t>
            </w:r>
          </w:p>
        </w:tc>
        <w:tc>
          <w:tcPr>
            <w:tcW w:type="dxa" w:w="29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Chiffres SaaS ($, utilisateurs actifs, automatisations)</w:t>
            </w:r>
          </w:p>
        </w:tc>
        <w:tc>
          <w:tcPr>
            <w:tcW w:type="dxa" w:w="29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Chiffres agroalimentaires (FCFA, clients actifs, livraisons en cours, zones couvertes)</w:t>
            </w:r>
          </w:p>
        </w:tc>
        <w:tc>
          <w:tcPr>
            <w:tcW w:type="dxa" w:w="24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 graphique (cartes, barres de progression, listes à puces colorées) intégralement conservée.</w:t>
            </w:r>
          </w:p>
        </w:tc>
      </w:tr>
    </w:tbl>
    <w:p>
      <w:pPr>
        <w:pStyle w:val="Heading2"/>
        <w:spacing w:after="120" w:before="240"/>
      </w:pPr>
      <w:r>
        <w:t xml:space="preserve">3.7 Statistiques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00"/>
        <w:gridCol w:w="2900"/>
        <w:gridCol w:w="2400"/>
      </w:tblGrid>
      <w:tr>
        <w:trPr>
          <w:tblHeader/>
        </w:trPr>
        <w:tc>
          <w:tcPr>
            <w:tcW w:type="dxa" w:w="1600"/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2900"/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 original (EN)</w:t>
            </w:r>
          </w:p>
        </w:tc>
        <w:tc>
          <w:tcPr>
            <w:tcW w:type="dxa" w:w="2900"/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 adapté (FR)</w:t>
            </w:r>
          </w:p>
        </w:tc>
        <w:tc>
          <w:tcPr>
            <w:tcW w:type="dxa" w:w="2400"/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Explication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50k+ Teams Worldwide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50 000+ équipes dans le monde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500+ Familles &amp; clients servis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Chiffre crédible pour une entreprise locale plutôt qu'une base mondiale d'utilisateurs logiciels.</w:t>
            </w:r>
          </w:p>
        </w:tc>
      </w:tr>
      <w:tr>
        <w:tc>
          <w:tcPr>
            <w:tcW w:type="dxa" w:w="16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34% Productivity Gain</w:t>
            </w:r>
          </w:p>
        </w:tc>
        <w:tc>
          <w:tcPr>
            <w:tcW w:type="dxa" w:w="29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34% de gain de productivité</w:t>
            </w:r>
          </w:p>
        </w:tc>
        <w:tc>
          <w:tcPr>
            <w:tcW w:type="dxa" w:w="29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12+ Communes livrées</w:t>
            </w:r>
          </w:p>
        </w:tc>
        <w:tc>
          <w:tcPr>
            <w:tcW w:type="dxa" w:w="24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Remplacé par une donnée logistique pertinente (zones desservies à Abidjan).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99.9% Uptime SLA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99,9% de disponibilité serveur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98% Fraîcheur garantie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L'engagement de disponibilité technique devient un engagement qualité produit.</w:t>
            </w:r>
          </w:p>
        </w:tc>
      </w:tr>
      <w:tr>
        <w:tc>
          <w:tcPr>
            <w:tcW w:type="dxa" w:w="16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18h Saved / week</w:t>
            </w:r>
          </w:p>
        </w:tc>
        <w:tc>
          <w:tcPr>
            <w:tcW w:type="dxa" w:w="29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18h économisées par semaine</w:t>
            </w:r>
          </w:p>
        </w:tc>
        <w:tc>
          <w:tcPr>
            <w:tcW w:type="dxa" w:w="29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45mn Délai moyen de livraison</w:t>
            </w:r>
          </w:p>
        </w:tc>
        <w:tc>
          <w:tcPr>
            <w:tcW w:type="dxa" w:w="24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Indicateur logistique concret et vérifiable pour le client final.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Remarque technique : ces chiffres utilisent l'attribut data-target lu par script.js pour l'animation de comptage progressif. Les valeurs ont été changées directement dans le HTML ; aucune modification du JS n'était nécessaire pour cette section (hormis un cas où un attribut data-decimal a été retiré pour éviter d'afficher « 98,0 % » au lieu de « 98% »).</w:t>
      </w:r>
    </w:p>
    <w:p>
      <w:r>
        <w:br w:type="page"/>
      </w:r>
    </w:p>
    <w:p>
      <w:pPr>
        <w:pStyle w:val="Heading2"/>
        <w:spacing w:after="120" w:before="240"/>
      </w:pPr>
      <w:r>
        <w:t xml:space="preserve">3.8 Tarifs (abonnements)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00"/>
        <w:gridCol w:w="2900"/>
        <w:gridCol w:w="2400"/>
      </w:tblGrid>
      <w:tr>
        <w:trPr>
          <w:tblHeader/>
        </w:trPr>
        <w:tc>
          <w:tcPr>
            <w:tcW w:type="dxa" w:w="1600"/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2900"/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 original (EN)</w:t>
            </w:r>
          </w:p>
        </w:tc>
        <w:tc>
          <w:tcPr>
            <w:tcW w:type="dxa" w:w="2900"/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 adapté (FR)</w:t>
            </w:r>
          </w:p>
        </w:tc>
        <w:tc>
          <w:tcPr>
            <w:tcW w:type="dxa" w:w="2400"/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Explication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Formule 1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Starter — 20$/mois (13$ en annuel)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Panier Particulier — 15 000 FCFA/mois (9 750 FCFA en annuel)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Devenu un abonnement panier hebdomadaire de fruits/légumes pour les familles, avec livraison gratuite à Treichville.</w:t>
            </w:r>
          </w:p>
        </w:tc>
      </w:tr>
      <w:tr>
        <w:tc>
          <w:tcPr>
            <w:tcW w:type="dxa" w:w="16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Formule 2 (mise en avant)</w:t>
            </w:r>
          </w:p>
        </w:tc>
        <w:tc>
          <w:tcPr>
            <w:tcW w:type="dxa" w:w="29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Professional — 60$/mois (39$ en annuel)</w:t>
            </w:r>
          </w:p>
        </w:tc>
        <w:tc>
          <w:tcPr>
            <w:tcW w:type="dxa" w:w="29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Panier Pro — 45 000 FCFA/mois (29 250 FCFA en annuel)</w:t>
            </w:r>
          </w:p>
        </w:tc>
        <w:tc>
          <w:tcPr>
            <w:tcW w:type="dxa" w:w="24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Destinée aux restaurateurs, maquis et revendeurs : livraisons 3x/semaine, volumes jusqu'à 50kg, ligne WhatsApp prioritaire.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Formule 3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Enterprise — 150$/mois (98$ en annuel)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Grossiste — 120 000 FCFA/mois (78 000 FCFA en annuel)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Pour supermarchés, hôtels et grandes structures : volumes négociés, conseiller dédié, certificats de traçabilité.</w:t>
            </w:r>
          </w:p>
        </w:tc>
      </w:tr>
      <w:tr>
        <w:tc>
          <w:tcPr>
            <w:tcW w:type="dxa" w:w="16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Bascule Mensuel/Annuel</w:t>
            </w:r>
          </w:p>
        </w:tc>
        <w:tc>
          <w:tcPr>
            <w:tcW w:type="dxa" w:w="29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 / Annual, Save 35%</w:t>
            </w:r>
          </w:p>
        </w:tc>
        <w:tc>
          <w:tcPr>
            <w:tcW w:type="dxa" w:w="29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Mensuel / Annuel, Économisez 35%</w:t>
            </w:r>
          </w:p>
        </w:tc>
        <w:tc>
          <w:tcPr>
            <w:tcW w:type="dxa" w:w="24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même mécanisme de réduction de 35% en facturation annuelle a été conservé, recalculé en FCFA (variables `prices` et `annualTotals` dans script.js).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Fichier script.js modifié : les variables prices = {starter, pro, ent} et annualTotals contenaient des montants en dollars ($). Elles ont été remplacées par les montants FCFA ci-dessus, en conservant strictement la même structure de données et la même fonction updatePricing() qui les affiche.</w:t>
      </w:r>
    </w:p>
    <w:p>
      <w:pPr>
        <w:pStyle w:val="Heading2"/>
        <w:spacing w:after="120" w:before="240"/>
      </w:pPr>
      <w:r>
        <w:t xml:space="preserve">3.9 Témoignages clients</w:t>
      </w:r>
    </w:p>
    <w:p>
      <w:pPr>
        <w:spacing w:after="120"/>
      </w:pPr>
      <w:r>
        <w:t xml:space="preserve">Les 5 témoignages ont été réécrits avec des noms et rôles cohérents avec le contexte ivoirien (Aya Konan, gérante d'un maquis ; Marc Koffi, chef cuisinier ; Prisca Kouadio, responsable achats d'une supérette ; Tenin Waraga, traiteur ; Adjoua N'Guessan, cliente particulière à Treichville). Le système d'étoiles, la mise en page en grille et les avatars colorés à initiales sont restés identiques.</w:t>
      </w:r>
    </w:p>
    <w:p>
      <w:pPr>
        <w:pStyle w:val="Heading2"/>
        <w:spacing w:after="120" w:before="240"/>
      </w:pPr>
      <w:r>
        <w:t xml:space="preserve">3.10 Paiement &amp; Livraison (ex « Integrations »)</w:t>
      </w:r>
    </w:p>
    <w:p>
      <w:pPr>
        <w:spacing w:after="120"/>
      </w:pPr>
      <w:r>
        <w:t xml:space="preserve">La section « Connects with your existing stack » (intégrations logicielles : Slack, Zapier, Stripe, GitHub...) a été réinterprétée comme une section « moyens de paiement et de livraison locaux », plus pertinente pour ce secteur : Orange Money, MTN Mobile Money, Moov Money, Wave, paiement à la livraison, virement bancaire, WhatsApp Business, Yango Delivery, Glovo, Visa/Mastercard. La grille de tuiles (integration-tile) est restée strictement identique dans sa structure.</w:t>
      </w:r>
    </w:p>
    <w:p>
      <w:pPr>
        <w:pStyle w:val="Heading2"/>
        <w:spacing w:after="120" w:before="240"/>
      </w:pPr>
      <w:r>
        <w:t xml:space="preserve">3.11 FAQ</w:t>
      </w:r>
    </w:p>
    <w:p>
      <w:pPr>
        <w:spacing w:after="120"/>
      </w:pPr>
      <w:r>
        <w:t xml:space="preserve">Les 6 questions ont été remplacées par des questions réellement utiles à un client d'AgriFraîcheur CI : garantie de fraîcheur, zones de livraison à Abidjan, commande en gros pour restaurateurs, moyens de paiement acceptés, gestion des produits non satisfaisants, et annulation/modification d'abonnement panier. L'accordéon (ouverture/fermeture au clic) et le bouton « Tout développer / Tout réduire » fonctionnent à l'identique ; seul le texte du bouton a été traduit dans script.js.</w:t>
      </w:r>
    </w:p>
    <w:p>
      <w:pPr>
        <w:pStyle w:val="Heading2"/>
        <w:spacing w:after="120" w:before="240"/>
      </w:pPr>
      <w:r>
        <w:t xml:space="preserve">3.12 Bandeau d'appel à l'action final</w:t>
      </w:r>
    </w:p>
    <w:p>
      <w:pPr>
        <w:spacing w:after="120"/>
      </w:pPr>
      <w:r>
        <w:t xml:space="preserve">« Ready for a clearer workflow? » devient « Prêt pour des produits toujours frais ? », avec un bouton d'appel direct (tel:+2250704856375) et un bouton de contact par email (mailto:AKD.ISSMA@gmail.com) à la place des boutons « Start Free Trial / Schedule a demo ».</w:t>
      </w:r>
    </w:p>
    <w:p>
      <w:pPr>
        <w:pStyle w:val="Heading2"/>
        <w:spacing w:after="120" w:before="240"/>
      </w:pPr>
      <w:r>
        <w:t xml:space="preserve">3.13 Pied de page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00"/>
        <w:gridCol w:w="2900"/>
        <w:gridCol w:w="2400"/>
      </w:tblGrid>
      <w:tr>
        <w:trPr>
          <w:tblHeader/>
        </w:trPr>
        <w:tc>
          <w:tcPr>
            <w:tcW w:type="dxa" w:w="1600"/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2900"/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 original (EN)</w:t>
            </w:r>
          </w:p>
        </w:tc>
        <w:tc>
          <w:tcPr>
            <w:tcW w:type="dxa" w:w="2900"/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 adapté (FR)</w:t>
            </w:r>
          </w:p>
        </w:tc>
        <w:tc>
          <w:tcPr>
            <w:tcW w:type="dxa" w:w="2400"/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Explication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 marque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Logo clearwave + description logicielle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Logo AgriFraîcheur + description de l'activité + adresse, téléphone, email cliquables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Ajout des coordonnées complètes de l'entreprise directement dans le footer, visibles sur toutes les pages.</w:t>
            </w:r>
          </w:p>
        </w:tc>
      </w:tr>
      <w:tr>
        <w:tc>
          <w:tcPr>
            <w:tcW w:type="dxa" w:w="16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Colonne 1</w:t>
            </w:r>
          </w:p>
        </w:tc>
        <w:tc>
          <w:tcPr>
            <w:tcW w:type="dxa" w:w="29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: Features / Mobile App / Pricing...</w:t>
            </w:r>
          </w:p>
        </w:tc>
        <w:tc>
          <w:tcPr>
            <w:tcW w:type="dxa" w:w="29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Nos produits : Nos services / Catalogue produits / Tarifs...</w:t>
            </w:r>
          </w:p>
        </w:tc>
        <w:tc>
          <w:tcPr>
            <w:tcW w:type="dxa" w:w="24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Mêmes ancres de page, libellés adaptés.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Colonne 2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Company : About / Blog / Careers...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Entreprise : À propos / Notre exploitation / Devenir revendeur...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Adapté à une entreprise agricole plutôt qu'à une société tech.</w:t>
            </w:r>
          </w:p>
        </w:tc>
      </w:tr>
      <w:tr>
        <w:tc>
          <w:tcPr>
            <w:tcW w:type="dxa" w:w="16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Colonne 3</w:t>
            </w:r>
          </w:p>
        </w:tc>
        <w:tc>
          <w:tcPr>
            <w:tcW w:type="dxa" w:w="29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 : Help Center / Documentation / Security...</w:t>
            </w:r>
          </w:p>
        </w:tc>
        <w:tc>
          <w:tcPr>
            <w:tcW w:type="dxa" w:w="29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 : Aide &amp; FAQ / Zones de livraison / Traçabilité produits / Contact</w:t>
            </w:r>
          </w:p>
        </w:tc>
        <w:tc>
          <w:tcPr>
            <w:tcW w:type="dxa" w:w="24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 liens de support technique deviennent des liens de service client agroalimentaire.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Copyright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© 2026 Clearwave. Design by TemplateMo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© 2026 AgriFraîcheur CI — Treichville Arras 3, Abidjan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Mention légale mise à jour avec le nom et l'adresse réels de l'entreprise.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4. Éléments techniques strictement préservés</w:t>
      </w:r>
    </w:p>
    <w:p>
      <w:pPr>
        <w:spacing w:after="120"/>
      </w:pPr>
      <w:r>
        <w:t xml:space="preserve">Pour garantir qu'aucune fonctionnalité ne soit cassée, les identifiants et classes suivants — utilisés par script.js — n'ont jamais été renommés ni supprimés 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mainNav, hamburger, mobileMenu — menu de navigation et menu mobile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carouselStage, carouselTrack, zoomPips, zoomIn, zoomOut, carouselNext, carouselPrev, carouselDots — carrousel 3D et son zoom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pricingToggle, monthlyLabel, annualLabel, price-starter, price-pro, price-ent, annual-note-starter, annual-note-pro, annual-note-ent — bascule et affichage des tarifs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faqToggleAll, faqToggleIcon, faqList — accordéon FAQ et bouton « tout développer 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Classes .reveal, .stat-num (avec data-target/data-decimal), .phone-card (avec data-pos/data-index) — animations d'apparition, compteurs et positions du carrousel</w:t>
      </w:r>
    </w:p>
    <w:p>
      <w:pPr>
        <w:spacing w:after="120"/>
      </w:pPr>
      <w:r>
        <w:rPr>
          <w:i/>
          <w:iCs/>
        </w:rPr>
        <w:t xml:space="preserve">Ces éléments ont été laissés inchangés dans le code, mais restent invisibles pour le visiteur du site : ils ne concernent que le fonctionnement interne (JavaScript et CSS), jamais le texte affiché.</w:t>
      </w:r>
    </w:p>
    <w:p>
      <w:pPr>
        <w:pStyle w:val="Heading1"/>
        <w:spacing w:after="150" w:before="300"/>
      </w:pPr>
      <w:r>
        <w:t xml:space="preserve">5. Recommandations pour la suite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Remplacer les 5 images du carrousel (images/tm-622-screen-01 à 05.jpg) par de vraies photos : produits (attiéké, plantains, jus), packaging, ou captures d'écran d'un vrai espace client si vous en développez un. Conserver le même nom de fichier ou mettre à jour les balises &lt;img src="..."&gt; dans index.html.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Remplacer les icônes SVG génériques du bandeau « Ils nous font confiance » par de vrais logos de clients/partenaires, si vous souhaitez afficher de vraies références.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Vérifier et ajuster les tarifs FCFA proposés (Panier Particulier, Panier Pro, Grossiste) selon vos coûts réels et marges.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Ajouter une carte (Google Maps) ou des instructions d'accès pour le point de vente/dépôt à Treichville Arras 3, si utile pour vos clients.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Envisager de créer une charte graphique propre à AgriFraîcheur CI (logo, variante de couleurs) — la palette verte actuelle du template convient déjà bien à une marque agricole, mais un vrai logo renforcera l'identité.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Tester le site sur mobile (menu hamburger, carrousel tactile) avant mise en ligne définitive.</w:t>
      </w:r>
    </w:p>
    <w:p>
      <w:pPr>
        <w:spacing w:before="400"/>
      </w:pPr>
    </w:p>
    <w:p>
      <w:pPr>
        <w:spacing w:after="120"/>
      </w:pPr>
      <w:r>
        <w:rPr>
          <w:i/>
          <w:iCs/>
          <w:color w:val="5A6B66"/>
          <w:sz w:val="18"/>
          <w:szCs w:val="18"/>
        </w:rPr>
        <w:t xml:space="preserve">Fin du document.</w:t>
      </w:r>
    </w:p>
    <w:sectPr>
      <w:pgSz w:w="11907" w:h="16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50" w:before="300"/>
    </w:pPr>
    <w:rPr>
      <w:b/>
      <w:bCs/>
      <w:color w:val="0D1E1C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</w:pPr>
    <w:rPr>
      <w:b/>
      <w:bCs/>
      <w:color w:val="1A7A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2026-07-01T11:09:19.445Z</dcterms:created>
  <dcterms:modified xsi:type="dcterms:W3CDTF">2026-07-01T11:09:19.445Z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