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财务科目：</w:t>
      </w:r>
    </w:p>
    <w:p>
      <w:pPr>
        <w:rPr>
          <w:rFonts w:hint="eastAsia"/>
        </w:rPr>
      </w:pPr>
      <w:r>
        <w:rPr>
          <w:rFonts w:hint="eastAsia"/>
        </w:rPr>
        <w:t>　　　 1、设备费</w:t>
      </w:r>
    </w:p>
    <w:p>
      <w:pPr>
        <w:rPr>
          <w:rFonts w:hint="eastAsia"/>
        </w:rPr>
      </w:pPr>
      <w:r>
        <w:rPr>
          <w:rFonts w:hint="eastAsia"/>
        </w:rPr>
        <w:t>　　　 2、材料费</w:t>
      </w:r>
    </w:p>
    <w:p>
      <w:pPr>
        <w:rPr>
          <w:rFonts w:hint="eastAsia"/>
        </w:rPr>
      </w:pPr>
      <w:r>
        <w:rPr>
          <w:rFonts w:hint="eastAsia"/>
        </w:rPr>
        <w:t>　　　 3、测试化验加工费</w:t>
      </w:r>
    </w:p>
    <w:p>
      <w:pPr>
        <w:rPr>
          <w:rFonts w:hint="eastAsia"/>
        </w:rPr>
      </w:pPr>
      <w:r>
        <w:rPr>
          <w:rFonts w:hint="eastAsia"/>
        </w:rPr>
        <w:t>　　　 4、燃料动力费</w:t>
      </w:r>
    </w:p>
    <w:p>
      <w:pPr>
        <w:rPr>
          <w:rFonts w:hint="eastAsia"/>
        </w:rPr>
      </w:pPr>
      <w:r>
        <w:rPr>
          <w:rFonts w:hint="eastAsia"/>
        </w:rPr>
        <w:t>　　　 5、差旅费</w:t>
      </w:r>
    </w:p>
    <w:p>
      <w:pPr>
        <w:rPr>
          <w:rFonts w:hint="eastAsia"/>
        </w:rPr>
      </w:pPr>
      <w:r>
        <w:rPr>
          <w:rFonts w:hint="eastAsia"/>
        </w:rPr>
        <w:t>　　　 6、会议费</w:t>
      </w:r>
    </w:p>
    <w:p>
      <w:pPr>
        <w:rPr>
          <w:rFonts w:hint="eastAsia"/>
        </w:rPr>
      </w:pPr>
      <w:r>
        <w:rPr>
          <w:rFonts w:hint="eastAsia"/>
        </w:rPr>
        <w:t>　　　 7、国际合作与交流费</w:t>
      </w:r>
    </w:p>
    <w:p>
      <w:pPr>
        <w:rPr>
          <w:rFonts w:hint="eastAsia"/>
        </w:rPr>
      </w:pPr>
      <w:r>
        <w:rPr>
          <w:rFonts w:hint="eastAsia"/>
        </w:rPr>
        <w:t>　　　 8、出版/文献/信息传播/知识产权事务费</w:t>
      </w:r>
    </w:p>
    <w:p>
      <w:pPr>
        <w:rPr>
          <w:rFonts w:hint="eastAsia"/>
        </w:rPr>
      </w:pPr>
      <w:r>
        <w:rPr>
          <w:rFonts w:hint="eastAsia"/>
        </w:rPr>
        <w:t>　　　 9、劳务费</w:t>
      </w:r>
    </w:p>
    <w:p>
      <w:pPr>
        <w:rPr>
          <w:rFonts w:hint="eastAsia"/>
        </w:rPr>
      </w:pPr>
      <w:r>
        <w:rPr>
          <w:rFonts w:hint="eastAsia"/>
        </w:rPr>
        <w:t>　　　 10、专家咨询费</w:t>
      </w:r>
    </w:p>
    <w:p>
      <w:pPr>
        <w:rPr>
          <w:rFonts w:hint="eastAsia"/>
        </w:rPr>
      </w:pPr>
      <w:r>
        <w:rPr>
          <w:rFonts w:hint="eastAsia"/>
        </w:rPr>
        <w:t>　　　 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、其他费用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费、测试化验加工费、燃料动力费、出版/文献/信息传播/知识产权事务费等四个科目在实施中按一类管理；劳务费、专家咨询费、会议费/差旅费/国际合作交流费、其他支出等四个科目在实施中按一类管理。当某项费用不足，可以在一类内调整预算，并由组长批准（保留痕迹）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劳务费预算最多可占50%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其它费用不得超过总预算的15%，可用来支付餐费、打车等无法在1-10项中支出的项目，以及发绩效奖金等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以上仅供参考，具体以指导教师说明为准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项目总资金预算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不超过10万元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9A08B"/>
    <w:multiLevelType w:val="singleLevel"/>
    <w:tmpl w:val="AC49A08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11D94"/>
    <w:rsid w:val="46F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ZXL-PC</dc:creator>
  <cp:lastModifiedBy>ZXL-PC</cp:lastModifiedBy>
  <dcterms:modified xsi:type="dcterms:W3CDTF">2019-08-31T13:08:07Z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