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Davide Di Pierro,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CA06A0">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43" w:history="1">
            <w:r w:rsidR="00742CF2" w:rsidRPr="00B54E9C">
              <w:rPr>
                <w:rStyle w:val="Collegamentoipertestuale"/>
                <w:noProof/>
              </w:rPr>
              <w:t>Indice</w:t>
            </w:r>
            <w:r w:rsidR="00742CF2">
              <w:rPr>
                <w:noProof/>
                <w:webHidden/>
              </w:rPr>
              <w:tab/>
            </w:r>
            <w:r w:rsidR="00742CF2">
              <w:rPr>
                <w:noProof/>
                <w:webHidden/>
              </w:rPr>
              <w:fldChar w:fldCharType="begin"/>
            </w:r>
            <w:r w:rsidR="00742CF2">
              <w:rPr>
                <w:noProof/>
                <w:webHidden/>
              </w:rPr>
              <w:instrText xml:space="preserve"> PAGEREF _Toc532720443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44" w:history="1">
            <w:r w:rsidR="00742CF2" w:rsidRPr="00B54E9C">
              <w:rPr>
                <w:rStyle w:val="Collegamentoipertestuale"/>
                <w:noProof/>
              </w:rPr>
              <w:t>Sommario</w:t>
            </w:r>
            <w:r w:rsidR="00742CF2">
              <w:rPr>
                <w:noProof/>
                <w:webHidden/>
              </w:rPr>
              <w:tab/>
            </w:r>
            <w:r w:rsidR="00742CF2">
              <w:rPr>
                <w:noProof/>
                <w:webHidden/>
              </w:rPr>
              <w:fldChar w:fldCharType="begin"/>
            </w:r>
            <w:r w:rsidR="00742CF2">
              <w:rPr>
                <w:noProof/>
                <w:webHidden/>
              </w:rPr>
              <w:instrText xml:space="preserve"> PAGEREF _Toc532720444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45" w:history="1">
            <w:r w:rsidR="00742CF2" w:rsidRPr="00B54E9C">
              <w:rPr>
                <w:rStyle w:val="Collegamentoipertestuale"/>
                <w:noProof/>
              </w:rPr>
              <w:t>Introduzione</w:t>
            </w:r>
            <w:r w:rsidR="00742CF2">
              <w:rPr>
                <w:noProof/>
                <w:webHidden/>
              </w:rPr>
              <w:tab/>
            </w:r>
            <w:r w:rsidR="00742CF2">
              <w:rPr>
                <w:noProof/>
                <w:webHidden/>
              </w:rPr>
              <w:fldChar w:fldCharType="begin"/>
            </w:r>
            <w:r w:rsidR="00742CF2">
              <w:rPr>
                <w:noProof/>
                <w:webHidden/>
              </w:rPr>
              <w:instrText xml:space="preserve"> PAGEREF _Toc532720445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46" w:history="1">
            <w:r w:rsidR="00742CF2" w:rsidRPr="00B54E9C">
              <w:rPr>
                <w:rStyle w:val="Collegamentoipertestuale"/>
                <w:noProof/>
              </w:rPr>
              <w:t>Letteratura a Supporto</w:t>
            </w:r>
            <w:r w:rsidR="00742CF2">
              <w:rPr>
                <w:noProof/>
                <w:webHidden/>
              </w:rPr>
              <w:tab/>
            </w:r>
            <w:r w:rsidR="00742CF2">
              <w:rPr>
                <w:noProof/>
                <w:webHidden/>
              </w:rPr>
              <w:fldChar w:fldCharType="begin"/>
            </w:r>
            <w:r w:rsidR="00742CF2">
              <w:rPr>
                <w:noProof/>
                <w:webHidden/>
              </w:rPr>
              <w:instrText xml:space="preserve"> PAGEREF _Toc532720446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47" w:history="1">
            <w:r w:rsidR="00742CF2" w:rsidRPr="00B54E9C">
              <w:rPr>
                <w:rStyle w:val="Collegamentoipertestuale"/>
                <w:noProof/>
              </w:rPr>
              <w:t>Strumenti utilizzati e ETL // Cosa?</w:t>
            </w:r>
            <w:r w:rsidR="00742CF2">
              <w:rPr>
                <w:noProof/>
                <w:webHidden/>
              </w:rPr>
              <w:tab/>
            </w:r>
            <w:r w:rsidR="00742CF2">
              <w:rPr>
                <w:noProof/>
                <w:webHidden/>
              </w:rPr>
              <w:fldChar w:fldCharType="begin"/>
            </w:r>
            <w:r w:rsidR="00742CF2">
              <w:rPr>
                <w:noProof/>
                <w:webHidden/>
              </w:rPr>
              <w:instrText xml:space="preserve"> PAGEREF _Toc532720447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603335">
          <w:pPr>
            <w:pStyle w:val="Sommario2"/>
            <w:tabs>
              <w:tab w:val="right" w:leader="dot" w:pos="9628"/>
            </w:tabs>
            <w:rPr>
              <w:rFonts w:eastAsiaTheme="minorEastAsia"/>
              <w:noProof/>
              <w:lang w:eastAsia="it-IT"/>
            </w:rPr>
          </w:pPr>
          <w:hyperlink w:anchor="_Toc532720448" w:history="1">
            <w:r w:rsidR="00742CF2" w:rsidRPr="00B54E9C">
              <w:rPr>
                <w:rStyle w:val="Collegamentoipertestuale"/>
                <w:noProof/>
                <w:lang w:eastAsia="it-IT"/>
              </w:rPr>
              <w:t>Caso di studio</w:t>
            </w:r>
            <w:r w:rsidR="00742CF2">
              <w:rPr>
                <w:noProof/>
                <w:webHidden/>
              </w:rPr>
              <w:tab/>
            </w:r>
            <w:r w:rsidR="00742CF2">
              <w:rPr>
                <w:noProof/>
                <w:webHidden/>
              </w:rPr>
              <w:fldChar w:fldCharType="begin"/>
            </w:r>
            <w:r w:rsidR="00742CF2">
              <w:rPr>
                <w:noProof/>
                <w:webHidden/>
              </w:rPr>
              <w:instrText xml:space="preserve"> PAGEREF _Toc532720448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49" w:history="1">
            <w:r w:rsidR="00742CF2" w:rsidRPr="00B54E9C">
              <w:rPr>
                <w:rStyle w:val="Collegamentoipertestuale"/>
                <w:noProof/>
              </w:rPr>
              <w:t>Procedura ETL</w:t>
            </w:r>
            <w:r w:rsidR="00742CF2">
              <w:rPr>
                <w:noProof/>
                <w:webHidden/>
              </w:rPr>
              <w:tab/>
            </w:r>
            <w:r w:rsidR="00742CF2">
              <w:rPr>
                <w:noProof/>
                <w:webHidden/>
              </w:rPr>
              <w:fldChar w:fldCharType="begin"/>
            </w:r>
            <w:r w:rsidR="00742CF2">
              <w:rPr>
                <w:noProof/>
                <w:webHidden/>
              </w:rPr>
              <w:instrText xml:space="preserve"> PAGEREF _Toc532720449 \h </w:instrText>
            </w:r>
            <w:r w:rsidR="00742CF2">
              <w:rPr>
                <w:noProof/>
                <w:webHidden/>
              </w:rPr>
            </w:r>
            <w:r w:rsidR="00742CF2">
              <w:rPr>
                <w:noProof/>
                <w:webHidden/>
              </w:rPr>
              <w:fldChar w:fldCharType="separate"/>
            </w:r>
            <w:r w:rsidR="00742CF2">
              <w:rPr>
                <w:noProof/>
                <w:webHidden/>
              </w:rPr>
              <w:t>9</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50" w:history="1">
            <w:r w:rsidR="00742CF2" w:rsidRPr="00B54E9C">
              <w:rPr>
                <w:rStyle w:val="Collegamentoipertestuale"/>
                <w:noProof/>
                <w:lang w:eastAsia="it-IT"/>
              </w:rPr>
              <w:t>Conclusioni</w:t>
            </w:r>
            <w:r w:rsidR="00742CF2">
              <w:rPr>
                <w:noProof/>
                <w:webHidden/>
              </w:rPr>
              <w:tab/>
            </w:r>
            <w:r w:rsidR="00742CF2">
              <w:rPr>
                <w:noProof/>
                <w:webHidden/>
              </w:rPr>
              <w:fldChar w:fldCharType="begin"/>
            </w:r>
            <w:r w:rsidR="00742CF2">
              <w:rPr>
                <w:noProof/>
                <w:webHidden/>
              </w:rPr>
              <w:instrText xml:space="preserve"> PAGEREF _Toc532720450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742CF2" w:rsidRDefault="00603335">
          <w:pPr>
            <w:pStyle w:val="Sommario1"/>
            <w:tabs>
              <w:tab w:val="right" w:leader="dot" w:pos="9628"/>
            </w:tabs>
            <w:rPr>
              <w:rFonts w:eastAsiaTheme="minorEastAsia"/>
              <w:noProof/>
              <w:lang w:eastAsia="it-IT"/>
            </w:rPr>
          </w:pPr>
          <w:hyperlink w:anchor="_Toc532720451" w:history="1">
            <w:r w:rsidR="00742CF2" w:rsidRPr="00CA06A0">
              <w:rPr>
                <w:rStyle w:val="Collegamentoipertestuale"/>
                <w:noProof/>
              </w:rPr>
              <w:t>Bibliografia</w:t>
            </w:r>
            <w:r w:rsidR="00742CF2">
              <w:rPr>
                <w:noProof/>
                <w:webHidden/>
              </w:rPr>
              <w:tab/>
            </w:r>
            <w:r w:rsidR="00742CF2">
              <w:rPr>
                <w:noProof/>
                <w:webHidden/>
              </w:rPr>
              <w:fldChar w:fldCharType="begin"/>
            </w:r>
            <w:r w:rsidR="00742CF2">
              <w:rPr>
                <w:noProof/>
                <w:webHidden/>
              </w:rPr>
              <w:instrText xml:space="preserve"> PAGEREF _Toc532720451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technologies and </w:t>
      </w:r>
      <w:proofErr w:type="spellStart"/>
      <w:r w:rsidRPr="001E65E3">
        <w:rPr>
          <w:rFonts w:cstheme="majorHAnsi"/>
          <w:i/>
          <w:szCs w:val="24"/>
        </w:rPr>
        <w:t>programmed</w:t>
      </w:r>
      <w:proofErr w:type="spellEnd"/>
      <w:r w:rsidRPr="001E65E3">
        <w:rPr>
          <w:rFonts w:cstheme="majorHAnsi"/>
          <w:i/>
          <w:szCs w:val="24"/>
        </w:rPr>
        <w:t xml:space="preserve"> products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make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CA06A0">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CA06A0">
        <w:rPr>
          <w:rFonts w:cstheme="majorHAnsi"/>
          <w:szCs w:val="24"/>
        </w:rPr>
        <w:t>C</w:t>
      </w:r>
      <w:r w:rsidR="00792D7B" w:rsidRPr="00CA06A0">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lastRenderedPageBreak/>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lastRenderedPageBreak/>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3272044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bookmarkStart w:id="8" w:name="_GoBack"/>
      <w:bookmarkEnd w:id="8"/>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9" w:name="_Toc532720447"/>
      <w:bookmarkStart w:id="10" w:name="_Toc532720450"/>
      <w:r w:rsidRPr="00057E00">
        <w:t xml:space="preserve">Strumenti utilizzati </w:t>
      </w:r>
      <w:bookmarkEnd w:id="9"/>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981741" w:rsidRPr="00981741" w:rsidRDefault="00981741" w:rsidP="00981741">
      <w:pPr>
        <w:rPr>
          <w:b/>
        </w:rPr>
      </w:pPr>
      <w:proofErr w:type="spellStart"/>
      <w:r w:rsidRPr="00981741">
        <w:rPr>
          <w:b/>
        </w:rPr>
        <w:t>RapidMiner</w:t>
      </w:r>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Pr="00D03E20" w:rsidRDefault="00493AF4" w:rsidP="00981741">
      <w:r>
        <w:t xml:space="preserve">L’unico </w:t>
      </w:r>
      <w:r w:rsidR="00CC14AA">
        <w:t>difetto è che non è possibile esportare i grafici in formati standard.</w:t>
      </w:r>
    </w:p>
    <w:p w:rsidR="00DB3D89" w:rsidRPr="00493AF4" w:rsidRDefault="00DB3D89" w:rsidP="00DB3D89">
      <w:pPr>
        <w:pStyle w:val="Titolo1"/>
        <w:rPr>
          <w:lang w:eastAsia="it-IT"/>
        </w:rPr>
      </w:pPr>
      <w:r w:rsidRPr="00493AF4">
        <w:rPr>
          <w:lang w:eastAsia="it-IT"/>
        </w:rPr>
        <w:t>Conclusioni</w:t>
      </w:r>
      <w:bookmarkEnd w:id="10"/>
    </w:p>
    <w:p w:rsidR="00C5277B" w:rsidRPr="00493AF4" w:rsidRDefault="00C5277B" w:rsidP="00A232C2">
      <w:pPr>
        <w:spacing w:after="0" w:line="240" w:lineRule="auto"/>
        <w:rPr>
          <w:szCs w:val="24"/>
          <w:lang w:eastAsia="it-IT"/>
        </w:rPr>
      </w:pPr>
    </w:p>
    <w:p w:rsidR="00447160" w:rsidRPr="00493AF4"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w:t>
      </w:r>
      <w:r w:rsidRPr="00057E00">
        <w:rPr>
          <w:rFonts w:cs="Times New Roman"/>
          <w:noProof/>
          <w:szCs w:val="24"/>
          <w:lang w:val="en-US"/>
        </w:rPr>
        <w:lastRenderedPageBreak/>
        <w:t>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335" w:rsidRDefault="00603335" w:rsidP="00DB3D89">
      <w:pPr>
        <w:spacing w:after="0" w:line="240" w:lineRule="auto"/>
      </w:pPr>
      <w:r>
        <w:separator/>
      </w:r>
    </w:p>
  </w:endnote>
  <w:endnote w:type="continuationSeparator" w:id="0">
    <w:p w:rsidR="00603335" w:rsidRDefault="00603335"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EndPr/>
    <w:sdtContent>
      <w:p w:rsidR="00DB3D89" w:rsidRDefault="00DB3D89">
        <w:pPr>
          <w:pStyle w:val="Pidipagina"/>
          <w:jc w:val="right"/>
        </w:pPr>
        <w:r>
          <w:fldChar w:fldCharType="begin"/>
        </w:r>
        <w:r>
          <w:instrText>PAGE   \* MERGEFORMAT</w:instrText>
        </w:r>
        <w:r>
          <w:fldChar w:fldCharType="separate"/>
        </w:r>
        <w:r>
          <w:t>2</w:t>
        </w:r>
        <w:r>
          <w:fldChar w:fldCharType="end"/>
        </w:r>
      </w:p>
    </w:sdtContent>
  </w:sdt>
  <w:p w:rsidR="00DB3D89" w:rsidRDefault="00DB3D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335" w:rsidRDefault="00603335" w:rsidP="00DB3D89">
      <w:pPr>
        <w:spacing w:after="0" w:line="240" w:lineRule="auto"/>
      </w:pPr>
      <w:r>
        <w:separator/>
      </w:r>
    </w:p>
  </w:footnote>
  <w:footnote w:type="continuationSeparator" w:id="0">
    <w:p w:rsidR="00603335" w:rsidRDefault="00603335" w:rsidP="00DB3D89">
      <w:pPr>
        <w:spacing w:after="0" w:line="240" w:lineRule="auto"/>
      </w:pPr>
      <w:r>
        <w:continuationSeparator/>
      </w:r>
    </w:p>
  </w:footnote>
  <w:footnote w:id="1">
    <w:p w:rsidR="004B5AFA" w:rsidRDefault="004B5AFA">
      <w:pPr>
        <w:pStyle w:val="Testonotaapidipagina"/>
      </w:pPr>
      <w:r>
        <w:rPr>
          <w:rStyle w:val="Rimandonotaapidipagina"/>
        </w:rPr>
        <w:footnoteRef/>
      </w:r>
      <w:r>
        <w:t xml:space="preserve"> </w:t>
      </w:r>
      <w:r w:rsidRPr="004B5AFA">
        <w:t>https://www.jaspersoft.com/it</w:t>
      </w:r>
    </w:p>
  </w:footnote>
  <w:footnote w:id="2">
    <w:p w:rsidR="004B5AFA" w:rsidRDefault="004B5AFA">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1"/>
  </w:num>
  <w:num w:numId="2">
    <w:abstractNumId w:val="12"/>
  </w:num>
  <w:num w:numId="3">
    <w:abstractNumId w:val="1"/>
  </w:num>
  <w:num w:numId="4">
    <w:abstractNumId w:val="5"/>
  </w:num>
  <w:num w:numId="5">
    <w:abstractNumId w:val="2"/>
  </w:num>
  <w:num w:numId="6">
    <w:abstractNumId w:val="0"/>
  </w:num>
  <w:num w:numId="7">
    <w:abstractNumId w:val="8"/>
  </w:num>
  <w:num w:numId="8">
    <w:abstractNumId w:val="4"/>
  </w:num>
  <w:num w:numId="9">
    <w:abstractNumId w:val="13"/>
  </w:num>
  <w:num w:numId="10">
    <w:abstractNumId w:val="3"/>
  </w:num>
  <w:num w:numId="11">
    <w:abstractNumId w:val="9"/>
  </w:num>
  <w:num w:numId="12">
    <w:abstractNumId w:val="1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7E00"/>
    <w:rsid w:val="00085D3C"/>
    <w:rsid w:val="000B3466"/>
    <w:rsid w:val="000C0EFD"/>
    <w:rsid w:val="0011275B"/>
    <w:rsid w:val="001318AF"/>
    <w:rsid w:val="001344E9"/>
    <w:rsid w:val="00165508"/>
    <w:rsid w:val="001B172E"/>
    <w:rsid w:val="001E65E3"/>
    <w:rsid w:val="001F4598"/>
    <w:rsid w:val="001F4D49"/>
    <w:rsid w:val="00206EDA"/>
    <w:rsid w:val="00222E72"/>
    <w:rsid w:val="00243686"/>
    <w:rsid w:val="00262C06"/>
    <w:rsid w:val="002654B7"/>
    <w:rsid w:val="00277604"/>
    <w:rsid w:val="002823C7"/>
    <w:rsid w:val="002953CC"/>
    <w:rsid w:val="002A229D"/>
    <w:rsid w:val="0030495B"/>
    <w:rsid w:val="00337F6D"/>
    <w:rsid w:val="00347141"/>
    <w:rsid w:val="003538D2"/>
    <w:rsid w:val="00353B67"/>
    <w:rsid w:val="00365A86"/>
    <w:rsid w:val="00382BD4"/>
    <w:rsid w:val="003856BE"/>
    <w:rsid w:val="00385BEB"/>
    <w:rsid w:val="003872C0"/>
    <w:rsid w:val="003E699E"/>
    <w:rsid w:val="003F308B"/>
    <w:rsid w:val="00412F66"/>
    <w:rsid w:val="00422901"/>
    <w:rsid w:val="004264BE"/>
    <w:rsid w:val="00430718"/>
    <w:rsid w:val="004374EB"/>
    <w:rsid w:val="00446BB9"/>
    <w:rsid w:val="00447160"/>
    <w:rsid w:val="00493AF4"/>
    <w:rsid w:val="00496DF9"/>
    <w:rsid w:val="004B041D"/>
    <w:rsid w:val="004B5AFA"/>
    <w:rsid w:val="004C0389"/>
    <w:rsid w:val="004E2DE4"/>
    <w:rsid w:val="004E4643"/>
    <w:rsid w:val="004E5B69"/>
    <w:rsid w:val="00542F1F"/>
    <w:rsid w:val="0055283D"/>
    <w:rsid w:val="00571189"/>
    <w:rsid w:val="005846C6"/>
    <w:rsid w:val="005A3BE5"/>
    <w:rsid w:val="005B3C54"/>
    <w:rsid w:val="00603335"/>
    <w:rsid w:val="006228B4"/>
    <w:rsid w:val="00650894"/>
    <w:rsid w:val="006817E4"/>
    <w:rsid w:val="006B16F7"/>
    <w:rsid w:val="006B4559"/>
    <w:rsid w:val="006C3419"/>
    <w:rsid w:val="006D2B19"/>
    <w:rsid w:val="00721163"/>
    <w:rsid w:val="0073505A"/>
    <w:rsid w:val="00737767"/>
    <w:rsid w:val="00742CF2"/>
    <w:rsid w:val="00775B9E"/>
    <w:rsid w:val="00792D7B"/>
    <w:rsid w:val="0079625A"/>
    <w:rsid w:val="007D2D6D"/>
    <w:rsid w:val="00800358"/>
    <w:rsid w:val="0081177C"/>
    <w:rsid w:val="00820CE1"/>
    <w:rsid w:val="008231C5"/>
    <w:rsid w:val="008240DB"/>
    <w:rsid w:val="008270AA"/>
    <w:rsid w:val="0084372A"/>
    <w:rsid w:val="00850316"/>
    <w:rsid w:val="008568F2"/>
    <w:rsid w:val="00880BC9"/>
    <w:rsid w:val="00880E45"/>
    <w:rsid w:val="00884EF7"/>
    <w:rsid w:val="00892DC8"/>
    <w:rsid w:val="00893278"/>
    <w:rsid w:val="008945C8"/>
    <w:rsid w:val="008A012D"/>
    <w:rsid w:val="008B4624"/>
    <w:rsid w:val="009702C2"/>
    <w:rsid w:val="00981741"/>
    <w:rsid w:val="009A5BE6"/>
    <w:rsid w:val="009D133A"/>
    <w:rsid w:val="009D15E3"/>
    <w:rsid w:val="009E7AE6"/>
    <w:rsid w:val="009F6EE3"/>
    <w:rsid w:val="00A0278C"/>
    <w:rsid w:val="00A232C2"/>
    <w:rsid w:val="00A26F43"/>
    <w:rsid w:val="00A37AED"/>
    <w:rsid w:val="00A752D5"/>
    <w:rsid w:val="00AB13FD"/>
    <w:rsid w:val="00AC5F24"/>
    <w:rsid w:val="00AF4F4B"/>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D03E2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99BD"/>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76AD5-B8F8-4795-970B-E75E01C5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15</Pages>
  <Words>9432</Words>
  <Characters>53767</Characters>
  <Application>Microsoft Office Word</Application>
  <DocSecurity>0</DocSecurity>
  <Lines>448</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63</cp:revision>
  <dcterms:created xsi:type="dcterms:W3CDTF">2018-12-01T20:05:00Z</dcterms:created>
  <dcterms:modified xsi:type="dcterms:W3CDTF">2018-12-16T19:07:00Z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