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C1F8" w14:textId="3FBF5382" w:rsidR="00397FC4" w:rsidRDefault="00397FC4" w:rsidP="00397FC4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t>Y：</w:t>
      </w:r>
      <w:r w:rsidR="00E32682">
        <w:rPr>
          <w:rFonts w:ascii="微軟正黑體" w:eastAsia="微軟正黑體" w:hAnsi="微軟正黑體" w:cs="Times New Roman" w:hint="eastAsia"/>
        </w:rPr>
        <w:t>預期</w:t>
      </w:r>
      <w:r w:rsidRPr="00E32682">
        <w:rPr>
          <w:rFonts w:ascii="微軟正黑體" w:eastAsia="微軟正黑體" w:hAnsi="微軟正黑體" w:cs="Times New Roman"/>
          <w:b/>
          <w:bCs/>
          <w:color w:val="FF0000"/>
        </w:rPr>
        <w:t>日</w:t>
      </w:r>
      <w:r w:rsidRPr="00397FC4">
        <w:rPr>
          <w:rFonts w:ascii="微軟正黑體" w:eastAsia="微軟正黑體" w:hAnsi="微軟正黑體" w:cs="Times New Roman"/>
        </w:rPr>
        <w:t>報酬率</w:t>
      </w:r>
    </w:p>
    <w:p w14:paraId="2040F609" w14:textId="604518A8" w:rsidR="00397FC4" w:rsidRDefault="00397FC4" w:rsidP="00397FC4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</w:t>
      </w:r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使用一點</w:t>
      </w:r>
      <w:r>
        <w:rPr>
          <w:rFonts w:ascii="微軟正黑體" w:eastAsia="微軟正黑體" w:hAnsi="微軟正黑體" w:cs="Times New Roman" w:hint="eastAsia"/>
        </w:rPr>
        <w:t>比較斜率與CDF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32682" w14:paraId="192931B6" w14:textId="77777777" w:rsidTr="00E32682">
        <w:tc>
          <w:tcPr>
            <w:tcW w:w="10343" w:type="dxa"/>
          </w:tcPr>
          <w:p w14:paraId="5677B3A8" w14:textId="77777777" w:rsidR="00E32682" w:rsidRDefault="00E32682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56A28F7A" w14:textId="6A4519DE" w:rsidR="00E32682" w:rsidRDefault="00E32682" w:rsidP="00397FC4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E32682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77FE4F22" wp14:editId="199C47F4">
                  <wp:extent cx="6406796" cy="5031288"/>
                  <wp:effectExtent l="0" t="0" r="0" b="0"/>
                  <wp:docPr id="1147610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6107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429" cy="504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3B5F" w14:textId="77777777" w:rsidR="00E32682" w:rsidRDefault="00E32682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7880CADF" w14:textId="77777777" w:rsidR="00E32682" w:rsidRDefault="00E32682" w:rsidP="00397FC4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Skewness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  <w:p w14:paraId="547417B8" w14:textId="64317CA8" w:rsidR="00E32682" w:rsidRDefault="00E32682" w:rsidP="00E3268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Median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5</w:t>
            </w:r>
            <w:r>
              <w:rPr>
                <w:rFonts w:ascii="微軟正黑體" w:eastAsia="微軟正黑體" w:hAnsi="微軟正黑體" w:cs="Times New Roman" w:hint="eastAsia"/>
              </w:rPr>
              <w:t>% 顯著水準下顯著</w:t>
            </w:r>
          </w:p>
          <w:p w14:paraId="1C483515" w14:textId="46FE4944" w:rsidR="00E32682" w:rsidRDefault="00E32682" w:rsidP="00E3268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前4期報酬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</w:tc>
      </w:tr>
    </w:tbl>
    <w:p w14:paraId="4DCFF9D8" w14:textId="3E260FAC" w:rsidR="00461E0D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55341F89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56060895" w14:textId="77777777" w:rsidR="00E32682" w:rsidRDefault="00E32682" w:rsidP="00E32682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</w:t>
      </w:r>
      <w:r>
        <w:rPr>
          <w:rFonts w:ascii="微軟正黑體" w:eastAsia="微軟正黑體" w:hAnsi="微軟正黑體" w:cs="Times New Roman" w:hint="eastAsia"/>
        </w:rPr>
        <w:t>預期</w:t>
      </w:r>
      <w:r w:rsidRPr="00E32682">
        <w:rPr>
          <w:rFonts w:ascii="微軟正黑體" w:eastAsia="微軟正黑體" w:hAnsi="微軟正黑體" w:cs="Times New Roman"/>
          <w:b/>
          <w:bCs/>
          <w:color w:val="FF0000"/>
        </w:rPr>
        <w:t>日</w:t>
      </w:r>
      <w:r w:rsidRPr="00397FC4">
        <w:rPr>
          <w:rFonts w:ascii="微軟正黑體" w:eastAsia="微軟正黑體" w:hAnsi="微軟正黑體" w:cs="Times New Roman"/>
        </w:rPr>
        <w:t>報酬率</w:t>
      </w:r>
    </w:p>
    <w:p w14:paraId="40842C86" w14:textId="029D91C9" w:rsidR="00E32682" w:rsidRDefault="00E32682" w:rsidP="00E32682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</w:t>
      </w:r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使用</w:t>
      </w:r>
      <w:r>
        <w:rPr>
          <w:rFonts w:ascii="微軟正黑體" w:eastAsia="微軟正黑體" w:hAnsi="微軟正黑體" w:cs="Times New Roman" w:hint="eastAsia"/>
          <w:b/>
          <w:bCs/>
          <w:color w:val="FF0000"/>
        </w:rPr>
        <w:t>兩點</w:t>
      </w:r>
      <w:r>
        <w:rPr>
          <w:rFonts w:ascii="微軟正黑體" w:eastAsia="微軟正黑體" w:hAnsi="微軟正黑體" w:cs="Times New Roman" w:hint="eastAsia"/>
        </w:rPr>
        <w:t>比較</w:t>
      </w:r>
      <w:r>
        <w:rPr>
          <w:rFonts w:ascii="微軟正黑體" w:eastAsia="微軟正黑體" w:hAnsi="微軟正黑體" w:cs="Times New Roman" w:hint="eastAsia"/>
        </w:rPr>
        <w:t>P</w:t>
      </w:r>
      <w:r>
        <w:rPr>
          <w:rFonts w:ascii="微軟正黑體" w:eastAsia="微軟正黑體" w:hAnsi="微軟正黑體" w:cs="Times New Roman" w:hint="eastAsia"/>
        </w:rPr>
        <w:t>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32682" w14:paraId="5CFBD49A" w14:textId="77777777" w:rsidTr="00862DB2">
        <w:tc>
          <w:tcPr>
            <w:tcW w:w="10343" w:type="dxa"/>
          </w:tcPr>
          <w:p w14:paraId="29ACD5D7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669465AE" w14:textId="007577CC" w:rsidR="00E32682" w:rsidRDefault="00E32682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E32682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35818049" wp14:editId="11559902">
                  <wp:extent cx="6396687" cy="5006236"/>
                  <wp:effectExtent l="0" t="0" r="4445" b="4445"/>
                  <wp:docPr id="46605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054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14" cy="501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DB679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371E403C" w14:textId="153832C3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Skewness</w:t>
            </w:r>
            <w:r>
              <w:rPr>
                <w:rFonts w:ascii="微軟正黑體" w:eastAsia="微軟正黑體" w:hAnsi="微軟正黑體" w:cs="Times New Roman" w:hint="eastAsia"/>
              </w:rPr>
              <w:t>不</w:t>
            </w:r>
            <w:r>
              <w:rPr>
                <w:rFonts w:ascii="微軟正黑體" w:eastAsia="微軟正黑體" w:hAnsi="微軟正黑體" w:cs="Times New Roman" w:hint="eastAsia"/>
              </w:rPr>
              <w:t>顯著</w:t>
            </w:r>
          </w:p>
          <w:p w14:paraId="1E931670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Median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5% 顯著水準下顯著</w:t>
            </w:r>
          </w:p>
          <w:p w14:paraId="257C1D93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前4期報酬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  <w:p w14:paraId="553A92C2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0BD09BF6" w14:textId="07A66D55" w:rsidR="00E32682" w:rsidRDefault="00E32682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解釋：一個點的方式算出來的</w:t>
            </w:r>
            <w:r w:rsidRPr="00E32682">
              <w:rPr>
                <w:rFonts w:ascii="微軟正黑體" w:eastAsia="微軟正黑體" w:hAnsi="微軟正黑體" w:cs="Times New Roman" w:hint="eastAsia"/>
                <w:b/>
                <w:bCs/>
              </w:rPr>
              <w:t>Skewness</w:t>
            </w:r>
            <w:r>
              <w:rPr>
                <w:rFonts w:ascii="微軟正黑體" w:eastAsia="微軟正黑體" w:hAnsi="微軟正黑體" w:cs="Times New Roman" w:hint="eastAsia"/>
              </w:rPr>
              <w:t>較有解釋力</w:t>
            </w:r>
          </w:p>
        </w:tc>
      </w:tr>
    </w:tbl>
    <w:p w14:paraId="165E63C4" w14:textId="0F5362F2" w:rsidR="00461E0D" w:rsidRPr="00E32682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0D079D88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50DD6E71" w14:textId="71F8705F" w:rsidR="00E32682" w:rsidRDefault="00E32682" w:rsidP="00E32682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</w:t>
      </w:r>
      <w:r>
        <w:rPr>
          <w:rFonts w:ascii="微軟正黑體" w:eastAsia="微軟正黑體" w:hAnsi="微軟正黑體" w:cs="Times New Roman" w:hint="eastAsia"/>
        </w:rPr>
        <w:t>預期</w:t>
      </w:r>
      <w:proofErr w:type="gramStart"/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週</w:t>
      </w:r>
      <w:proofErr w:type="gramEnd"/>
      <w:r w:rsidRPr="00397FC4">
        <w:rPr>
          <w:rFonts w:ascii="微軟正黑體" w:eastAsia="微軟正黑體" w:hAnsi="微軟正黑體" w:cs="Times New Roman"/>
        </w:rPr>
        <w:t>報酬率</w:t>
      </w:r>
    </w:p>
    <w:p w14:paraId="59E2BBBE" w14:textId="2D01B594" w:rsidR="00E32682" w:rsidRDefault="00E32682" w:rsidP="00E32682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</w:t>
      </w:r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使用一點</w:t>
      </w:r>
      <w:r>
        <w:rPr>
          <w:rFonts w:ascii="微軟正黑體" w:eastAsia="微軟正黑體" w:hAnsi="微軟正黑體" w:cs="Times New Roman" w:hint="eastAsia"/>
        </w:rPr>
        <w:t>比較斜率與CDF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32682" w14:paraId="73E95E09" w14:textId="77777777" w:rsidTr="00862DB2">
        <w:tc>
          <w:tcPr>
            <w:tcW w:w="10343" w:type="dxa"/>
          </w:tcPr>
          <w:p w14:paraId="6A4947EE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1859627C" w14:textId="0251E298" w:rsidR="00E32682" w:rsidRDefault="00C2079D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C2079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1A6EA209" wp14:editId="4CE8C44F">
                  <wp:extent cx="6404734" cy="5022937"/>
                  <wp:effectExtent l="0" t="0" r="0" b="6350"/>
                  <wp:docPr id="137662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6286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65" cy="50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3ED8A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555C8D57" w14:textId="4B84A4DE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Kurtosis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  <w:p w14:paraId="5AA72403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Median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5% 顯著水準下顯著</w:t>
            </w:r>
          </w:p>
          <w:p w14:paraId="591D6606" w14:textId="0D4CB3AE" w:rsidR="00E32682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Fear and Greed Index</w:t>
            </w:r>
            <w:r w:rsidR="00E32682"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 w:rsidR="00E32682"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  <w:p w14:paraId="57DFD356" w14:textId="77777777" w:rsidR="00E32682" w:rsidRDefault="00E32682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40BB7E4E" w14:textId="63CA1FD8" w:rsidR="00E32682" w:rsidRDefault="00E32682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解釋：</w:t>
            </w:r>
            <w:r w:rsidR="00C2079D">
              <w:rPr>
                <w:rFonts w:ascii="微軟正黑體" w:eastAsia="微軟正黑體" w:hAnsi="微軟正黑體" w:cs="Times New Roman" w:hint="eastAsia"/>
              </w:rPr>
              <w:t>在</w:t>
            </w:r>
            <w:proofErr w:type="gramStart"/>
            <w:r w:rsidR="00C2079D">
              <w:rPr>
                <w:rFonts w:ascii="微軟正黑體" w:eastAsia="微軟正黑體" w:hAnsi="微軟正黑體" w:cs="Times New Roman" w:hint="eastAsia"/>
              </w:rPr>
              <w:t>週</w:t>
            </w:r>
            <w:proofErr w:type="gramEnd"/>
            <w:r w:rsidR="00C2079D">
              <w:rPr>
                <w:rFonts w:ascii="微軟正黑體" w:eastAsia="微軟正黑體" w:hAnsi="微軟正黑體" w:cs="Times New Roman" w:hint="eastAsia"/>
              </w:rPr>
              <w:t>報酬當Y時居然是Kurtosis才會顯著，Interesting！</w:t>
            </w:r>
          </w:p>
        </w:tc>
      </w:tr>
    </w:tbl>
    <w:p w14:paraId="27D0C647" w14:textId="0991FCC3" w:rsidR="00461E0D" w:rsidRPr="00E32682" w:rsidRDefault="00461E0D" w:rsidP="00397FC4">
      <w:pPr>
        <w:snapToGrid w:val="0"/>
        <w:rPr>
          <w:rFonts w:ascii="微軟正黑體" w:eastAsia="微軟正黑體" w:hAnsi="微軟正黑體" w:cs="Times New Roman"/>
        </w:rPr>
      </w:pPr>
    </w:p>
    <w:p w14:paraId="409A85A8" w14:textId="77777777" w:rsidR="00461E0D" w:rsidRDefault="00461E0D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14:paraId="0933C3DB" w14:textId="77777777" w:rsidR="00C2079D" w:rsidRDefault="00C2079D" w:rsidP="00C2079D">
      <w:pPr>
        <w:snapToGrid w:val="0"/>
        <w:rPr>
          <w:rFonts w:ascii="微軟正黑體" w:eastAsia="微軟正黑體" w:hAnsi="微軟正黑體" w:cs="Times New Roman"/>
        </w:rPr>
      </w:pPr>
      <w:r w:rsidRPr="00397FC4">
        <w:rPr>
          <w:rFonts w:ascii="微軟正黑體" w:eastAsia="微軟正黑體" w:hAnsi="微軟正黑體" w:cs="Times New Roman"/>
        </w:rPr>
        <w:lastRenderedPageBreak/>
        <w:t>Y：</w:t>
      </w:r>
      <w:r>
        <w:rPr>
          <w:rFonts w:ascii="微軟正黑體" w:eastAsia="微軟正黑體" w:hAnsi="微軟正黑體" w:cs="Times New Roman" w:hint="eastAsia"/>
        </w:rPr>
        <w:t>預期</w:t>
      </w:r>
      <w:proofErr w:type="gramStart"/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週</w:t>
      </w:r>
      <w:proofErr w:type="gramEnd"/>
      <w:r w:rsidRPr="00397FC4">
        <w:rPr>
          <w:rFonts w:ascii="微軟正黑體" w:eastAsia="微軟正黑體" w:hAnsi="微軟正黑體" w:cs="Times New Roman"/>
        </w:rPr>
        <w:t>報酬率</w:t>
      </w:r>
    </w:p>
    <w:p w14:paraId="21ED5C56" w14:textId="76E44467" w:rsidR="00C2079D" w:rsidRDefault="00C2079D" w:rsidP="00C2079D">
      <w:pPr>
        <w:snapToGrid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方法：</w:t>
      </w:r>
      <w:r w:rsidRPr="00E32682">
        <w:rPr>
          <w:rFonts w:ascii="微軟正黑體" w:eastAsia="微軟正黑體" w:hAnsi="微軟正黑體" w:cs="Times New Roman" w:hint="eastAsia"/>
          <w:b/>
          <w:bCs/>
          <w:color w:val="FF0000"/>
        </w:rPr>
        <w:t>使用</w:t>
      </w:r>
      <w:r>
        <w:rPr>
          <w:rFonts w:ascii="微軟正黑體" w:eastAsia="微軟正黑體" w:hAnsi="微軟正黑體" w:cs="Times New Roman" w:hint="eastAsia"/>
          <w:b/>
          <w:bCs/>
          <w:color w:val="FF0000"/>
        </w:rPr>
        <w:t>兩點</w:t>
      </w:r>
      <w:r>
        <w:rPr>
          <w:rFonts w:ascii="微軟正黑體" w:eastAsia="微軟正黑體" w:hAnsi="微軟正黑體" w:cs="Times New Roman" w:hint="eastAsia"/>
        </w:rPr>
        <w:t>比較PDF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2079D" w14:paraId="393BCEF9" w14:textId="77777777" w:rsidTr="00862DB2">
        <w:tc>
          <w:tcPr>
            <w:tcW w:w="10343" w:type="dxa"/>
          </w:tcPr>
          <w:p w14:paraId="29FC166D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迴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歸模型結果：</w:t>
            </w:r>
          </w:p>
          <w:p w14:paraId="46F51C81" w14:textId="632AF532" w:rsidR="00C2079D" w:rsidRDefault="00C2079D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 w:rsidRPr="00C2079D">
              <w:rPr>
                <w:rFonts w:ascii="微軟正黑體" w:eastAsia="微軟正黑體" w:hAnsi="微軟正黑體" w:cs="Times New Roman"/>
              </w:rPr>
              <w:drawing>
                <wp:inline distT="0" distB="0" distL="0" distR="0" wp14:anchorId="020D6DFD" wp14:editId="1CBB6A8B">
                  <wp:extent cx="6418780" cy="5002061"/>
                  <wp:effectExtent l="0" t="0" r="1270" b="8255"/>
                  <wp:docPr id="14863870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3870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945" cy="500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35096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4B476E85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Kurtosis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10% 顯著水準下顯著</w:t>
            </w:r>
          </w:p>
          <w:p w14:paraId="0E67D0F7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Median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5% 顯著水準下顯著</w:t>
            </w:r>
          </w:p>
          <w:p w14:paraId="3FC855BE" w14:textId="166CC7CF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bCs/>
              </w:rPr>
              <w:t>Fear and Greed Index</w:t>
            </w:r>
            <w:r w:rsidRPr="00E32682">
              <w:rPr>
                <w:rFonts w:ascii="微軟正黑體" w:eastAsia="微軟正黑體" w:hAnsi="微軟正黑體" w:cs="Times New Roman" w:hint="eastAsia"/>
              </w:rPr>
              <w:t>於</w:t>
            </w:r>
            <w:r>
              <w:rPr>
                <w:rFonts w:ascii="微軟正黑體" w:eastAsia="微軟正黑體" w:hAnsi="微軟正黑體" w:cs="Times New Roman" w:hint="eastAsia"/>
              </w:rPr>
              <w:t>5</w:t>
            </w:r>
            <w:r>
              <w:rPr>
                <w:rFonts w:ascii="微軟正黑體" w:eastAsia="微軟正黑體" w:hAnsi="微軟正黑體" w:cs="Times New Roman" w:hint="eastAsia"/>
              </w:rPr>
              <w:t>% 顯著水準下顯著</w:t>
            </w:r>
          </w:p>
          <w:p w14:paraId="038E34D7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/>
              </w:rPr>
            </w:pPr>
          </w:p>
          <w:p w14:paraId="018DD548" w14:textId="77777777" w:rsidR="00C2079D" w:rsidRDefault="00C2079D" w:rsidP="00862DB2">
            <w:pPr>
              <w:snapToGrid w:val="0"/>
              <w:rPr>
                <w:rFonts w:ascii="微軟正黑體" w:eastAsia="微軟正黑體" w:hAnsi="微軟正黑體" w:cs="Times New Roman" w:hint="eastAsia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解釋：在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週</w:t>
            </w:r>
            <w:proofErr w:type="gramEnd"/>
            <w:r>
              <w:rPr>
                <w:rFonts w:ascii="微軟正黑體" w:eastAsia="微軟正黑體" w:hAnsi="微軟正黑體" w:cs="Times New Roman" w:hint="eastAsia"/>
              </w:rPr>
              <w:t>報酬當Y時居然是Kurtosis才會顯著，Interesting！</w:t>
            </w:r>
          </w:p>
        </w:tc>
      </w:tr>
    </w:tbl>
    <w:p w14:paraId="021F65D3" w14:textId="77777777" w:rsidR="00397FC4" w:rsidRPr="00461E0D" w:rsidRDefault="00397FC4" w:rsidP="00397FC4">
      <w:pPr>
        <w:snapToGrid w:val="0"/>
        <w:rPr>
          <w:rFonts w:ascii="微軟正黑體" w:eastAsia="微軟正黑體" w:hAnsi="微軟正黑體" w:cs="Times New Roman"/>
        </w:rPr>
      </w:pPr>
    </w:p>
    <w:sectPr w:rsidR="00397FC4" w:rsidRPr="00461E0D" w:rsidSect="00397F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C4"/>
    <w:rsid w:val="00397FC4"/>
    <w:rsid w:val="00461E0D"/>
    <w:rsid w:val="009B058C"/>
    <w:rsid w:val="00AF440B"/>
    <w:rsid w:val="00C2079D"/>
    <w:rsid w:val="00E3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FC33"/>
  <w15:chartTrackingRefBased/>
  <w15:docId w15:val="{666E87AD-41F5-46BE-A86D-AE4EBD97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7F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F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F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F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F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F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F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7F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7F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7F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7F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7F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7F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7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7F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F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7F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7F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F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F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7F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7F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9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士誠 王</dc:creator>
  <cp:keywords/>
  <dc:description/>
  <cp:lastModifiedBy>M11218014</cp:lastModifiedBy>
  <cp:revision>2</cp:revision>
  <dcterms:created xsi:type="dcterms:W3CDTF">2025-01-02T02:38:00Z</dcterms:created>
  <dcterms:modified xsi:type="dcterms:W3CDTF">2025-01-13T08:55:00Z</dcterms:modified>
</cp:coreProperties>
</file>