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0B4F8" w14:textId="77777777" w:rsidR="00875BFD" w:rsidRDefault="00875BFD" w:rsidP="0011729B">
      <w:pPr>
        <w:spacing w:before="180" w:after="180" w:line="240" w:lineRule="auto"/>
        <w:ind w:firstLine="961"/>
        <w:jc w:val="center"/>
        <w:rPr>
          <w:b/>
          <w:sz w:val="48"/>
        </w:rPr>
      </w:pPr>
    </w:p>
    <w:p w14:paraId="68A7585E" w14:textId="5C74BE2D" w:rsidR="00E923AC" w:rsidRDefault="00A00028" w:rsidP="0011729B">
      <w:pPr>
        <w:spacing w:before="180" w:after="180" w:line="240" w:lineRule="auto"/>
        <w:ind w:firstLine="480"/>
        <w:jc w:val="center"/>
        <w:rPr>
          <w:b/>
          <w:sz w:val="48"/>
        </w:rPr>
      </w:pPr>
      <w:r>
        <w:rPr>
          <w:noProof/>
        </w:rPr>
        <w:drawing>
          <wp:anchor distT="0" distB="0" distL="114300" distR="114300" simplePos="0" relativeHeight="251655167" behindDoc="0" locked="0" layoutInCell="1" allowOverlap="1" wp14:anchorId="348D18FB" wp14:editId="67D6B93A">
            <wp:simplePos x="0" y="0"/>
            <wp:positionH relativeFrom="column">
              <wp:posOffset>222377</wp:posOffset>
            </wp:positionH>
            <wp:positionV relativeFrom="paragraph">
              <wp:posOffset>353258</wp:posOffset>
            </wp:positionV>
            <wp:extent cx="854515" cy="877824"/>
            <wp:effectExtent l="0" t="0" r="3175" b="0"/>
            <wp:wrapNone/>
            <wp:docPr id="1228017000" name="圖片 1" descr="外部連結- 國立臺灣科技大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外部連結- 國立臺灣科技大學"/>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4515" cy="877824"/>
                    </a:xfrm>
                    <a:prstGeom prst="rect">
                      <a:avLst/>
                    </a:prstGeom>
                    <a:noFill/>
                    <a:ln>
                      <a:noFill/>
                    </a:ln>
                  </pic:spPr>
                </pic:pic>
              </a:graphicData>
            </a:graphic>
            <wp14:sizeRelH relativeFrom="page">
              <wp14:pctWidth>0</wp14:pctWidth>
            </wp14:sizeRelH>
            <wp14:sizeRelV relativeFrom="page">
              <wp14:pctHeight>0</wp14:pctHeight>
            </wp14:sizeRelV>
          </wp:anchor>
        </w:drawing>
      </w:r>
      <w:r w:rsidR="00E923AC">
        <w:rPr>
          <w:b/>
          <w:sz w:val="48"/>
        </w:rPr>
        <w:t xml:space="preserve"> </w:t>
      </w:r>
      <w:r>
        <w:rPr>
          <w:rFonts w:hint="eastAsia"/>
          <w:b/>
          <w:sz w:val="48"/>
        </w:rPr>
        <w:t xml:space="preserve"> </w:t>
      </w:r>
      <w:r w:rsidR="00E923AC">
        <w:rPr>
          <w:rFonts w:hint="eastAsia"/>
          <w:b/>
          <w:sz w:val="48"/>
        </w:rPr>
        <w:t>國立</w:t>
      </w:r>
      <w:r>
        <w:rPr>
          <w:rFonts w:hint="eastAsia"/>
          <w:b/>
          <w:sz w:val="48"/>
        </w:rPr>
        <w:t>臺灣</w:t>
      </w:r>
      <w:r w:rsidR="00E923AC">
        <w:rPr>
          <w:rFonts w:hint="eastAsia"/>
          <w:b/>
          <w:sz w:val="48"/>
        </w:rPr>
        <w:t>科技大學</w:t>
      </w:r>
    </w:p>
    <w:p w14:paraId="76F601C2" w14:textId="3F025441" w:rsidR="00E923AC" w:rsidRDefault="00E923AC" w:rsidP="0011729B">
      <w:pPr>
        <w:spacing w:before="180" w:after="180" w:line="240" w:lineRule="auto"/>
        <w:ind w:firstLine="961"/>
        <w:jc w:val="center"/>
        <w:rPr>
          <w:b/>
          <w:sz w:val="48"/>
        </w:rPr>
      </w:pPr>
      <w:r>
        <w:rPr>
          <w:b/>
          <w:sz w:val="48"/>
        </w:rPr>
        <w:t xml:space="preserve"> </w:t>
      </w:r>
      <w:r w:rsidR="00A00028">
        <w:rPr>
          <w:rFonts w:hint="eastAsia"/>
          <w:b/>
          <w:sz w:val="48"/>
        </w:rPr>
        <w:t xml:space="preserve"> </w:t>
      </w:r>
      <w:r>
        <w:rPr>
          <w:rFonts w:hint="eastAsia"/>
          <w:b/>
          <w:sz w:val="48"/>
        </w:rPr>
        <w:t>財務金融研究所碩士班</w:t>
      </w:r>
    </w:p>
    <w:p w14:paraId="56AE7A18" w14:textId="4821535D" w:rsidR="00E923AC" w:rsidRDefault="00A00028" w:rsidP="00A00028">
      <w:pPr>
        <w:spacing w:before="180" w:after="180" w:line="240" w:lineRule="auto"/>
        <w:ind w:firstLine="1281"/>
        <w:rPr>
          <w:b/>
          <w:sz w:val="64"/>
        </w:rPr>
      </w:pPr>
      <w:r>
        <w:rPr>
          <w:rFonts w:hint="eastAsia"/>
          <w:b/>
          <w:sz w:val="64"/>
        </w:rPr>
        <w:t xml:space="preserve">  </w:t>
      </w:r>
      <w:r w:rsidR="001B4A7C">
        <w:rPr>
          <w:rFonts w:hint="eastAsia"/>
          <w:b/>
          <w:sz w:val="64"/>
        </w:rPr>
        <w:t xml:space="preserve">   </w:t>
      </w:r>
      <w:r w:rsidR="001B4A7C">
        <w:rPr>
          <w:rFonts w:hint="eastAsia"/>
          <w:b/>
          <w:sz w:val="64"/>
        </w:rPr>
        <w:t>碩士學位論文</w:t>
      </w:r>
    </w:p>
    <w:p w14:paraId="7E8EC60E" w14:textId="074F1065" w:rsidR="00E923AC" w:rsidRDefault="00E923AC" w:rsidP="00E923AC">
      <w:pPr>
        <w:spacing w:before="180" w:after="180"/>
        <w:ind w:left="5761" w:firstLine="480"/>
        <w:jc w:val="right"/>
        <w:rPr>
          <w:b/>
        </w:rPr>
      </w:pPr>
      <w:r>
        <w:rPr>
          <w:rFonts w:hint="eastAsia"/>
          <w:b/>
        </w:rPr>
        <w:t>學號：</w:t>
      </w:r>
      <w:r>
        <w:rPr>
          <w:b/>
        </w:rPr>
        <w:t>M</w:t>
      </w:r>
      <w:r>
        <w:rPr>
          <w:rFonts w:hint="eastAsia"/>
          <w:b/>
        </w:rPr>
        <w:t>11218014</w:t>
      </w:r>
    </w:p>
    <w:p w14:paraId="4650F109" w14:textId="12702AD6" w:rsidR="00E923AC" w:rsidRDefault="00E923AC" w:rsidP="00E24A26">
      <w:pPr>
        <w:spacing w:beforeLines="0" w:before="0" w:afterLines="0" w:after="0"/>
        <w:ind w:firstLine="480"/>
      </w:pPr>
      <w:r>
        <w:rPr>
          <w:noProof/>
        </w:rPr>
        <mc:AlternateContent>
          <mc:Choice Requires="wps">
            <w:drawing>
              <wp:anchor distT="0" distB="0" distL="114300" distR="114300" simplePos="0" relativeHeight="251657216" behindDoc="0" locked="0" layoutInCell="0" allowOverlap="1" wp14:anchorId="60131405" wp14:editId="338CE48D">
                <wp:simplePos x="0" y="0"/>
                <wp:positionH relativeFrom="column">
                  <wp:posOffset>0</wp:posOffset>
                </wp:positionH>
                <wp:positionV relativeFrom="paragraph">
                  <wp:posOffset>19050</wp:posOffset>
                </wp:positionV>
                <wp:extent cx="6096000" cy="13335"/>
                <wp:effectExtent l="19050" t="19050" r="19050" b="24765"/>
                <wp:wrapNone/>
                <wp:docPr id="1487066440" name="直線接點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0" cy="133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2B7CE" id="直線接點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80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" o:allowincell="f" strokeweight="3pt"/>
            </w:pict>
          </mc:Fallback>
        </mc:AlternateContent>
      </w:r>
    </w:p>
    <w:p w14:paraId="2A3BBA1E" w14:textId="77777777" w:rsidR="00E923AC" w:rsidRDefault="00E923AC" w:rsidP="00E24A26">
      <w:pPr>
        <w:spacing w:beforeLines="0" w:before="0" w:afterLines="0" w:after="0"/>
        <w:ind w:firstLine="480"/>
      </w:pPr>
    </w:p>
    <w:p w14:paraId="76A8CBEC" w14:textId="77777777" w:rsidR="00E923AC" w:rsidRPr="00653CFB" w:rsidRDefault="00E923AC" w:rsidP="00E24A26">
      <w:pPr>
        <w:spacing w:beforeLines="0" w:before="0" w:afterLines="0" w:after="0"/>
        <w:ind w:firstLine="480"/>
      </w:pPr>
    </w:p>
    <w:p w14:paraId="793B9674" w14:textId="77777777" w:rsidR="00B565B1" w:rsidRDefault="00B565B1" w:rsidP="00E24A26">
      <w:pPr>
        <w:spacing w:beforeLines="0" w:before="0" w:afterLines="0" w:after="0"/>
        <w:ind w:firstLine="480"/>
      </w:pPr>
    </w:p>
    <w:p w14:paraId="66D4767C" w14:textId="2D4210E2" w:rsidR="00E923AC" w:rsidRPr="00B565B1" w:rsidRDefault="005568D9" w:rsidP="00E24A26">
      <w:pPr>
        <w:spacing w:beforeLines="0" w:before="0" w:afterLines="0" w:after="0" w:line="600" w:lineRule="auto"/>
        <w:ind w:firstLineChars="0" w:firstLine="0"/>
        <w:jc w:val="center"/>
        <w:rPr>
          <w:b/>
          <w:bCs/>
          <w:sz w:val="40"/>
        </w:rPr>
      </w:pPr>
      <w:r>
        <w:rPr>
          <w:rFonts w:hint="eastAsia"/>
          <w:b/>
          <w:bCs/>
          <w:sz w:val="40"/>
        </w:rPr>
        <w:t>XXXX</w:t>
      </w:r>
    </w:p>
    <w:p w14:paraId="7FD25E7E" w14:textId="77777777" w:rsidR="00E923AC" w:rsidRPr="005568D9" w:rsidRDefault="00E923AC" w:rsidP="00E24A26">
      <w:pPr>
        <w:spacing w:beforeLines="0" w:before="0" w:afterLines="0" w:after="0"/>
        <w:ind w:firstLineChars="0" w:firstLine="0"/>
        <w:rPr>
          <w:b/>
          <w:bCs/>
        </w:rPr>
      </w:pPr>
    </w:p>
    <w:p w14:paraId="7BB6B67B" w14:textId="77777777" w:rsidR="00E923AC" w:rsidRPr="00B565B1" w:rsidRDefault="00E923AC" w:rsidP="00E24A26">
      <w:pPr>
        <w:spacing w:beforeLines="0" w:before="0" w:afterLines="0" w:after="0"/>
        <w:ind w:firstLineChars="0" w:firstLine="0"/>
        <w:rPr>
          <w:b/>
          <w:bCs/>
        </w:rPr>
      </w:pPr>
    </w:p>
    <w:p w14:paraId="2B83938E" w14:textId="77777777" w:rsidR="00E923AC" w:rsidRPr="00B565B1" w:rsidRDefault="00E923AC" w:rsidP="00E24A26">
      <w:pPr>
        <w:spacing w:beforeLines="0" w:before="0" w:afterLines="0" w:after="0"/>
        <w:ind w:firstLineChars="0" w:firstLine="0"/>
        <w:rPr>
          <w:b/>
          <w:bCs/>
        </w:rPr>
      </w:pPr>
    </w:p>
    <w:p w14:paraId="18F75DDB" w14:textId="77777777" w:rsidR="00B14E00" w:rsidRPr="00B565B1" w:rsidRDefault="00B14E00" w:rsidP="00E24A26">
      <w:pPr>
        <w:spacing w:beforeLines="0" w:before="0" w:afterLines="0" w:after="0"/>
        <w:ind w:firstLineChars="0" w:firstLine="0"/>
        <w:rPr>
          <w:b/>
          <w:bCs/>
        </w:rPr>
      </w:pPr>
    </w:p>
    <w:p w14:paraId="71C086A0" w14:textId="01FAAFF0" w:rsidR="00E923AC" w:rsidRPr="00B565B1" w:rsidRDefault="00E923AC" w:rsidP="00E24A26">
      <w:pPr>
        <w:spacing w:beforeLines="0" w:before="0" w:afterLines="0" w:after="0" w:line="276" w:lineRule="auto"/>
        <w:ind w:leftChars="1100" w:left="2640" w:firstLineChars="0" w:firstLine="0"/>
        <w:jc w:val="left"/>
        <w:rPr>
          <w:b/>
          <w:bCs/>
          <w:sz w:val="36"/>
        </w:rPr>
      </w:pPr>
      <w:r w:rsidRPr="00875BFD">
        <w:rPr>
          <w:rFonts w:hint="eastAsia"/>
          <w:b/>
          <w:bCs/>
          <w:spacing w:val="90"/>
          <w:kern w:val="0"/>
          <w:sz w:val="36"/>
          <w:fitText w:val="1440" w:id="-879588608"/>
        </w:rPr>
        <w:t>研究</w:t>
      </w:r>
      <w:r w:rsidRPr="00875BFD">
        <w:rPr>
          <w:rFonts w:hint="eastAsia"/>
          <w:b/>
          <w:bCs/>
          <w:kern w:val="0"/>
          <w:sz w:val="36"/>
          <w:fitText w:val="1440" w:id="-879588608"/>
        </w:rPr>
        <w:t>生</w:t>
      </w:r>
      <w:r w:rsidRPr="00B565B1">
        <w:rPr>
          <w:rFonts w:hint="eastAsia"/>
          <w:b/>
          <w:bCs/>
          <w:sz w:val="36"/>
        </w:rPr>
        <w:t>：王士誠</w:t>
      </w:r>
    </w:p>
    <w:p w14:paraId="385520DD" w14:textId="253F058C" w:rsidR="00E923AC" w:rsidRDefault="004A52F2" w:rsidP="00E24A26">
      <w:pPr>
        <w:spacing w:beforeLines="0" w:before="0" w:afterLines="0" w:after="0" w:line="276" w:lineRule="auto"/>
        <w:ind w:leftChars="1100" w:left="2640" w:firstLineChars="0" w:firstLine="0"/>
        <w:jc w:val="left"/>
        <w:rPr>
          <w:b/>
          <w:bCs/>
          <w:sz w:val="36"/>
        </w:rPr>
      </w:pPr>
      <w:r>
        <w:rPr>
          <w:rFonts w:hint="eastAsia"/>
          <w:b/>
          <w:bCs/>
          <w:sz w:val="36"/>
        </w:rPr>
        <w:t>指導</w:t>
      </w:r>
      <w:r w:rsidR="00E923AC" w:rsidRPr="00B565B1">
        <w:rPr>
          <w:rFonts w:hint="eastAsia"/>
          <w:b/>
          <w:bCs/>
          <w:sz w:val="36"/>
        </w:rPr>
        <w:t>教授：</w:t>
      </w:r>
      <w:r>
        <w:rPr>
          <w:rFonts w:hint="eastAsia"/>
          <w:b/>
          <w:bCs/>
          <w:sz w:val="36"/>
        </w:rPr>
        <w:t>薛博今</w:t>
      </w:r>
      <w:r>
        <w:rPr>
          <w:rFonts w:hint="eastAsia"/>
          <w:b/>
          <w:bCs/>
          <w:sz w:val="36"/>
        </w:rPr>
        <w:t xml:space="preserve"> </w:t>
      </w:r>
      <w:r>
        <w:rPr>
          <w:rFonts w:hint="eastAsia"/>
          <w:b/>
          <w:bCs/>
          <w:sz w:val="36"/>
        </w:rPr>
        <w:t>博士</w:t>
      </w:r>
    </w:p>
    <w:p w14:paraId="7DC4A4B9" w14:textId="5EB23B55" w:rsidR="005568D9" w:rsidRPr="00B565B1" w:rsidRDefault="005568D9" w:rsidP="00E24A26">
      <w:pPr>
        <w:spacing w:beforeLines="0" w:before="0" w:afterLines="0" w:after="0" w:line="276" w:lineRule="auto"/>
        <w:ind w:leftChars="1100" w:left="2640" w:firstLineChars="0" w:firstLine="0"/>
        <w:jc w:val="left"/>
        <w:rPr>
          <w:b/>
          <w:bCs/>
          <w:sz w:val="36"/>
        </w:rPr>
      </w:pPr>
      <w:r>
        <w:rPr>
          <w:rFonts w:hint="eastAsia"/>
          <w:b/>
          <w:bCs/>
          <w:sz w:val="36"/>
        </w:rPr>
        <w:t xml:space="preserve">　　　　　繆維中</w:t>
      </w:r>
      <w:r>
        <w:rPr>
          <w:rFonts w:hint="eastAsia"/>
          <w:b/>
          <w:bCs/>
          <w:sz w:val="36"/>
        </w:rPr>
        <w:t xml:space="preserve"> </w:t>
      </w:r>
      <w:r>
        <w:rPr>
          <w:rFonts w:hint="eastAsia"/>
          <w:b/>
          <w:bCs/>
          <w:sz w:val="36"/>
        </w:rPr>
        <w:t>博士</w:t>
      </w:r>
    </w:p>
    <w:p w14:paraId="0AA74F01" w14:textId="77777777" w:rsidR="00B14E00" w:rsidRDefault="00B14E00" w:rsidP="00E24A26">
      <w:pPr>
        <w:spacing w:beforeLines="0" w:before="0" w:afterLines="0" w:after="0"/>
        <w:ind w:firstLineChars="0" w:firstLine="0"/>
      </w:pPr>
    </w:p>
    <w:p w14:paraId="41B224CC" w14:textId="77777777" w:rsidR="00B14E00" w:rsidRDefault="00B14E00" w:rsidP="00E24A26">
      <w:pPr>
        <w:spacing w:beforeLines="0" w:before="0" w:afterLines="0" w:after="0"/>
        <w:ind w:firstLineChars="0" w:firstLine="0"/>
      </w:pPr>
    </w:p>
    <w:p w14:paraId="421B21E0" w14:textId="7C7C9B0F" w:rsidR="00E923AC" w:rsidRDefault="00E923AC" w:rsidP="00E24A26">
      <w:pPr>
        <w:spacing w:beforeLines="0" w:before="0" w:afterLines="0" w:after="0"/>
        <w:ind w:firstLineChars="0" w:firstLine="0"/>
        <w:jc w:val="distribute"/>
        <w:rPr>
          <w:b/>
          <w:sz w:val="36"/>
        </w:rPr>
      </w:pPr>
      <w:r>
        <w:rPr>
          <w:rFonts w:hint="eastAsia"/>
          <w:b/>
          <w:sz w:val="36"/>
        </w:rPr>
        <w:t>中華民國</w:t>
      </w:r>
      <w:r w:rsidR="008A610B">
        <w:rPr>
          <w:rFonts w:hint="eastAsia"/>
          <w:b/>
          <w:sz w:val="36"/>
        </w:rPr>
        <w:t>一一</w:t>
      </w:r>
      <w:r w:rsidR="006B09C7">
        <w:rPr>
          <w:rFonts w:hint="eastAsia"/>
          <w:b/>
          <w:sz w:val="36"/>
        </w:rPr>
        <w:t>四</w:t>
      </w:r>
      <w:r>
        <w:rPr>
          <w:rFonts w:hint="eastAsia"/>
          <w:b/>
          <w:sz w:val="36"/>
        </w:rPr>
        <w:t>年</w:t>
      </w:r>
      <w:r w:rsidR="008A610B">
        <w:rPr>
          <w:rFonts w:hint="eastAsia"/>
          <w:b/>
          <w:sz w:val="36"/>
        </w:rPr>
        <w:t>六月</w:t>
      </w:r>
    </w:p>
    <w:p w14:paraId="722EC22E" w14:textId="77777777" w:rsidR="00B14E00" w:rsidRDefault="00B14E00" w:rsidP="00B14E00">
      <w:pPr>
        <w:spacing w:before="180" w:after="180"/>
        <w:ind w:firstLineChars="0" w:firstLine="0"/>
        <w:sectPr w:rsidR="00B14E00" w:rsidSect="006B09C7">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134" w:left="1701" w:header="624" w:footer="397" w:gutter="0"/>
          <w:pgNumType w:fmt="upperRoman" w:start="1"/>
          <w:cols w:space="425"/>
          <w:titlePg/>
          <w:docGrid w:type="linesAndChars" w:linePitch="360"/>
        </w:sectPr>
      </w:pPr>
    </w:p>
    <w:p w14:paraId="5B2CAF39" w14:textId="3B1287D4" w:rsidR="006B09C7" w:rsidRDefault="006B09C7" w:rsidP="006B09C7">
      <w:pPr>
        <w:pStyle w:val="1"/>
        <w:spacing w:before="180" w:after="180"/>
      </w:pPr>
      <w:r>
        <w:rPr>
          <w:rFonts w:hint="eastAsia"/>
        </w:rPr>
        <w:lastRenderedPageBreak/>
        <w:t>摘要</w:t>
      </w:r>
    </w:p>
    <w:p w14:paraId="50F19DCA" w14:textId="50A68B95" w:rsidR="006B09C7" w:rsidRDefault="006B09C7" w:rsidP="006B09C7">
      <w:pPr>
        <w:spacing w:before="180" w:after="180"/>
        <w:ind w:firstLine="480"/>
      </w:pPr>
    </w:p>
    <w:p w14:paraId="2045A793" w14:textId="2B3A8114" w:rsidR="006B09C7" w:rsidRDefault="006B09C7">
      <w:pPr>
        <w:widowControl/>
        <w:spacing w:before="180" w:after="180" w:line="240" w:lineRule="auto"/>
        <w:ind w:firstLineChars="0" w:firstLine="0"/>
        <w:jc w:val="left"/>
      </w:pPr>
      <w:r>
        <w:br w:type="page"/>
      </w:r>
    </w:p>
    <w:p w14:paraId="7E76AB76" w14:textId="2C4E9936" w:rsidR="006B09C7" w:rsidRDefault="006B09C7" w:rsidP="006B09C7">
      <w:pPr>
        <w:pStyle w:val="1"/>
        <w:spacing w:before="180" w:after="180"/>
      </w:pPr>
      <w:r>
        <w:rPr>
          <w:rFonts w:hint="eastAsia"/>
        </w:rPr>
        <w:lastRenderedPageBreak/>
        <w:t>A</w:t>
      </w:r>
      <w:r>
        <w:t>bstract</w:t>
      </w:r>
    </w:p>
    <w:p w14:paraId="5E587599" w14:textId="02A44547" w:rsidR="006B09C7" w:rsidRDefault="006B09C7" w:rsidP="006B09C7">
      <w:pPr>
        <w:spacing w:before="180" w:after="180"/>
        <w:ind w:firstLine="480"/>
      </w:pPr>
    </w:p>
    <w:p w14:paraId="73026E56" w14:textId="3F4FC644" w:rsidR="006B09C7" w:rsidRDefault="006B09C7">
      <w:pPr>
        <w:widowControl/>
        <w:spacing w:before="180" w:after="180" w:line="240" w:lineRule="auto"/>
        <w:ind w:firstLineChars="0" w:firstLine="0"/>
        <w:jc w:val="left"/>
      </w:pPr>
      <w:r>
        <w:br w:type="page"/>
      </w:r>
    </w:p>
    <w:p w14:paraId="2B9D8464" w14:textId="043FE5D3" w:rsidR="0009304E" w:rsidRPr="006B09C7" w:rsidRDefault="005568D9" w:rsidP="006B09C7">
      <w:pPr>
        <w:pStyle w:val="1"/>
        <w:spacing w:before="180" w:after="180"/>
      </w:pPr>
      <w:proofErr w:type="gramStart"/>
      <w:r>
        <w:rPr>
          <w:rFonts w:hint="eastAsia"/>
        </w:rPr>
        <w:lastRenderedPageBreak/>
        <w:t>誌</w:t>
      </w:r>
      <w:proofErr w:type="gramEnd"/>
      <w:r>
        <w:rPr>
          <w:rFonts w:hint="eastAsia"/>
        </w:rPr>
        <w:t>謝</w:t>
      </w:r>
    </w:p>
    <w:p w14:paraId="717947AE" w14:textId="22607F02" w:rsidR="006B09C7" w:rsidRDefault="006B09C7" w:rsidP="006B09C7">
      <w:pPr>
        <w:spacing w:before="180" w:after="180"/>
        <w:ind w:firstLine="480"/>
      </w:pPr>
    </w:p>
    <w:p w14:paraId="6AF541C5" w14:textId="5DE91ECC" w:rsidR="005568D9" w:rsidRDefault="005568D9">
      <w:pPr>
        <w:widowControl/>
        <w:spacing w:before="180" w:after="180" w:line="240" w:lineRule="auto"/>
        <w:ind w:firstLineChars="0" w:firstLine="0"/>
        <w:jc w:val="left"/>
      </w:pPr>
      <w:r>
        <w:br w:type="page"/>
      </w:r>
    </w:p>
    <w:p w14:paraId="534F583E" w14:textId="38A5F347" w:rsidR="005568D9" w:rsidRDefault="005568D9" w:rsidP="005568D9">
      <w:pPr>
        <w:pStyle w:val="1"/>
        <w:spacing w:before="180" w:after="180"/>
      </w:pPr>
      <w:r>
        <w:rPr>
          <w:rFonts w:hint="eastAsia"/>
        </w:rPr>
        <w:lastRenderedPageBreak/>
        <w:t>目錄</w:t>
      </w:r>
    </w:p>
    <w:p w14:paraId="5172BF03" w14:textId="77777777" w:rsidR="005568D9" w:rsidRPr="005568D9" w:rsidRDefault="005568D9" w:rsidP="005568D9">
      <w:pPr>
        <w:spacing w:before="180" w:after="180"/>
        <w:ind w:firstLine="480"/>
      </w:pPr>
    </w:p>
    <w:p w14:paraId="523B889E" w14:textId="54ECCBF7" w:rsidR="00FF4476" w:rsidRPr="00427613" w:rsidRDefault="00FF4476" w:rsidP="005568D9">
      <w:pPr>
        <w:pStyle w:val="1"/>
        <w:spacing w:before="180" w:after="180"/>
      </w:pPr>
      <w:r w:rsidRPr="00427613">
        <w:rPr>
          <w:rFonts w:hint="eastAsia"/>
        </w:rPr>
        <w:t>圖目錄</w:t>
      </w:r>
    </w:p>
    <w:p w14:paraId="349F91A2" w14:textId="558C0B15" w:rsidR="00FF4476" w:rsidRDefault="00FF4476" w:rsidP="005568D9">
      <w:pPr>
        <w:spacing w:before="180" w:after="180"/>
        <w:ind w:firstLine="480"/>
      </w:pPr>
    </w:p>
    <w:p w14:paraId="6E8C0EB5" w14:textId="1F295D00" w:rsidR="00FF4476" w:rsidRDefault="00FF4476" w:rsidP="005568D9">
      <w:pPr>
        <w:pStyle w:val="1"/>
        <w:spacing w:before="180" w:after="180"/>
      </w:pPr>
      <w:r w:rsidRPr="000B7B11">
        <w:rPr>
          <w:rFonts w:hint="eastAsia"/>
        </w:rPr>
        <w:t>表目錄</w:t>
      </w:r>
    </w:p>
    <w:p w14:paraId="10E1908F" w14:textId="77777777" w:rsidR="005568D9" w:rsidRPr="005568D9" w:rsidRDefault="005568D9" w:rsidP="005568D9">
      <w:pPr>
        <w:spacing w:before="180" w:after="180"/>
        <w:ind w:firstLine="480"/>
      </w:pPr>
    </w:p>
    <w:p w14:paraId="18AC50A4" w14:textId="508E2DD3" w:rsidR="000B7B11" w:rsidRPr="000B7B11" w:rsidRDefault="000B7B11" w:rsidP="000B7B11">
      <w:pPr>
        <w:pStyle w:val="af5"/>
        <w:tabs>
          <w:tab w:val="right" w:leader="dot" w:pos="8296"/>
        </w:tabs>
        <w:spacing w:before="180" w:after="180"/>
        <w:ind w:left="0" w:firstLineChars="0" w:firstLine="0"/>
      </w:pPr>
    </w:p>
    <w:p w14:paraId="4CE0CDB7" w14:textId="77777777" w:rsidR="00816A1B" w:rsidRDefault="00816A1B" w:rsidP="00FF4476">
      <w:pPr>
        <w:spacing w:before="180" w:after="180"/>
        <w:ind w:firstLineChars="0" w:firstLine="0"/>
        <w:sectPr w:rsidR="00816A1B" w:rsidSect="006B09C7">
          <w:pgSz w:w="11906" w:h="16838"/>
          <w:pgMar w:top="1701" w:right="1701" w:bottom="1134" w:left="1701" w:header="624" w:footer="397" w:gutter="0"/>
          <w:pgNumType w:fmt="upperRoman" w:start="1"/>
          <w:cols w:space="425"/>
          <w:docGrid w:type="linesAndChars" w:linePitch="360"/>
        </w:sectPr>
      </w:pPr>
    </w:p>
    <w:p w14:paraId="2D9A18EE" w14:textId="33CE0A52" w:rsidR="00D5107F" w:rsidRDefault="000E6321" w:rsidP="00404225">
      <w:pPr>
        <w:pStyle w:val="1"/>
        <w:spacing w:before="180" w:after="180"/>
      </w:pPr>
      <w:bookmarkStart w:id="0" w:name="_Toc182815169"/>
      <w:r>
        <w:rPr>
          <w:rFonts w:hint="eastAsia"/>
        </w:rPr>
        <w:lastRenderedPageBreak/>
        <w:t>第</w:t>
      </w:r>
      <w:r w:rsidR="00E74967">
        <w:rPr>
          <w:rFonts w:hint="eastAsia"/>
        </w:rPr>
        <w:t>一章、緒論</w:t>
      </w:r>
      <w:bookmarkEnd w:id="0"/>
    </w:p>
    <w:p w14:paraId="70259F1A" w14:textId="1493679E" w:rsidR="0073610D" w:rsidRDefault="0073610D" w:rsidP="00404225">
      <w:pPr>
        <w:spacing w:before="180" w:after="180"/>
        <w:ind w:firstLine="480"/>
      </w:pPr>
    </w:p>
    <w:p w14:paraId="3A8218C0" w14:textId="315E4101" w:rsidR="00175851" w:rsidRPr="00B3145E" w:rsidRDefault="00F86E11" w:rsidP="00404225">
      <w:pPr>
        <w:widowControl/>
        <w:spacing w:before="180" w:after="180" w:line="240" w:lineRule="auto"/>
        <w:ind w:firstLineChars="0" w:firstLine="0"/>
        <w:jc w:val="left"/>
      </w:pPr>
      <w:r>
        <w:br w:type="page"/>
      </w:r>
    </w:p>
    <w:p w14:paraId="2B9D5C6D" w14:textId="3D3251D3" w:rsidR="0073610D" w:rsidRDefault="0073610D" w:rsidP="0073610D">
      <w:pPr>
        <w:pStyle w:val="1"/>
        <w:spacing w:before="180" w:after="180"/>
      </w:pPr>
      <w:bookmarkStart w:id="1" w:name="_Toc182815173"/>
      <w:r>
        <w:rPr>
          <w:rFonts w:hint="eastAsia"/>
        </w:rPr>
        <w:lastRenderedPageBreak/>
        <w:t>第二章、文獻探討</w:t>
      </w:r>
      <w:bookmarkEnd w:id="1"/>
    </w:p>
    <w:p w14:paraId="01199615" w14:textId="77777777" w:rsidR="00404225" w:rsidRDefault="00404225" w:rsidP="004F7EE0">
      <w:pPr>
        <w:spacing w:before="180" w:after="180"/>
        <w:ind w:firstLine="480"/>
      </w:pPr>
    </w:p>
    <w:p w14:paraId="02673F1C" w14:textId="36FF7433" w:rsidR="00CE50A4" w:rsidRPr="00EC48E7" w:rsidRDefault="00731282" w:rsidP="004F7EE0">
      <w:pPr>
        <w:spacing w:before="180" w:after="180"/>
        <w:ind w:firstLine="480"/>
      </w:pPr>
      <w:r>
        <w:br w:type="page"/>
      </w:r>
    </w:p>
    <w:p w14:paraId="5F5F7156" w14:textId="36787C2D" w:rsidR="00BD071F" w:rsidRDefault="0073610D" w:rsidP="00B61431">
      <w:pPr>
        <w:pStyle w:val="1"/>
        <w:spacing w:before="180" w:after="180"/>
      </w:pPr>
      <w:bookmarkStart w:id="2" w:name="_Toc182815177"/>
      <w:r>
        <w:rPr>
          <w:rFonts w:hint="eastAsia"/>
        </w:rPr>
        <w:lastRenderedPageBreak/>
        <w:t>第三章、</w:t>
      </w:r>
      <w:bookmarkEnd w:id="2"/>
      <w:r w:rsidR="00404225">
        <w:rPr>
          <w:rFonts w:hint="eastAsia"/>
        </w:rPr>
        <w:t>資料來源</w:t>
      </w:r>
    </w:p>
    <w:p w14:paraId="6A7D1B8D" w14:textId="13D8A7D4" w:rsidR="00ED61D0" w:rsidRPr="008E3193" w:rsidRDefault="00E410D8" w:rsidP="008E3193">
      <w:pPr>
        <w:pStyle w:val="2"/>
      </w:pPr>
      <w:r>
        <w:rPr>
          <w:rFonts w:hint="eastAsia"/>
        </w:rPr>
        <w:t>3.1</w:t>
      </w:r>
      <w:r w:rsidR="00ED61D0">
        <w:rPr>
          <w:rFonts w:hint="eastAsia"/>
        </w:rPr>
        <w:t>資料來源</w:t>
      </w:r>
    </w:p>
    <w:p w14:paraId="32D3CCD6" w14:textId="32EDDE7C" w:rsidR="00466389" w:rsidRDefault="00720E4C" w:rsidP="00720E4C">
      <w:pPr>
        <w:spacing w:before="180" w:after="180"/>
        <w:ind w:firstLine="480"/>
      </w:pPr>
      <w:r>
        <w:rPr>
          <w:rFonts w:hint="eastAsia"/>
        </w:rPr>
        <w:t>本</w:t>
      </w:r>
      <w:r w:rsidR="00B47E73">
        <w:rPr>
          <w:rFonts w:hint="eastAsia"/>
        </w:rPr>
        <w:t>研究</w:t>
      </w:r>
      <w:r w:rsidR="00496610">
        <w:rPr>
          <w:rFonts w:hint="eastAsia"/>
        </w:rPr>
        <w:t>之</w:t>
      </w:r>
      <w:r w:rsidR="000E51BD">
        <w:rPr>
          <w:rFonts w:hint="eastAsia"/>
        </w:rPr>
        <w:t>樣本採用</w:t>
      </w:r>
      <w:proofErr w:type="spellStart"/>
      <w:r>
        <w:rPr>
          <w:rFonts w:hint="eastAsia"/>
        </w:rPr>
        <w:t>Deribit</w:t>
      </w:r>
      <w:proofErr w:type="spellEnd"/>
      <w:r>
        <w:rPr>
          <w:rFonts w:hint="eastAsia"/>
        </w:rPr>
        <w:t>交易所</w:t>
      </w:r>
      <w:r w:rsidR="002A2A2A">
        <w:rPr>
          <w:rStyle w:val="af1"/>
        </w:rPr>
        <w:footnoteReference w:id="1"/>
      </w:r>
      <w:r w:rsidR="00900D70">
        <w:rPr>
          <w:rFonts w:hint="eastAsia"/>
        </w:rPr>
        <w:t>提供之</w:t>
      </w:r>
      <w:r w:rsidR="00F145BE">
        <w:rPr>
          <w:rFonts w:hint="eastAsia"/>
        </w:rPr>
        <w:t>比</w:t>
      </w:r>
      <w:proofErr w:type="gramStart"/>
      <w:r w:rsidR="00F145BE">
        <w:rPr>
          <w:rFonts w:hint="eastAsia"/>
        </w:rPr>
        <w:t>特</w:t>
      </w:r>
      <w:proofErr w:type="gramEnd"/>
      <w:r w:rsidR="00F145BE">
        <w:rPr>
          <w:rFonts w:hint="eastAsia"/>
        </w:rPr>
        <w:t>幣歐式現金結算選擇權歷史交易數據</w:t>
      </w:r>
      <w:r>
        <w:rPr>
          <w:rFonts w:hint="eastAsia"/>
        </w:rPr>
        <w:t>，</w:t>
      </w:r>
      <w:r w:rsidR="00387F38">
        <w:rPr>
          <w:rFonts w:hint="eastAsia"/>
        </w:rPr>
        <w:t>包含每日交易量、收盤價</w:t>
      </w:r>
      <w:r w:rsidR="00CB31CF">
        <w:rPr>
          <w:rFonts w:hint="eastAsia"/>
        </w:rPr>
        <w:t>、</w:t>
      </w:r>
      <w:r w:rsidR="00387F38">
        <w:rPr>
          <w:rFonts w:hint="eastAsia"/>
        </w:rPr>
        <w:t>隱含波動率</w:t>
      </w:r>
      <w:r w:rsidR="00CB31CF">
        <w:rPr>
          <w:rFonts w:hint="eastAsia"/>
        </w:rPr>
        <w:t>、現貨價及期貨價，</w:t>
      </w:r>
      <w:r w:rsidR="00F145BE">
        <w:rPr>
          <w:rFonts w:hint="eastAsia"/>
        </w:rPr>
        <w:t>期間涵蓋</w:t>
      </w:r>
      <w:r w:rsidR="00F145BE">
        <w:rPr>
          <w:rFonts w:hint="eastAsia"/>
        </w:rPr>
        <w:t>2020</w:t>
      </w:r>
      <w:r w:rsidR="00F145BE">
        <w:rPr>
          <w:rFonts w:hint="eastAsia"/>
        </w:rPr>
        <w:t>年</w:t>
      </w:r>
      <w:r w:rsidR="00F145BE">
        <w:rPr>
          <w:rFonts w:hint="eastAsia"/>
        </w:rPr>
        <w:t>1</w:t>
      </w:r>
      <w:r w:rsidR="00F145BE">
        <w:rPr>
          <w:rFonts w:hint="eastAsia"/>
        </w:rPr>
        <w:t>月至</w:t>
      </w:r>
      <w:r w:rsidR="00F145BE">
        <w:rPr>
          <w:rFonts w:hint="eastAsia"/>
        </w:rPr>
        <w:t>2024</w:t>
      </w:r>
      <w:r w:rsidR="00F145BE">
        <w:rPr>
          <w:rFonts w:hint="eastAsia"/>
        </w:rPr>
        <w:t>年</w:t>
      </w:r>
      <w:r w:rsidR="00F145BE">
        <w:rPr>
          <w:rFonts w:hint="eastAsia"/>
        </w:rPr>
        <w:t>4</w:t>
      </w:r>
      <w:r w:rsidR="00F145BE">
        <w:rPr>
          <w:rFonts w:hint="eastAsia"/>
        </w:rPr>
        <w:t>月</w:t>
      </w:r>
      <w:r w:rsidR="00387F38">
        <w:rPr>
          <w:rFonts w:hint="eastAsia"/>
        </w:rPr>
        <w:t>。</w:t>
      </w:r>
    </w:p>
    <w:p w14:paraId="40445281" w14:textId="40970E7A" w:rsidR="00084FEA" w:rsidRDefault="00466389" w:rsidP="00084FEA">
      <w:pPr>
        <w:spacing w:before="180" w:after="180"/>
        <w:ind w:firstLine="480"/>
      </w:pPr>
      <w:r>
        <w:rPr>
          <w:rFonts w:hint="eastAsia"/>
        </w:rPr>
        <w:t>依據資訊服務公司</w:t>
      </w:r>
      <w:r>
        <w:rPr>
          <w:rFonts w:hint="eastAsia"/>
        </w:rPr>
        <w:t>The Block</w:t>
      </w:r>
      <w:r>
        <w:rPr>
          <w:rFonts w:hint="eastAsia"/>
        </w:rPr>
        <w:t>公司公布之數據統計</w:t>
      </w:r>
      <w:r w:rsidR="00FF392E">
        <w:rPr>
          <w:rStyle w:val="af1"/>
        </w:rPr>
        <w:footnoteReference w:id="2"/>
      </w:r>
      <w:r>
        <w:rPr>
          <w:rFonts w:hint="eastAsia"/>
        </w:rPr>
        <w:t>，於全球加密貨幣選擇權市場</w:t>
      </w:r>
      <w:r w:rsidR="00084FEA">
        <w:rPr>
          <w:rFonts w:hint="eastAsia"/>
        </w:rPr>
        <w:t>中</w:t>
      </w:r>
      <w:r>
        <w:rPr>
          <w:rFonts w:hint="eastAsia"/>
        </w:rPr>
        <w:t>，</w:t>
      </w:r>
      <w:proofErr w:type="spellStart"/>
      <w:r w:rsidR="00084FEA">
        <w:rPr>
          <w:rFonts w:hint="eastAsia"/>
        </w:rPr>
        <w:t>Deribit</w:t>
      </w:r>
      <w:proofErr w:type="spellEnd"/>
      <w:r w:rsidR="00084FEA">
        <w:rPr>
          <w:rFonts w:hint="eastAsia"/>
        </w:rPr>
        <w:t>交易所之比</w:t>
      </w:r>
      <w:proofErr w:type="gramStart"/>
      <w:r w:rsidR="00084FEA">
        <w:rPr>
          <w:rFonts w:hint="eastAsia"/>
        </w:rPr>
        <w:t>特</w:t>
      </w:r>
      <w:proofErr w:type="gramEnd"/>
      <w:r w:rsidR="00084FEA">
        <w:rPr>
          <w:rFonts w:hint="eastAsia"/>
        </w:rPr>
        <w:t>幣選擇權交易量為三大平台－</w:t>
      </w:r>
      <w:proofErr w:type="spellStart"/>
      <w:r w:rsidR="00084FEA">
        <w:rPr>
          <w:rFonts w:hint="eastAsia"/>
        </w:rPr>
        <w:t>Deribit</w:t>
      </w:r>
      <w:proofErr w:type="spellEnd"/>
      <w:r w:rsidR="00084FEA">
        <w:rPr>
          <w:rFonts w:hint="eastAsia"/>
        </w:rPr>
        <w:t>、</w:t>
      </w:r>
      <w:r w:rsidR="00084FEA">
        <w:rPr>
          <w:rFonts w:hint="eastAsia"/>
        </w:rPr>
        <w:t>OKX</w:t>
      </w:r>
      <w:r w:rsidR="00084FEA">
        <w:rPr>
          <w:rFonts w:hint="eastAsia"/>
        </w:rPr>
        <w:t>及</w:t>
      </w:r>
      <w:r w:rsidR="00084FEA">
        <w:rPr>
          <w:rFonts w:hint="eastAsia"/>
        </w:rPr>
        <w:t>Binance</w:t>
      </w:r>
      <w:r w:rsidR="00084FEA">
        <w:rPr>
          <w:rFonts w:hint="eastAsia"/>
        </w:rPr>
        <w:t>中</w:t>
      </w:r>
      <w:r w:rsidR="00D0543D">
        <w:rPr>
          <w:rFonts w:hint="eastAsia"/>
        </w:rPr>
        <w:t>占比</w:t>
      </w:r>
      <w:r w:rsidR="00084FEA">
        <w:rPr>
          <w:rFonts w:hint="eastAsia"/>
        </w:rPr>
        <w:t>最大</w:t>
      </w:r>
      <w:r w:rsidR="00D0543D">
        <w:rPr>
          <w:rFonts w:hint="eastAsia"/>
        </w:rPr>
        <w:t>，且未平倉量占市場總量</w:t>
      </w:r>
      <w:r w:rsidR="00D0543D">
        <w:rPr>
          <w:rFonts w:hint="eastAsia"/>
        </w:rPr>
        <w:t xml:space="preserve">80% </w:t>
      </w:r>
      <w:r w:rsidR="00D0543D">
        <w:rPr>
          <w:rFonts w:hint="eastAsia"/>
        </w:rPr>
        <w:t>以上（如</w:t>
      </w:r>
      <w:r w:rsidR="00382A2D">
        <w:fldChar w:fldCharType="begin"/>
      </w:r>
      <w:r w:rsidR="00382A2D">
        <w:instrText xml:space="preserve"> </w:instrText>
      </w:r>
      <w:r w:rsidR="00382A2D">
        <w:rPr>
          <w:rFonts w:hint="eastAsia"/>
        </w:rPr>
        <w:instrText>REF _Ref182956642 \h</w:instrText>
      </w:r>
      <w:r w:rsidR="00382A2D">
        <w:instrText xml:space="preserve"> </w:instrText>
      </w:r>
      <w:r w:rsidR="00382A2D">
        <w:fldChar w:fldCharType="separate"/>
      </w:r>
      <w:r w:rsidR="002116B3">
        <w:rPr>
          <w:rFonts w:hint="eastAsia"/>
        </w:rPr>
        <w:t>圖</w:t>
      </w:r>
      <w:r w:rsidR="002116B3">
        <w:rPr>
          <w:rFonts w:hint="eastAsia"/>
        </w:rPr>
        <w:t>3-</w:t>
      </w:r>
      <w:r w:rsidR="002116B3">
        <w:rPr>
          <w:noProof/>
        </w:rPr>
        <w:t>1</w:t>
      </w:r>
      <w:r w:rsidR="00382A2D">
        <w:fldChar w:fldCharType="end"/>
      </w:r>
      <w:r w:rsidR="00D0543D">
        <w:rPr>
          <w:rFonts w:hint="eastAsia"/>
        </w:rPr>
        <w:t>）。</w:t>
      </w:r>
    </w:p>
    <w:p w14:paraId="70CBF71A" w14:textId="378800A5" w:rsidR="00D0543D" w:rsidRDefault="003A010D" w:rsidP="003A010D">
      <w:pPr>
        <w:pStyle w:val="aa"/>
        <w:spacing w:before="180" w:after="180"/>
      </w:pPr>
      <w:r w:rsidRPr="003A010D">
        <w:drawing>
          <wp:inline distT="0" distB="0" distL="0" distR="0" wp14:anchorId="109FFC95" wp14:editId="6EA62502">
            <wp:extent cx="2520000" cy="2028170"/>
            <wp:effectExtent l="0" t="0" r="0" b="0"/>
            <wp:docPr id="1555415127"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15127" name="圖片 1" descr="一張含有 文字, 螢幕擷取畫面, 字型, 行 的圖片&#10;&#10;自動產生的描述"/>
                    <pic:cNvPicPr/>
                  </pic:nvPicPr>
                  <pic:blipFill>
                    <a:blip r:embed="rId15"/>
                    <a:stretch>
                      <a:fillRect/>
                    </a:stretch>
                  </pic:blipFill>
                  <pic:spPr>
                    <a:xfrm>
                      <a:off x="0" y="0"/>
                      <a:ext cx="2520000" cy="2028170"/>
                    </a:xfrm>
                    <a:prstGeom prst="rect">
                      <a:avLst/>
                    </a:prstGeom>
                  </pic:spPr>
                </pic:pic>
              </a:graphicData>
            </a:graphic>
          </wp:inline>
        </w:drawing>
      </w:r>
      <w:r>
        <w:rPr>
          <w:rFonts w:hint="eastAsia"/>
        </w:rPr>
        <w:t xml:space="preserve"> </w:t>
      </w:r>
      <w:r w:rsidRPr="003A010D">
        <w:drawing>
          <wp:inline distT="0" distB="0" distL="0" distR="0" wp14:anchorId="42E545E9" wp14:editId="5A0972DA">
            <wp:extent cx="2520000" cy="2027178"/>
            <wp:effectExtent l="0" t="0" r="0" b="0"/>
            <wp:docPr id="140867403"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7403" name="圖片 1" descr="一張含有 文字, 螢幕擷取畫面, 字型 的圖片&#10;&#10;自動產生的描述"/>
                    <pic:cNvPicPr/>
                  </pic:nvPicPr>
                  <pic:blipFill>
                    <a:blip r:embed="rId16"/>
                    <a:stretch>
                      <a:fillRect/>
                    </a:stretch>
                  </pic:blipFill>
                  <pic:spPr>
                    <a:xfrm>
                      <a:off x="0" y="0"/>
                      <a:ext cx="2520000" cy="2027178"/>
                    </a:xfrm>
                    <a:prstGeom prst="rect">
                      <a:avLst/>
                    </a:prstGeom>
                  </pic:spPr>
                </pic:pic>
              </a:graphicData>
            </a:graphic>
          </wp:inline>
        </w:drawing>
      </w:r>
    </w:p>
    <w:p w14:paraId="6D7472E4" w14:textId="6CB51E03" w:rsidR="003A010D" w:rsidRPr="003A010D" w:rsidRDefault="003A010D" w:rsidP="003A010D">
      <w:pPr>
        <w:pStyle w:val="a9"/>
        <w:spacing w:before="180" w:after="180"/>
      </w:pPr>
      <w:bookmarkStart w:id="3" w:name="_Ref182956642"/>
      <w:r>
        <w:rPr>
          <w:rFonts w:hint="eastAsia"/>
        </w:rPr>
        <w:t>圖</w:t>
      </w:r>
      <w:r>
        <w:rPr>
          <w:rFonts w:hint="eastAsia"/>
        </w:rPr>
        <w:t>3-</w:t>
      </w:r>
      <w:r>
        <w:fldChar w:fldCharType="begin"/>
      </w:r>
      <w:r>
        <w:instrText xml:space="preserve"> </w:instrText>
      </w:r>
      <w:r>
        <w:rPr>
          <w:rFonts w:hint="eastAsia"/>
        </w:rPr>
        <w:instrText xml:space="preserve">SEQ </w:instrText>
      </w:r>
      <w:r>
        <w:rPr>
          <w:rFonts w:hint="eastAsia"/>
        </w:rPr>
        <w:instrText>圖</w:instrText>
      </w:r>
      <w:r>
        <w:rPr>
          <w:rFonts w:hint="eastAsia"/>
        </w:rPr>
        <w:instrText>3- \* ARABIC</w:instrText>
      </w:r>
      <w:r>
        <w:instrText xml:space="preserve"> </w:instrText>
      </w:r>
      <w:r>
        <w:fldChar w:fldCharType="separate"/>
      </w:r>
      <w:r w:rsidR="002116B3">
        <w:rPr>
          <w:noProof/>
        </w:rPr>
        <w:t>1</w:t>
      </w:r>
      <w:r>
        <w:fldChar w:fldCharType="end"/>
      </w:r>
      <w:bookmarkEnd w:id="3"/>
      <w:r>
        <w:rPr>
          <w:rFonts w:hint="eastAsia"/>
        </w:rPr>
        <w:t>：比</w:t>
      </w:r>
      <w:proofErr w:type="gramStart"/>
      <w:r>
        <w:rPr>
          <w:rFonts w:hint="eastAsia"/>
        </w:rPr>
        <w:t>特</w:t>
      </w:r>
      <w:proofErr w:type="gramEnd"/>
      <w:r>
        <w:rPr>
          <w:rFonts w:hint="eastAsia"/>
        </w:rPr>
        <w:t>幣選擇權市場交易量與未平倉量數據統計</w:t>
      </w:r>
      <w:r>
        <w:br/>
      </w:r>
      <w:proofErr w:type="gramStart"/>
      <w:r>
        <w:rPr>
          <w:rFonts w:hint="eastAsia"/>
        </w:rPr>
        <w:t>（</w:t>
      </w:r>
      <w:proofErr w:type="gramEnd"/>
      <w:r>
        <w:rPr>
          <w:rFonts w:hint="eastAsia"/>
        </w:rPr>
        <w:t>資料來源：</w:t>
      </w:r>
      <w:r>
        <w:rPr>
          <w:rFonts w:hint="eastAsia"/>
        </w:rPr>
        <w:t>The Block</w:t>
      </w:r>
      <w:r w:rsidR="00387F38">
        <w:rPr>
          <w:rFonts w:hint="eastAsia"/>
        </w:rPr>
        <w:t>官方網站</w:t>
      </w:r>
      <w:proofErr w:type="gramStart"/>
      <w:r w:rsidR="00387F38">
        <w:rPr>
          <w:rFonts w:hint="eastAsia"/>
        </w:rPr>
        <w:t>）</w:t>
      </w:r>
      <w:proofErr w:type="gramEnd"/>
    </w:p>
    <w:p w14:paraId="5B7C6EAE" w14:textId="1E3D78DA" w:rsidR="00720E4C" w:rsidRDefault="00720E4C" w:rsidP="00720E4C">
      <w:pPr>
        <w:spacing w:before="180" w:after="180"/>
        <w:ind w:firstLine="480"/>
      </w:pPr>
      <w:proofErr w:type="spellStart"/>
      <w:r>
        <w:rPr>
          <w:rFonts w:hint="eastAsia"/>
        </w:rPr>
        <w:t>Deribit</w:t>
      </w:r>
      <w:proofErr w:type="spellEnd"/>
      <w:r w:rsidR="00CB31CF">
        <w:rPr>
          <w:rFonts w:hint="eastAsia"/>
        </w:rPr>
        <w:t>交易所</w:t>
      </w:r>
      <w:r>
        <w:rPr>
          <w:rFonts w:hint="eastAsia"/>
        </w:rPr>
        <w:t>成立於</w:t>
      </w:r>
      <w:r>
        <w:rPr>
          <w:rFonts w:hint="eastAsia"/>
        </w:rPr>
        <w:t>2016</w:t>
      </w:r>
      <w:r>
        <w:rPr>
          <w:rFonts w:hint="eastAsia"/>
        </w:rPr>
        <w:t>年</w:t>
      </w:r>
      <w:r w:rsidR="00382A2D">
        <w:rPr>
          <w:rFonts w:hint="eastAsia"/>
        </w:rPr>
        <w:t>，總部位於荷蘭</w:t>
      </w:r>
      <w:r>
        <w:rPr>
          <w:rFonts w:hint="eastAsia"/>
        </w:rPr>
        <w:t>，</w:t>
      </w:r>
      <w:r w:rsidR="00382A2D">
        <w:rPr>
          <w:rFonts w:hint="eastAsia"/>
        </w:rPr>
        <w:t>名字由「</w:t>
      </w:r>
      <w:r w:rsidR="00382A2D">
        <w:rPr>
          <w:rFonts w:hint="eastAsia"/>
        </w:rPr>
        <w:t>Derivatives</w:t>
      </w:r>
      <w:r w:rsidR="00382A2D">
        <w:rPr>
          <w:rFonts w:hint="eastAsia"/>
        </w:rPr>
        <w:t>」與「</w:t>
      </w:r>
      <w:r w:rsidR="00382A2D">
        <w:rPr>
          <w:rFonts w:hint="eastAsia"/>
        </w:rPr>
        <w:t>Bitcoin</w:t>
      </w:r>
      <w:r w:rsidR="00382A2D">
        <w:rPr>
          <w:rFonts w:hint="eastAsia"/>
        </w:rPr>
        <w:t>」組合而成，為最早推出</w:t>
      </w:r>
      <w:r>
        <w:rPr>
          <w:rFonts w:hint="eastAsia"/>
        </w:rPr>
        <w:t>加密貨幣選擇權</w:t>
      </w:r>
      <w:r w:rsidR="00382A2D">
        <w:rPr>
          <w:rFonts w:hint="eastAsia"/>
        </w:rPr>
        <w:t>商品</w:t>
      </w:r>
      <w:r>
        <w:rPr>
          <w:rFonts w:hint="eastAsia"/>
        </w:rPr>
        <w:t>的交易所</w:t>
      </w:r>
      <w:r w:rsidR="00382A2D">
        <w:rPr>
          <w:rFonts w:hint="eastAsia"/>
        </w:rPr>
        <w:t>，因具備</w:t>
      </w:r>
      <w:r>
        <w:rPr>
          <w:rFonts w:hint="eastAsia"/>
        </w:rPr>
        <w:t>高流動性和深度，</w:t>
      </w:r>
      <w:proofErr w:type="spellStart"/>
      <w:r>
        <w:rPr>
          <w:rFonts w:hint="eastAsia"/>
        </w:rPr>
        <w:t>Deribit</w:t>
      </w:r>
      <w:proofErr w:type="spellEnd"/>
      <w:r>
        <w:rPr>
          <w:rFonts w:hint="eastAsia"/>
        </w:rPr>
        <w:t>已成為全球最大的比</w:t>
      </w:r>
      <w:proofErr w:type="gramStart"/>
      <w:r>
        <w:rPr>
          <w:rFonts w:hint="eastAsia"/>
        </w:rPr>
        <w:t>特</w:t>
      </w:r>
      <w:proofErr w:type="gramEnd"/>
      <w:r>
        <w:rPr>
          <w:rFonts w:hint="eastAsia"/>
        </w:rPr>
        <w:t>幣選擇權交易平台。</w:t>
      </w:r>
      <w:r w:rsidR="00024747">
        <w:rPr>
          <w:rFonts w:hint="eastAsia"/>
        </w:rPr>
        <w:t>其提供之比</w:t>
      </w:r>
      <w:proofErr w:type="gramStart"/>
      <w:r w:rsidR="00024747">
        <w:rPr>
          <w:rFonts w:hint="eastAsia"/>
        </w:rPr>
        <w:t>特</w:t>
      </w:r>
      <w:proofErr w:type="gramEnd"/>
      <w:r w:rsidR="00024747">
        <w:rPr>
          <w:rFonts w:hint="eastAsia"/>
        </w:rPr>
        <w:t>幣歐式現金結算選擇權合約全天候皆可交易</w:t>
      </w:r>
      <w:r w:rsidR="006A639C">
        <w:rPr>
          <w:rStyle w:val="af1"/>
        </w:rPr>
        <w:footnoteReference w:id="3"/>
      </w:r>
      <w:r w:rsidR="00024747">
        <w:rPr>
          <w:rFonts w:hint="eastAsia"/>
        </w:rPr>
        <w:t>，到期日為</w:t>
      </w:r>
      <w:r w:rsidR="00225C55">
        <w:rPr>
          <w:rFonts w:hint="eastAsia"/>
        </w:rPr>
        <w:t>每天</w:t>
      </w:r>
      <w:r w:rsidR="00024747">
        <w:rPr>
          <w:rFonts w:hint="eastAsia"/>
        </w:rPr>
        <w:t xml:space="preserve">08:00 </w:t>
      </w:r>
      <w:r w:rsidR="00225C55">
        <w:rPr>
          <w:rFonts w:hint="eastAsia"/>
        </w:rPr>
        <w:t>(</w:t>
      </w:r>
      <w:r w:rsidR="00024747">
        <w:rPr>
          <w:rFonts w:hint="eastAsia"/>
        </w:rPr>
        <w:t>UTC</w:t>
      </w:r>
      <w:r w:rsidR="00225C55">
        <w:rPr>
          <w:rFonts w:hint="eastAsia"/>
        </w:rPr>
        <w:t>+0)</w:t>
      </w:r>
      <w:r w:rsidR="00225C55">
        <w:rPr>
          <w:rFonts w:hint="eastAsia"/>
        </w:rPr>
        <w:t>，</w:t>
      </w:r>
      <w:r w:rsidR="002A2A2A">
        <w:rPr>
          <w:rFonts w:hint="eastAsia"/>
        </w:rPr>
        <w:t>並具有</w:t>
      </w:r>
      <w:r w:rsidR="002A2A2A">
        <w:rPr>
          <w:rFonts w:hint="eastAsia"/>
        </w:rPr>
        <w:t>1</w:t>
      </w:r>
      <w:r w:rsidR="002A2A2A">
        <w:rPr>
          <w:rFonts w:hint="eastAsia"/>
        </w:rPr>
        <w:t>日、</w:t>
      </w:r>
      <w:r w:rsidR="002A2A2A">
        <w:rPr>
          <w:rFonts w:hint="eastAsia"/>
        </w:rPr>
        <w:t>2</w:t>
      </w:r>
      <w:r w:rsidR="002A2A2A">
        <w:rPr>
          <w:rFonts w:hint="eastAsia"/>
        </w:rPr>
        <w:t>日、</w:t>
      </w:r>
      <w:r w:rsidR="002A2A2A">
        <w:rPr>
          <w:rFonts w:hint="eastAsia"/>
        </w:rPr>
        <w:lastRenderedPageBreak/>
        <w:t>3</w:t>
      </w:r>
      <w:r w:rsidR="002A2A2A">
        <w:rPr>
          <w:rFonts w:hint="eastAsia"/>
        </w:rPr>
        <w:t>日、</w:t>
      </w:r>
      <w:r w:rsidR="002A2A2A">
        <w:rPr>
          <w:rFonts w:hint="eastAsia"/>
        </w:rPr>
        <w:t>1</w:t>
      </w:r>
      <w:proofErr w:type="gramStart"/>
      <w:r w:rsidR="002A2A2A">
        <w:rPr>
          <w:rFonts w:hint="eastAsia"/>
        </w:rPr>
        <w:t>週</w:t>
      </w:r>
      <w:proofErr w:type="gramEnd"/>
      <w:r w:rsidR="002A2A2A">
        <w:rPr>
          <w:rFonts w:hint="eastAsia"/>
        </w:rPr>
        <w:t>、</w:t>
      </w:r>
      <w:r w:rsidR="002A2A2A">
        <w:rPr>
          <w:rFonts w:hint="eastAsia"/>
        </w:rPr>
        <w:t>2</w:t>
      </w:r>
      <w:proofErr w:type="gramStart"/>
      <w:r w:rsidR="002A2A2A">
        <w:rPr>
          <w:rFonts w:hint="eastAsia"/>
        </w:rPr>
        <w:t>週</w:t>
      </w:r>
      <w:proofErr w:type="gramEnd"/>
      <w:r w:rsidR="002A2A2A">
        <w:rPr>
          <w:rFonts w:hint="eastAsia"/>
        </w:rPr>
        <w:t>、</w:t>
      </w:r>
      <w:r w:rsidR="002A2A2A">
        <w:rPr>
          <w:rFonts w:hint="eastAsia"/>
        </w:rPr>
        <w:t>3</w:t>
      </w:r>
      <w:proofErr w:type="gramStart"/>
      <w:r w:rsidR="002A2A2A">
        <w:rPr>
          <w:rFonts w:hint="eastAsia"/>
        </w:rPr>
        <w:t>週</w:t>
      </w:r>
      <w:proofErr w:type="gramEnd"/>
      <w:r w:rsidR="002A2A2A">
        <w:rPr>
          <w:rFonts w:hint="eastAsia"/>
        </w:rPr>
        <w:t>後，以及每月月底（</w:t>
      </w:r>
      <w:r w:rsidR="002A2A2A">
        <w:rPr>
          <w:rFonts w:hint="eastAsia"/>
        </w:rPr>
        <w:t>1</w:t>
      </w:r>
      <w:r w:rsidR="002A2A2A">
        <w:rPr>
          <w:rFonts w:hint="eastAsia"/>
        </w:rPr>
        <w:t>、</w:t>
      </w:r>
      <w:r w:rsidR="002A2A2A">
        <w:rPr>
          <w:rFonts w:hint="eastAsia"/>
        </w:rPr>
        <w:t>2</w:t>
      </w:r>
      <w:r w:rsidR="002A2A2A">
        <w:rPr>
          <w:rFonts w:hint="eastAsia"/>
        </w:rPr>
        <w:t>、</w:t>
      </w:r>
      <w:r w:rsidR="002A2A2A">
        <w:rPr>
          <w:rFonts w:hint="eastAsia"/>
        </w:rPr>
        <w:t>4</w:t>
      </w:r>
      <w:r w:rsidR="002A2A2A">
        <w:rPr>
          <w:rFonts w:hint="eastAsia"/>
        </w:rPr>
        <w:t>、</w:t>
      </w:r>
      <w:r w:rsidR="002A2A2A">
        <w:rPr>
          <w:rFonts w:hint="eastAsia"/>
        </w:rPr>
        <w:t>5</w:t>
      </w:r>
      <w:r w:rsidR="002A2A2A">
        <w:rPr>
          <w:rFonts w:hint="eastAsia"/>
        </w:rPr>
        <w:t>、</w:t>
      </w:r>
      <w:r w:rsidR="002A2A2A">
        <w:rPr>
          <w:rFonts w:hint="eastAsia"/>
        </w:rPr>
        <w:t>7</w:t>
      </w:r>
      <w:r w:rsidR="002A2A2A">
        <w:rPr>
          <w:rFonts w:hint="eastAsia"/>
        </w:rPr>
        <w:t>、</w:t>
      </w:r>
      <w:r w:rsidR="002A2A2A">
        <w:rPr>
          <w:rFonts w:hint="eastAsia"/>
        </w:rPr>
        <w:t>8</w:t>
      </w:r>
      <w:r w:rsidR="002A2A2A">
        <w:rPr>
          <w:rFonts w:hint="eastAsia"/>
        </w:rPr>
        <w:t>、</w:t>
      </w:r>
      <w:r w:rsidR="002A2A2A">
        <w:rPr>
          <w:rFonts w:hint="eastAsia"/>
        </w:rPr>
        <w:t>10</w:t>
      </w:r>
      <w:r w:rsidR="002A2A2A">
        <w:rPr>
          <w:rFonts w:hint="eastAsia"/>
        </w:rPr>
        <w:t>、</w:t>
      </w:r>
      <w:r w:rsidR="002A2A2A">
        <w:rPr>
          <w:rFonts w:hint="eastAsia"/>
        </w:rPr>
        <w:t>11</w:t>
      </w:r>
      <w:r w:rsidR="002A2A2A">
        <w:rPr>
          <w:rFonts w:hint="eastAsia"/>
        </w:rPr>
        <w:t>月）與季度（</w:t>
      </w:r>
      <w:r w:rsidR="002A2A2A">
        <w:rPr>
          <w:rFonts w:hint="eastAsia"/>
        </w:rPr>
        <w:t>3</w:t>
      </w:r>
      <w:r w:rsidR="002A2A2A">
        <w:rPr>
          <w:rFonts w:hint="eastAsia"/>
        </w:rPr>
        <w:t>、</w:t>
      </w:r>
      <w:r w:rsidR="002A2A2A">
        <w:rPr>
          <w:rFonts w:hint="eastAsia"/>
        </w:rPr>
        <w:t>6</w:t>
      </w:r>
      <w:r w:rsidR="002A2A2A">
        <w:rPr>
          <w:rFonts w:hint="eastAsia"/>
        </w:rPr>
        <w:t>、</w:t>
      </w:r>
      <w:r w:rsidR="002A2A2A">
        <w:rPr>
          <w:rFonts w:hint="eastAsia"/>
        </w:rPr>
        <w:t>9</w:t>
      </w:r>
      <w:r w:rsidR="002A2A2A">
        <w:rPr>
          <w:rFonts w:hint="eastAsia"/>
        </w:rPr>
        <w:t>、</w:t>
      </w:r>
      <w:r w:rsidR="002A2A2A">
        <w:rPr>
          <w:rFonts w:hint="eastAsia"/>
        </w:rPr>
        <w:t>12</w:t>
      </w:r>
      <w:r w:rsidR="002A2A2A">
        <w:rPr>
          <w:rFonts w:hint="eastAsia"/>
        </w:rPr>
        <w:t>月）合約。</w:t>
      </w:r>
    </w:p>
    <w:p w14:paraId="633AF837" w14:textId="2C8C1B30" w:rsidR="00ED61D0" w:rsidRPr="002A2A2A" w:rsidRDefault="00E410D8" w:rsidP="008E3193">
      <w:pPr>
        <w:pStyle w:val="2"/>
      </w:pPr>
      <w:r>
        <w:rPr>
          <w:rFonts w:hint="eastAsia"/>
        </w:rPr>
        <w:t>3.2</w:t>
      </w:r>
      <w:r w:rsidR="00ED61D0">
        <w:rPr>
          <w:rFonts w:hint="eastAsia"/>
        </w:rPr>
        <w:t>比</w:t>
      </w:r>
      <w:proofErr w:type="gramStart"/>
      <w:r w:rsidR="00ED61D0">
        <w:rPr>
          <w:rFonts w:hint="eastAsia"/>
        </w:rPr>
        <w:t>特</w:t>
      </w:r>
      <w:proofErr w:type="gramEnd"/>
      <w:r w:rsidR="00ED61D0">
        <w:rPr>
          <w:rFonts w:hint="eastAsia"/>
        </w:rPr>
        <w:t>幣選擇權交易市場概況</w:t>
      </w:r>
    </w:p>
    <w:p w14:paraId="073656E1" w14:textId="3548423C" w:rsidR="00720E4C" w:rsidRDefault="00AB3ACB" w:rsidP="00A644AA">
      <w:pPr>
        <w:spacing w:before="180" w:after="180"/>
        <w:ind w:firstLine="480"/>
      </w:pPr>
      <w:r>
        <w:rPr>
          <w:rFonts w:hint="eastAsia"/>
        </w:rPr>
        <w:t>本研究</w:t>
      </w:r>
      <w:r w:rsidR="00A70A1B">
        <w:rPr>
          <w:rFonts w:hint="eastAsia"/>
        </w:rPr>
        <w:t>將</w:t>
      </w:r>
      <w:r>
        <w:rPr>
          <w:rFonts w:hint="eastAsia"/>
        </w:rPr>
        <w:t>透過比</w:t>
      </w:r>
      <w:proofErr w:type="gramStart"/>
      <w:r>
        <w:rPr>
          <w:rFonts w:hint="eastAsia"/>
        </w:rPr>
        <w:t>特</w:t>
      </w:r>
      <w:proofErr w:type="gramEnd"/>
      <w:r>
        <w:rPr>
          <w:rFonts w:hint="eastAsia"/>
        </w:rPr>
        <w:t>幣選擇權</w:t>
      </w:r>
      <w:r w:rsidR="00720E4C">
        <w:rPr>
          <w:rFonts w:hint="eastAsia"/>
        </w:rPr>
        <w:t>歷史</w:t>
      </w:r>
      <w:r>
        <w:rPr>
          <w:rFonts w:hint="eastAsia"/>
        </w:rPr>
        <w:t>交易</w:t>
      </w:r>
      <w:r w:rsidR="00720E4C">
        <w:rPr>
          <w:rFonts w:hint="eastAsia"/>
        </w:rPr>
        <w:t>數據進行實證分析，探討選擇權市場中</w:t>
      </w:r>
      <w:r>
        <w:rPr>
          <w:rFonts w:hint="eastAsia"/>
        </w:rPr>
        <w:t>的</w:t>
      </w:r>
      <w:r w:rsidR="00720E4C">
        <w:rPr>
          <w:rFonts w:hint="eastAsia"/>
        </w:rPr>
        <w:t>隱含波動率</w:t>
      </w:r>
      <w:r>
        <w:rPr>
          <w:rFonts w:hint="eastAsia"/>
        </w:rPr>
        <w:t>與</w:t>
      </w:r>
      <w:r w:rsidR="00720E4C">
        <w:rPr>
          <w:rFonts w:hint="eastAsia"/>
        </w:rPr>
        <w:t>市場預期價格變動</w:t>
      </w:r>
      <w:r>
        <w:rPr>
          <w:rFonts w:hint="eastAsia"/>
        </w:rPr>
        <w:t>之關聯</w:t>
      </w:r>
      <w:r w:rsidR="002F31B5">
        <w:rPr>
          <w:rFonts w:hint="eastAsia"/>
        </w:rPr>
        <w:t>性</w:t>
      </w:r>
      <w:r>
        <w:rPr>
          <w:rFonts w:hint="eastAsia"/>
        </w:rPr>
        <w:t>，並</w:t>
      </w:r>
      <w:r w:rsidR="00720E4C">
        <w:rPr>
          <w:rFonts w:hint="eastAsia"/>
        </w:rPr>
        <w:t>計算風險中立機率</w:t>
      </w:r>
      <w:r>
        <w:rPr>
          <w:rFonts w:hint="eastAsia"/>
        </w:rPr>
        <w:t>密度函數（</w:t>
      </w:r>
      <w:r>
        <w:rPr>
          <w:rFonts w:hint="eastAsia"/>
        </w:rPr>
        <w:t>Risk Neutral Density</w:t>
      </w:r>
      <w:r>
        <w:rPr>
          <w:rFonts w:hint="eastAsia"/>
        </w:rPr>
        <w:t>）</w:t>
      </w:r>
      <w:r w:rsidR="00720E4C">
        <w:rPr>
          <w:rFonts w:hint="eastAsia"/>
        </w:rPr>
        <w:t>，分析其</w:t>
      </w:r>
      <w:r>
        <w:rPr>
          <w:rFonts w:hint="eastAsia"/>
        </w:rPr>
        <w:t>於</w:t>
      </w:r>
      <w:r w:rsidR="00720E4C">
        <w:rPr>
          <w:rFonts w:hint="eastAsia"/>
        </w:rPr>
        <w:t>不同市場</w:t>
      </w:r>
      <w:r>
        <w:rPr>
          <w:rFonts w:hint="eastAsia"/>
        </w:rPr>
        <w:t>氛圍</w:t>
      </w:r>
      <w:r w:rsidR="00720E4C">
        <w:rPr>
          <w:rFonts w:hint="eastAsia"/>
        </w:rPr>
        <w:t>下</w:t>
      </w:r>
      <w:r>
        <w:rPr>
          <w:rFonts w:hint="eastAsia"/>
        </w:rPr>
        <w:t>之</w:t>
      </w:r>
      <w:r w:rsidR="00720E4C">
        <w:rPr>
          <w:rFonts w:hint="eastAsia"/>
        </w:rPr>
        <w:t>變化。</w:t>
      </w:r>
    </w:p>
    <w:p w14:paraId="23591486" w14:textId="4470A4C4" w:rsidR="007E75C0" w:rsidRPr="00FB35F3" w:rsidRDefault="007E75C0" w:rsidP="00FB35F3">
      <w:pPr>
        <w:spacing w:before="180" w:after="180"/>
        <w:ind w:firstLine="480"/>
      </w:pPr>
      <w:r>
        <w:rPr>
          <w:rFonts w:hint="eastAsia"/>
        </w:rPr>
        <w:t>本研究透過對</w:t>
      </w:r>
      <w:proofErr w:type="spellStart"/>
      <w:r>
        <w:rPr>
          <w:rFonts w:hint="eastAsia"/>
        </w:rPr>
        <w:t>Deribit</w:t>
      </w:r>
      <w:proofErr w:type="spellEnd"/>
      <w:r>
        <w:rPr>
          <w:rFonts w:hint="eastAsia"/>
        </w:rPr>
        <w:t>交易所數據進行分析，呈現</w:t>
      </w:r>
      <w:r w:rsidR="002F31B5">
        <w:fldChar w:fldCharType="begin"/>
      </w:r>
      <w:r w:rsidR="002F31B5">
        <w:instrText xml:space="preserve"> </w:instrText>
      </w:r>
      <w:r w:rsidR="002F31B5">
        <w:rPr>
          <w:rFonts w:hint="eastAsia"/>
        </w:rPr>
        <w:instrText>REF _Ref182962365 \h</w:instrText>
      </w:r>
      <w:r w:rsidR="002F31B5">
        <w:instrText xml:space="preserve"> </w:instrText>
      </w:r>
      <w:r w:rsidR="002F31B5">
        <w:fldChar w:fldCharType="separate"/>
      </w:r>
      <w:r w:rsidR="002116B3">
        <w:rPr>
          <w:rFonts w:hint="eastAsia"/>
        </w:rPr>
        <w:t>圖</w:t>
      </w:r>
      <w:r w:rsidR="002116B3">
        <w:rPr>
          <w:rFonts w:hint="eastAsia"/>
        </w:rPr>
        <w:t>3-</w:t>
      </w:r>
      <w:r w:rsidR="002116B3">
        <w:rPr>
          <w:noProof/>
        </w:rPr>
        <w:t>2</w:t>
      </w:r>
      <w:r w:rsidR="002F31B5">
        <w:fldChar w:fldCharType="end"/>
      </w:r>
      <w:r>
        <w:rPr>
          <w:rFonts w:hint="eastAsia"/>
        </w:rPr>
        <w:t>中買權與賣權的月交易量變化。</w:t>
      </w:r>
      <w:r w:rsidR="002F31B5">
        <w:rPr>
          <w:rFonts w:hint="eastAsia"/>
        </w:rPr>
        <w:t>如圖所示</w:t>
      </w:r>
      <w:r>
        <w:rPr>
          <w:rFonts w:hint="eastAsia"/>
        </w:rPr>
        <w:t>，自</w:t>
      </w:r>
      <w:r>
        <w:rPr>
          <w:rFonts w:hint="eastAsia"/>
        </w:rPr>
        <w:t>2020</w:t>
      </w:r>
      <w:r>
        <w:rPr>
          <w:rFonts w:hint="eastAsia"/>
        </w:rPr>
        <w:t>年</w:t>
      </w:r>
      <w:r>
        <w:rPr>
          <w:rFonts w:hint="eastAsia"/>
        </w:rPr>
        <w:t>10</w:t>
      </w:r>
      <w:r>
        <w:rPr>
          <w:rFonts w:hint="eastAsia"/>
        </w:rPr>
        <w:t>月</w:t>
      </w:r>
      <w:r w:rsidR="002F31B5">
        <w:rPr>
          <w:rFonts w:hint="eastAsia"/>
        </w:rPr>
        <w:t>起</w:t>
      </w:r>
      <w:r>
        <w:rPr>
          <w:rFonts w:hint="eastAsia"/>
        </w:rPr>
        <w:t>，選擇權交易量顯著增長</w:t>
      </w:r>
      <w:r w:rsidR="002F31B5">
        <w:rPr>
          <w:rFonts w:hint="eastAsia"/>
        </w:rPr>
        <w:t>，此</w:t>
      </w:r>
      <w:r>
        <w:rPr>
          <w:rFonts w:hint="eastAsia"/>
        </w:rPr>
        <w:t>趨勢</w:t>
      </w:r>
      <w:r w:rsidR="002F31B5">
        <w:rPr>
          <w:rFonts w:hint="eastAsia"/>
        </w:rPr>
        <w:t>歸因</w:t>
      </w:r>
      <w:r>
        <w:rPr>
          <w:rFonts w:hint="eastAsia"/>
        </w:rPr>
        <w:t>於</w:t>
      </w:r>
      <w:r>
        <w:rPr>
          <w:rFonts w:hint="eastAsia"/>
        </w:rPr>
        <w:t>2020</w:t>
      </w:r>
      <w:r>
        <w:rPr>
          <w:rFonts w:hint="eastAsia"/>
        </w:rPr>
        <w:t>年</w:t>
      </w:r>
      <w:r>
        <w:rPr>
          <w:rFonts w:hint="eastAsia"/>
        </w:rPr>
        <w:t>10</w:t>
      </w:r>
      <w:r>
        <w:rPr>
          <w:rFonts w:hint="eastAsia"/>
        </w:rPr>
        <w:t>月之前，</w:t>
      </w:r>
      <w:proofErr w:type="spellStart"/>
      <w:r>
        <w:rPr>
          <w:rFonts w:hint="eastAsia"/>
        </w:rPr>
        <w:t>Deribit</w:t>
      </w:r>
      <w:proofErr w:type="spellEnd"/>
      <w:r>
        <w:rPr>
          <w:rFonts w:hint="eastAsia"/>
        </w:rPr>
        <w:t>僅提供年度合約，而後增設了</w:t>
      </w:r>
      <w:r w:rsidR="002F31B5">
        <w:rPr>
          <w:rFonts w:hint="eastAsia"/>
        </w:rPr>
        <w:t>每日、每週及每季度</w:t>
      </w:r>
      <w:r>
        <w:rPr>
          <w:rFonts w:hint="eastAsia"/>
        </w:rPr>
        <w:t>到期</w:t>
      </w:r>
      <w:r w:rsidR="002F31B5">
        <w:rPr>
          <w:rFonts w:hint="eastAsia"/>
        </w:rPr>
        <w:t>之商品</w:t>
      </w:r>
      <w:r>
        <w:rPr>
          <w:rFonts w:hint="eastAsia"/>
        </w:rPr>
        <w:t>，從而推動交易量快速上升</w:t>
      </w:r>
      <w:r w:rsidR="009C7EF2">
        <w:rPr>
          <w:rFonts w:hint="eastAsia"/>
        </w:rPr>
        <w:t>；至</w:t>
      </w:r>
      <w:r w:rsidR="009C7EF2">
        <w:rPr>
          <w:rFonts w:hint="eastAsia"/>
        </w:rPr>
        <w:t>2023</w:t>
      </w:r>
      <w:r w:rsidR="009C7EF2">
        <w:rPr>
          <w:rFonts w:hint="eastAsia"/>
        </w:rPr>
        <w:t>年</w:t>
      </w:r>
      <w:r w:rsidR="009C7EF2">
        <w:rPr>
          <w:rFonts w:hint="eastAsia"/>
        </w:rPr>
        <w:t>9</w:t>
      </w:r>
      <w:r w:rsidR="009C7EF2">
        <w:rPr>
          <w:rFonts w:hint="eastAsia"/>
        </w:rPr>
        <w:t>月，交易量再次大幅增長，主因為受到比</w:t>
      </w:r>
      <w:proofErr w:type="gramStart"/>
      <w:r w:rsidR="009C7EF2">
        <w:rPr>
          <w:rFonts w:hint="eastAsia"/>
        </w:rPr>
        <w:t>特</w:t>
      </w:r>
      <w:proofErr w:type="gramEnd"/>
      <w:r w:rsidR="009C7EF2">
        <w:rPr>
          <w:rFonts w:hint="eastAsia"/>
        </w:rPr>
        <w:t>幣現貨價格大幅上漲之影響，買權交易量更於</w:t>
      </w:r>
      <w:r w:rsidR="009C7EF2">
        <w:rPr>
          <w:rFonts w:hint="eastAsia"/>
        </w:rPr>
        <w:t>2024</w:t>
      </w:r>
      <w:r w:rsidR="009C7EF2">
        <w:rPr>
          <w:rFonts w:hint="eastAsia"/>
        </w:rPr>
        <w:t>年</w:t>
      </w:r>
      <w:r w:rsidR="009C7EF2">
        <w:rPr>
          <w:rFonts w:hint="eastAsia"/>
        </w:rPr>
        <w:t>2</w:t>
      </w:r>
      <w:r w:rsidR="009C7EF2">
        <w:rPr>
          <w:rFonts w:hint="eastAsia"/>
        </w:rPr>
        <w:t>月達到歷史新高，</w:t>
      </w:r>
      <w:r w:rsidR="009C7EF2" w:rsidRPr="009C7EF2">
        <w:t>顯示出市場對比</w:t>
      </w:r>
      <w:proofErr w:type="gramStart"/>
      <w:r w:rsidR="009C7EF2" w:rsidRPr="009C7EF2">
        <w:t>特</w:t>
      </w:r>
      <w:proofErr w:type="gramEnd"/>
      <w:r w:rsidR="009C7EF2" w:rsidRPr="009C7EF2">
        <w:t>幣價格上漲</w:t>
      </w:r>
      <w:r w:rsidR="009C7EF2">
        <w:rPr>
          <w:rFonts w:hint="eastAsia"/>
        </w:rPr>
        <w:t>之</w:t>
      </w:r>
      <w:r w:rsidR="009C7EF2" w:rsidRPr="009C7EF2">
        <w:t>強烈預期。整</w:t>
      </w:r>
      <w:r w:rsidR="009C7EF2">
        <w:rPr>
          <w:rFonts w:hint="eastAsia"/>
        </w:rPr>
        <w:t>段</w:t>
      </w:r>
      <w:r w:rsidR="009C7EF2" w:rsidRPr="009C7EF2">
        <w:t>期間內，交易量存在明顯波動，反映了市場活躍度的變化，尤其在比</w:t>
      </w:r>
      <w:proofErr w:type="gramStart"/>
      <w:r w:rsidR="009C7EF2" w:rsidRPr="009C7EF2">
        <w:t>特</w:t>
      </w:r>
      <w:proofErr w:type="gramEnd"/>
      <w:r w:rsidR="009C7EF2" w:rsidRPr="009C7EF2">
        <w:t>幣價格劇烈波動時更為明顯。</w:t>
      </w:r>
      <w:r w:rsidR="009C7EF2">
        <w:rPr>
          <w:rFonts w:hint="eastAsia"/>
        </w:rPr>
        <w:t>自</w:t>
      </w:r>
      <w:r w:rsidR="009C7EF2" w:rsidRPr="009C7EF2">
        <w:t>2023</w:t>
      </w:r>
      <w:r w:rsidR="009C7EF2" w:rsidRPr="009C7EF2">
        <w:t>下半年開始，交易量</w:t>
      </w:r>
      <w:r w:rsidR="00FB35F3">
        <w:rPr>
          <w:rFonts w:hint="eastAsia"/>
        </w:rPr>
        <w:t>明顯</w:t>
      </w:r>
      <w:r w:rsidR="009C7EF2" w:rsidRPr="009C7EF2">
        <w:t>上升，顯示出</w:t>
      </w:r>
      <w:r w:rsidR="009C7EF2">
        <w:rPr>
          <w:rFonts w:hint="eastAsia"/>
        </w:rPr>
        <w:t>比</w:t>
      </w:r>
      <w:proofErr w:type="gramStart"/>
      <w:r w:rsidR="009C7EF2">
        <w:rPr>
          <w:rFonts w:hint="eastAsia"/>
        </w:rPr>
        <w:t>特</w:t>
      </w:r>
      <w:proofErr w:type="gramEnd"/>
      <w:r w:rsidR="009C7EF2">
        <w:rPr>
          <w:rFonts w:hint="eastAsia"/>
        </w:rPr>
        <w:t>幣選擇權交易</w:t>
      </w:r>
      <w:r w:rsidR="009C7EF2" w:rsidRPr="009C7EF2">
        <w:t>市場流動性</w:t>
      </w:r>
      <w:r w:rsidR="00FB35F3">
        <w:rPr>
          <w:rFonts w:hint="eastAsia"/>
        </w:rPr>
        <w:t>與深度之增強</w:t>
      </w:r>
      <w:r w:rsidR="009C7EF2" w:rsidRPr="009C7EF2">
        <w:t>。</w:t>
      </w:r>
    </w:p>
    <w:p w14:paraId="56C128DB" w14:textId="77777777" w:rsidR="002F31B5" w:rsidRDefault="002F31B5" w:rsidP="002F31B5">
      <w:pPr>
        <w:pStyle w:val="aa"/>
        <w:keepNext/>
        <w:spacing w:before="180" w:after="180"/>
      </w:pPr>
      <w:r w:rsidRPr="002F31B5">
        <w:drawing>
          <wp:inline distT="0" distB="0" distL="0" distR="0" wp14:anchorId="6B6620FF" wp14:editId="4D68B4D0">
            <wp:extent cx="4882428" cy="1756881"/>
            <wp:effectExtent l="0" t="0" r="0" b="0"/>
            <wp:docPr id="227790857" name="圖片 1" descr="一張含有 文字, 繪圖,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90857" name="圖片 1" descr="一張含有 文字, 繪圖, 螢幕擷取畫面, 行 的圖片&#10;&#10;自動產生的描述"/>
                    <pic:cNvPicPr/>
                  </pic:nvPicPr>
                  <pic:blipFill>
                    <a:blip r:embed="rId17"/>
                    <a:stretch>
                      <a:fillRect/>
                    </a:stretch>
                  </pic:blipFill>
                  <pic:spPr>
                    <a:xfrm>
                      <a:off x="0" y="0"/>
                      <a:ext cx="4953929" cy="1782610"/>
                    </a:xfrm>
                    <a:prstGeom prst="rect">
                      <a:avLst/>
                    </a:prstGeom>
                  </pic:spPr>
                </pic:pic>
              </a:graphicData>
            </a:graphic>
          </wp:inline>
        </w:drawing>
      </w:r>
    </w:p>
    <w:p w14:paraId="7B971181" w14:textId="5085DB4B" w:rsidR="00404225" w:rsidRDefault="002F31B5" w:rsidP="008E3193">
      <w:pPr>
        <w:pStyle w:val="a9"/>
        <w:spacing w:before="180" w:after="180"/>
      </w:pPr>
      <w:bookmarkStart w:id="4" w:name="_Ref182962365"/>
      <w:r>
        <w:rPr>
          <w:rFonts w:hint="eastAsia"/>
        </w:rPr>
        <w:t>圖</w:t>
      </w:r>
      <w:r>
        <w:rPr>
          <w:rFonts w:hint="eastAsia"/>
        </w:rPr>
        <w:t>3-</w:t>
      </w:r>
      <w:r>
        <w:fldChar w:fldCharType="begin"/>
      </w:r>
      <w:r>
        <w:instrText xml:space="preserve"> </w:instrText>
      </w:r>
      <w:r>
        <w:rPr>
          <w:rFonts w:hint="eastAsia"/>
        </w:rPr>
        <w:instrText xml:space="preserve">SEQ </w:instrText>
      </w:r>
      <w:r>
        <w:rPr>
          <w:rFonts w:hint="eastAsia"/>
        </w:rPr>
        <w:instrText>圖</w:instrText>
      </w:r>
      <w:r>
        <w:rPr>
          <w:rFonts w:hint="eastAsia"/>
        </w:rPr>
        <w:instrText>3- \* ARABIC</w:instrText>
      </w:r>
      <w:r>
        <w:instrText xml:space="preserve"> </w:instrText>
      </w:r>
      <w:r>
        <w:fldChar w:fldCharType="separate"/>
      </w:r>
      <w:r w:rsidR="002116B3">
        <w:rPr>
          <w:noProof/>
        </w:rPr>
        <w:t>2</w:t>
      </w:r>
      <w:r>
        <w:fldChar w:fldCharType="end"/>
      </w:r>
      <w:bookmarkEnd w:id="4"/>
      <w:r>
        <w:rPr>
          <w:rFonts w:hint="eastAsia"/>
        </w:rPr>
        <w:t>：</w:t>
      </w:r>
      <w:r>
        <w:rPr>
          <w:rFonts w:hint="eastAsia"/>
        </w:rPr>
        <w:t>2020</w:t>
      </w:r>
      <w:r>
        <w:rPr>
          <w:rFonts w:hint="eastAsia"/>
        </w:rPr>
        <w:t>年</w:t>
      </w:r>
      <w:r>
        <w:rPr>
          <w:rFonts w:hint="eastAsia"/>
        </w:rPr>
        <w:t>1</w:t>
      </w:r>
      <w:r>
        <w:rPr>
          <w:rFonts w:hint="eastAsia"/>
        </w:rPr>
        <w:t>月至</w:t>
      </w:r>
      <w:r>
        <w:rPr>
          <w:rFonts w:hint="eastAsia"/>
        </w:rPr>
        <w:t>2024</w:t>
      </w:r>
      <w:r>
        <w:rPr>
          <w:rFonts w:hint="eastAsia"/>
        </w:rPr>
        <w:t>年</w:t>
      </w:r>
      <w:r>
        <w:rPr>
          <w:rFonts w:hint="eastAsia"/>
        </w:rPr>
        <w:t>4</w:t>
      </w:r>
      <w:r>
        <w:rPr>
          <w:rFonts w:hint="eastAsia"/>
        </w:rPr>
        <w:t>月比</w:t>
      </w:r>
      <w:proofErr w:type="gramStart"/>
      <w:r>
        <w:rPr>
          <w:rFonts w:hint="eastAsia"/>
        </w:rPr>
        <w:t>特</w:t>
      </w:r>
      <w:proofErr w:type="gramEnd"/>
      <w:r>
        <w:rPr>
          <w:rFonts w:hint="eastAsia"/>
        </w:rPr>
        <w:t>幣</w:t>
      </w:r>
      <w:proofErr w:type="gramStart"/>
      <w:r>
        <w:rPr>
          <w:rFonts w:hint="eastAsia"/>
        </w:rPr>
        <w:t>選擇權買權</w:t>
      </w:r>
      <w:proofErr w:type="gramEnd"/>
      <w:r>
        <w:rPr>
          <w:rFonts w:hint="eastAsia"/>
        </w:rPr>
        <w:t>、賣權每月交易量</w:t>
      </w:r>
      <w:r w:rsidR="00404225">
        <w:br w:type="page"/>
      </w:r>
    </w:p>
    <w:p w14:paraId="47A3A5AD" w14:textId="74CF5978" w:rsidR="0073610D" w:rsidRDefault="0073610D" w:rsidP="0073610D">
      <w:pPr>
        <w:pStyle w:val="1"/>
        <w:spacing w:before="180" w:after="180"/>
      </w:pPr>
      <w:bookmarkStart w:id="5" w:name="_Toc182815179"/>
      <w:r>
        <w:rPr>
          <w:rFonts w:hint="eastAsia"/>
        </w:rPr>
        <w:lastRenderedPageBreak/>
        <w:t>第四章、</w:t>
      </w:r>
      <w:bookmarkEnd w:id="5"/>
      <w:r w:rsidR="00404225">
        <w:rPr>
          <w:rFonts w:hint="eastAsia"/>
        </w:rPr>
        <w:t>研究方法</w:t>
      </w:r>
    </w:p>
    <w:p w14:paraId="06D53243" w14:textId="33D13D44" w:rsidR="00666B54" w:rsidRDefault="00E410D8" w:rsidP="00E410D8">
      <w:pPr>
        <w:pStyle w:val="2"/>
      </w:pPr>
      <w:r>
        <w:rPr>
          <w:rFonts w:hint="eastAsia"/>
        </w:rPr>
        <w:t>4.1</w:t>
      </w:r>
      <w:r>
        <w:rPr>
          <w:rFonts w:hint="eastAsia"/>
        </w:rPr>
        <w:t>以理論計算風險中立</w:t>
      </w:r>
      <w:r w:rsidR="00806786">
        <w:rPr>
          <w:rFonts w:hint="eastAsia"/>
        </w:rPr>
        <w:t>機率</w:t>
      </w:r>
      <w:r>
        <w:rPr>
          <w:rFonts w:hint="eastAsia"/>
        </w:rPr>
        <w:t>密度之方法</w:t>
      </w:r>
    </w:p>
    <w:p w14:paraId="4CC5BE0A" w14:textId="4DEA64CA" w:rsidR="0012177C" w:rsidRDefault="00FD3081" w:rsidP="0012177C">
      <w:pPr>
        <w:spacing w:before="180" w:after="180"/>
        <w:ind w:firstLine="480"/>
      </w:pPr>
      <w:r w:rsidRPr="00FD3081">
        <w:rPr>
          <w:rFonts w:hint="eastAsia"/>
        </w:rPr>
        <w:t>下文中，符號</w:t>
      </w:r>
      <w:r w:rsidRPr="00FD3081">
        <w:t>C</w:t>
      </w:r>
      <w:r w:rsidRPr="00FD3081">
        <w:rPr>
          <w:rFonts w:hint="eastAsia"/>
        </w:rPr>
        <w:t>、</w:t>
      </w:r>
      <w:r w:rsidR="003643C9">
        <w:rPr>
          <w:rFonts w:hint="eastAsia"/>
        </w:rPr>
        <w:t>P</w:t>
      </w:r>
      <w:r w:rsidR="003643C9">
        <w:rPr>
          <w:rFonts w:hint="eastAsia"/>
        </w:rPr>
        <w:t>、</w:t>
      </w:r>
      <w:r w:rsidRPr="00FD3081">
        <w:t>S</w:t>
      </w:r>
      <w:r w:rsidRPr="00FD3081">
        <w:rPr>
          <w:rFonts w:hint="eastAsia"/>
        </w:rPr>
        <w:t>、</w:t>
      </w:r>
      <w:r w:rsidR="003643C9">
        <w:rPr>
          <w:rFonts w:hint="eastAsia"/>
        </w:rPr>
        <w:t>K</w:t>
      </w:r>
      <w:r w:rsidRPr="00FD3081">
        <w:rPr>
          <w:rFonts w:hint="eastAsia"/>
        </w:rPr>
        <w:t>、</w:t>
      </w:r>
      <w:r w:rsidR="003643C9">
        <w:rPr>
          <w:rFonts w:hint="eastAsia"/>
        </w:rPr>
        <w:t>及</w:t>
      </w:r>
      <w:r w:rsidRPr="00FD3081">
        <w:t>T</w:t>
      </w:r>
      <w:r w:rsidRPr="00FD3081">
        <w:rPr>
          <w:rFonts w:hint="eastAsia"/>
        </w:rPr>
        <w:t>均</w:t>
      </w:r>
      <w:r>
        <w:rPr>
          <w:rFonts w:hint="eastAsia"/>
        </w:rPr>
        <w:t>代表</w:t>
      </w:r>
      <w:r w:rsidRPr="00FD3081">
        <w:rPr>
          <w:rFonts w:hint="eastAsia"/>
        </w:rPr>
        <w:t>選擇權標準意義：</w:t>
      </w:r>
      <w:r w:rsidRPr="00FD3081">
        <w:t>C</w:t>
      </w:r>
      <w:r>
        <w:rPr>
          <w:rFonts w:hint="eastAsia"/>
        </w:rPr>
        <w:t>為</w:t>
      </w:r>
      <w:r w:rsidRPr="00FD3081">
        <w:rPr>
          <w:rFonts w:hint="eastAsia"/>
        </w:rPr>
        <w:t>買權價格</w:t>
      </w:r>
      <w:r w:rsidR="00EF4FE7">
        <w:rPr>
          <w:rFonts w:hint="eastAsia"/>
        </w:rPr>
        <w:t>、</w:t>
      </w:r>
      <w:r w:rsidR="00EF4FE7" w:rsidRPr="00FD3081">
        <w:t>P</w:t>
      </w:r>
      <w:r w:rsidR="00EF4FE7">
        <w:rPr>
          <w:rFonts w:hint="eastAsia"/>
        </w:rPr>
        <w:t>為賣權</w:t>
      </w:r>
      <w:r w:rsidR="00EF4FE7" w:rsidRPr="00FD3081">
        <w:rPr>
          <w:rFonts w:hint="eastAsia"/>
        </w:rPr>
        <w:t>價格</w:t>
      </w:r>
      <w:r>
        <w:rPr>
          <w:rFonts w:hint="eastAsia"/>
        </w:rPr>
        <w:t>、</w:t>
      </w:r>
      <w:r w:rsidRPr="00FD3081">
        <w:t>S</w:t>
      </w:r>
      <w:r>
        <w:rPr>
          <w:rFonts w:hint="eastAsia"/>
        </w:rPr>
        <w:t>為</w:t>
      </w:r>
      <w:r w:rsidRPr="00FD3081">
        <w:rPr>
          <w:rFonts w:hint="eastAsia"/>
        </w:rPr>
        <w:t>標的資產</w:t>
      </w:r>
      <w:r>
        <w:rPr>
          <w:rFonts w:hint="eastAsia"/>
        </w:rPr>
        <w:t>現價、</w:t>
      </w:r>
      <w:r>
        <w:rPr>
          <w:rFonts w:hint="eastAsia"/>
        </w:rPr>
        <w:t>K</w:t>
      </w:r>
      <w:r>
        <w:rPr>
          <w:rFonts w:hint="eastAsia"/>
        </w:rPr>
        <w:t>為履約</w:t>
      </w:r>
      <w:r w:rsidRPr="00FD3081">
        <w:rPr>
          <w:rFonts w:hint="eastAsia"/>
        </w:rPr>
        <w:t>價格</w:t>
      </w:r>
      <w:r>
        <w:rPr>
          <w:rFonts w:hint="eastAsia"/>
        </w:rPr>
        <w:t>、</w:t>
      </w:r>
      <w:r w:rsidRPr="00FD3081">
        <w:t>r</w:t>
      </w:r>
      <w:r>
        <w:rPr>
          <w:rFonts w:hint="eastAsia"/>
        </w:rPr>
        <w:t>為</w:t>
      </w:r>
      <w:r w:rsidRPr="00FD3081">
        <w:rPr>
          <w:rFonts w:hint="eastAsia"/>
        </w:rPr>
        <w:t>無風險利率</w:t>
      </w:r>
      <w:r>
        <w:rPr>
          <w:rFonts w:hint="eastAsia"/>
        </w:rPr>
        <w:t>、</w:t>
      </w:r>
      <w:r w:rsidRPr="00FD3081">
        <w:t>T</w:t>
      </w:r>
      <w:r>
        <w:rPr>
          <w:rFonts w:hint="eastAsia"/>
        </w:rPr>
        <w:t>為</w:t>
      </w:r>
      <w:proofErr w:type="gramStart"/>
      <w:r w:rsidRPr="00FD3081">
        <w:rPr>
          <w:rFonts w:hint="eastAsia"/>
        </w:rPr>
        <w:t>選擇權</w:t>
      </w:r>
      <w:r>
        <w:rPr>
          <w:rFonts w:hint="eastAsia"/>
        </w:rPr>
        <w:t>距</w:t>
      </w:r>
      <w:r w:rsidRPr="00FD3081">
        <w:rPr>
          <w:rFonts w:hint="eastAsia"/>
        </w:rPr>
        <w:t>到期</w:t>
      </w:r>
      <w:proofErr w:type="gramEnd"/>
      <w:r w:rsidRPr="00FD3081">
        <w:rPr>
          <w:rFonts w:hint="eastAsia"/>
        </w:rPr>
        <w:t>日</w:t>
      </w:r>
      <w:r>
        <w:rPr>
          <w:rFonts w:hint="eastAsia"/>
        </w:rPr>
        <w:t>天數</w:t>
      </w:r>
      <w:r w:rsidR="00EF4FE7">
        <w:rPr>
          <w:rFonts w:hint="eastAsia"/>
        </w:rPr>
        <w:t>，本研究</w:t>
      </w:r>
      <w:r w:rsidRPr="00FD3081">
        <w:rPr>
          <w:rFonts w:hint="eastAsia"/>
        </w:rPr>
        <w:t>也將使用</w:t>
      </w:r>
      <m:oMath>
        <m:r>
          <w:rPr>
            <w:rStyle w:val="a8"/>
            <w:rFonts w:ascii="Cambria Math" w:hAnsi="Cambria Math"/>
            <w:color w:val="auto"/>
          </w:rPr>
          <m:t>f(K)</m:t>
        </m:r>
      </m:oMath>
      <w:r w:rsidR="00EF4FE7">
        <w:rPr>
          <w:rFonts w:hint="eastAsia"/>
        </w:rPr>
        <w:t>表示為</w:t>
      </w:r>
      <w:r w:rsidRPr="00FD3081">
        <w:rPr>
          <w:rFonts w:hint="eastAsia"/>
        </w:rPr>
        <w:t>風險中</w:t>
      </w:r>
      <w:r w:rsidR="00EF4FE7">
        <w:rPr>
          <w:rFonts w:hint="eastAsia"/>
        </w:rPr>
        <w:t>立</w:t>
      </w:r>
      <w:r w:rsidRPr="00FD3081">
        <w:rPr>
          <w:rFonts w:hint="eastAsia"/>
        </w:rPr>
        <w:t>機率密度函數</w:t>
      </w:r>
      <w:r w:rsidR="00FA3E79">
        <w:rPr>
          <w:rFonts w:hint="eastAsia"/>
        </w:rPr>
        <w:t>（</w:t>
      </w:r>
      <w:r w:rsidR="00EF4FE7">
        <w:rPr>
          <w:rFonts w:hint="eastAsia"/>
        </w:rPr>
        <w:t>Risk Neutral Probability Density Function</w:t>
      </w:r>
      <w:r w:rsidR="00FA3E79">
        <w:rPr>
          <w:rFonts w:hint="eastAsia"/>
        </w:rPr>
        <w:t>, RND</w:t>
      </w:r>
      <w:r w:rsidR="00FA3E79">
        <w:rPr>
          <w:rFonts w:hint="eastAsia"/>
        </w:rPr>
        <w:t>）</w:t>
      </w:r>
      <w:r w:rsidRPr="00FD3081">
        <w:rPr>
          <w:rFonts w:hint="eastAsia"/>
        </w:rPr>
        <w:t>和</w:t>
      </w:r>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K</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m:t>
            </m:r>
          </m:e>
        </m:nary>
      </m:oMath>
      <w:r w:rsidR="00EF4FE7">
        <w:rPr>
          <w:rFonts w:hint="eastAsia"/>
        </w:rPr>
        <w:t>表示為</w:t>
      </w:r>
      <w:r w:rsidRPr="00FD3081">
        <w:rPr>
          <w:rFonts w:hint="eastAsia"/>
        </w:rPr>
        <w:t>風險</w:t>
      </w:r>
      <w:r w:rsidR="00EF4FE7">
        <w:rPr>
          <w:rFonts w:hint="eastAsia"/>
        </w:rPr>
        <w:t>中立分布</w:t>
      </w:r>
      <w:r w:rsidRPr="00FD3081">
        <w:rPr>
          <w:rFonts w:hint="eastAsia"/>
        </w:rPr>
        <w:t>函數</w:t>
      </w:r>
      <w:r w:rsidR="000E34B5">
        <w:rPr>
          <w:rFonts w:hint="eastAsia"/>
        </w:rPr>
        <w:t>（</w:t>
      </w:r>
      <w:r w:rsidR="000E34B5">
        <w:rPr>
          <w:rFonts w:hint="eastAsia"/>
        </w:rPr>
        <w:t>Risk Neutral Distribution Function</w:t>
      </w:r>
      <w:r w:rsidR="000E34B5">
        <w:rPr>
          <w:rFonts w:hint="eastAsia"/>
        </w:rPr>
        <w:t>）</w:t>
      </w:r>
      <w:r w:rsidRPr="00FD3081">
        <w:rPr>
          <w:rFonts w:hint="eastAsia"/>
        </w:rPr>
        <w:t>。</w:t>
      </w:r>
    </w:p>
    <w:p w14:paraId="58AAA343" w14:textId="3F3A51F9" w:rsidR="00AF758B" w:rsidRDefault="00AF758B" w:rsidP="0012177C">
      <w:pPr>
        <w:spacing w:before="180" w:after="180"/>
        <w:ind w:firstLine="480"/>
      </w:pPr>
      <w:r w:rsidRPr="00AF758B">
        <w:rPr>
          <w:rFonts w:hint="eastAsia"/>
        </w:rPr>
        <w:t>買權</w:t>
      </w:r>
      <w:r>
        <w:rPr>
          <w:rFonts w:hint="eastAsia"/>
        </w:rPr>
        <w:t>價格</w:t>
      </w:r>
      <w:r w:rsidRPr="00AF758B">
        <w:rPr>
          <w:rFonts w:hint="eastAsia"/>
        </w:rPr>
        <w:t>是其在到期日</w:t>
      </w:r>
      <w:r>
        <w:rPr>
          <w:rFonts w:hint="eastAsia"/>
        </w:rPr>
        <w:t>天數</w:t>
      </w:r>
      <w:r w:rsidRPr="00AF758B">
        <w:rPr>
          <w:rFonts w:hint="eastAsia"/>
        </w:rPr>
        <w:t>T</w:t>
      </w:r>
      <w:r>
        <w:rPr>
          <w:rFonts w:hint="eastAsia"/>
        </w:rPr>
        <w:t>前之</w:t>
      </w:r>
      <w:r w:rsidRPr="00AF758B">
        <w:rPr>
          <w:rFonts w:hint="eastAsia"/>
        </w:rPr>
        <w:t>收益預期</w:t>
      </w:r>
      <w:r>
        <w:rPr>
          <w:rFonts w:hint="eastAsia"/>
        </w:rPr>
        <w:t>，折現</w:t>
      </w:r>
      <w:r w:rsidR="003643C9">
        <w:rPr>
          <w:rFonts w:hint="eastAsia"/>
        </w:rPr>
        <w:t>回當前</w:t>
      </w:r>
      <w:r>
        <w:rPr>
          <w:rFonts w:hint="eastAsia"/>
        </w:rPr>
        <w:t>之價值</w:t>
      </w:r>
      <w:r w:rsidRPr="00AF758B">
        <w:rPr>
          <w:rFonts w:hint="eastAsia"/>
        </w:rPr>
        <w:t>。</w:t>
      </w:r>
      <w:r>
        <w:rPr>
          <w:rFonts w:hint="eastAsia"/>
        </w:rPr>
        <w:t>於</w:t>
      </w:r>
      <w:r w:rsidRPr="00AF758B">
        <w:rPr>
          <w:rFonts w:hint="eastAsia"/>
        </w:rPr>
        <w:t>風險中立</w:t>
      </w:r>
      <w:r>
        <w:rPr>
          <w:rFonts w:hint="eastAsia"/>
        </w:rPr>
        <w:t>之情形下</w:t>
      </w:r>
      <w:r w:rsidRPr="00AF758B">
        <w:rPr>
          <w:rFonts w:hint="eastAsia"/>
        </w:rPr>
        <w:t>，</w:t>
      </w:r>
      <w:r w:rsidR="003643C9">
        <w:rPr>
          <w:rFonts w:hint="eastAsia"/>
        </w:rPr>
        <w:t>該</w:t>
      </w:r>
      <w:r w:rsidRPr="00AF758B">
        <w:rPr>
          <w:rFonts w:hint="eastAsia"/>
        </w:rPr>
        <w:t>預期</w:t>
      </w:r>
      <w:r w:rsidR="00321AF4">
        <w:rPr>
          <w:rFonts w:hint="eastAsia"/>
        </w:rPr>
        <w:t>價格則可</w:t>
      </w:r>
      <w:r w:rsidR="003643C9">
        <w:rPr>
          <w:rFonts w:hint="eastAsia"/>
        </w:rPr>
        <w:t>基於</w:t>
      </w:r>
      <w:r w:rsidRPr="00AF758B">
        <w:rPr>
          <w:rFonts w:hint="eastAsia"/>
        </w:rPr>
        <w:t>風險中</w:t>
      </w:r>
      <w:r w:rsidR="003643C9">
        <w:rPr>
          <w:rFonts w:hint="eastAsia"/>
        </w:rPr>
        <w:t>立</w:t>
      </w:r>
      <w:r w:rsidRPr="00AF758B">
        <w:rPr>
          <w:rFonts w:hint="eastAsia"/>
        </w:rPr>
        <w:t>機率計算，並以無風險利率進行折現</w:t>
      </w:r>
      <w:r w:rsidR="005A4D09">
        <w:rPr>
          <w:rFonts w:hint="eastAsia"/>
        </w:rPr>
        <w:t>，公式如下：</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450"/>
      </w:tblGrid>
      <w:tr w:rsidR="003643C9" w14:paraId="2391A1BF" w14:textId="77777777" w:rsidTr="00646BB2">
        <w:tc>
          <w:tcPr>
            <w:tcW w:w="8045" w:type="dxa"/>
            <w:vAlign w:val="center"/>
          </w:tcPr>
          <w:p w14:paraId="57DFE7FB" w14:textId="7AC6CD41" w:rsidR="003643C9" w:rsidRDefault="003643C9" w:rsidP="00646BB2">
            <w:pPr>
              <w:spacing w:before="180" w:after="180"/>
              <w:ind w:firstLineChars="0" w:firstLine="0"/>
              <w:jc w:val="center"/>
            </w:pPr>
            <m:oMathPara>
              <m:oMath>
                <m:r>
                  <w:rPr>
                    <w:rFonts w:ascii="Cambria Math" w:hAnsi="Cambria Math"/>
                  </w:rPr>
                  <m:t>C=</m:t>
                </m:r>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-rT</m:t>
                        </m:r>
                      </m:sup>
                    </m:sSup>
                  </m:e>
                </m:nary>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tc>
        <w:tc>
          <w:tcPr>
            <w:tcW w:w="449" w:type="dxa"/>
            <w:vAlign w:val="center"/>
          </w:tcPr>
          <w:p w14:paraId="43D37DE5" w14:textId="46B3ACC7" w:rsidR="003643C9" w:rsidRDefault="003643C9" w:rsidP="00646BB2">
            <w:pPr>
              <w:pStyle w:val="a9"/>
              <w:spacing w:before="180" w:after="180"/>
              <w:jc w:val="right"/>
            </w:pPr>
            <w:bookmarkStart w:id="6" w:name="_Ref183666859"/>
            <w:r>
              <w:t>(</w:t>
            </w:r>
            <w:fldSimple w:instr=" SEQ ( \* ARABIC ">
              <w:r w:rsidR="002116B3">
                <w:rPr>
                  <w:noProof/>
                </w:rPr>
                <w:t>1</w:t>
              </w:r>
            </w:fldSimple>
            <w:r>
              <w:rPr>
                <w:rFonts w:hint="eastAsia"/>
              </w:rPr>
              <w:t>)</w:t>
            </w:r>
            <w:bookmarkEnd w:id="6"/>
          </w:p>
        </w:tc>
      </w:tr>
    </w:tbl>
    <w:p w14:paraId="14F70EF2" w14:textId="1FDE3F92" w:rsidR="0012177C" w:rsidRDefault="005A4D09" w:rsidP="0012177C">
      <w:pPr>
        <w:spacing w:before="180" w:after="180"/>
        <w:ind w:firstLine="480"/>
      </w:pPr>
      <w:r>
        <w:rPr>
          <w:rFonts w:hint="eastAsia"/>
        </w:rPr>
        <w:t>接著將買權價格</w:t>
      </w:r>
      <w:r w:rsidR="00646BB2">
        <w:rPr>
          <w:rFonts w:hint="eastAsia"/>
        </w:rPr>
        <w:t>C</w:t>
      </w:r>
      <w:r>
        <w:rPr>
          <w:rFonts w:hint="eastAsia"/>
        </w:rPr>
        <w:t>對履約價格</w:t>
      </w:r>
      <w:r w:rsidR="00646BB2">
        <w:rPr>
          <w:rFonts w:hint="eastAsia"/>
        </w:rPr>
        <w:t>K</w:t>
      </w:r>
      <w:r>
        <w:rPr>
          <w:rFonts w:hint="eastAsia"/>
        </w:rPr>
        <w:t>進行</w:t>
      </w:r>
      <w:r w:rsidR="00764F78">
        <w:rPr>
          <w:rFonts w:hint="eastAsia"/>
        </w:rPr>
        <w:t>一次</w:t>
      </w:r>
      <w:r>
        <w:rPr>
          <w:rFonts w:hint="eastAsia"/>
        </w:rPr>
        <w:t>偏微分，可導出風險中立分布函數</w:t>
      </w:r>
      <m:oMath>
        <m:r>
          <w:rPr>
            <w:rFonts w:ascii="Cambria Math" w:hAnsi="Cambria Math"/>
          </w:rPr>
          <m:t>F(K)</m:t>
        </m:r>
      </m:oMath>
      <w:r>
        <w:rPr>
          <w:rFonts w:hint="eastAsia"/>
        </w:rPr>
        <w:t>，公式如下：</w:t>
      </w:r>
    </w:p>
    <w:p w14:paraId="097E37F5" w14:textId="2F76F35E" w:rsidR="00646BB2" w:rsidRPr="00646BB2" w:rsidRDefault="00000000" w:rsidP="0012177C">
      <w:pPr>
        <w:spacing w:before="180" w:after="180"/>
        <w:ind w:firstLine="480"/>
      </w:pPr>
      <m:oMathPara>
        <m:oMath>
          <m:f>
            <m:fPr>
              <m:ctrlPr>
                <w:rPr>
                  <w:rFonts w:ascii="Cambria Math" w:hAnsi="Cambria Math"/>
                  <w:i/>
                </w:rPr>
              </m:ctrlPr>
            </m:fPr>
            <m:num>
              <m:r>
                <w:rPr>
                  <w:rFonts w:ascii="Cambria Math" w:hAnsi="Cambria Math"/>
                </w:rPr>
                <m:t>∂</m:t>
              </m:r>
              <m:r>
                <w:rPr>
                  <w:rFonts w:ascii="Cambria Math" w:hAnsi="Cambria Math" w:hint="eastAsia"/>
                </w:rPr>
                <m:t>C</m:t>
              </m:r>
            </m:num>
            <m:den>
              <m:r>
                <w:rPr>
                  <w:rFonts w:ascii="Cambria Math" w:hAnsi="Cambria Math"/>
                </w:rPr>
                <m:t>∂K</m:t>
              </m:r>
            </m:den>
          </m:f>
          <m:r>
            <m:rPr>
              <m:aln/>
            </m:rP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-rT</m:t>
                      </m:r>
                    </m:sup>
                  </m:sSup>
                </m:e>
              </m:nary>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m:rPr>
              <m:sty m:val="p"/>
            </m:rPr>
            <w:rPr>
              <w:rFonts w:ascii="Cambria Math" w:hAnsi="Cambria Math"/>
            </w:rPr>
            <w:br/>
          </m:r>
        </m:oMath>
        <m:oMath>
          <m:r>
            <m:rPr>
              <m:aln/>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K-K</m:t>
                  </m:r>
                </m:e>
              </m:d>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nary>
                <m:naryPr>
                  <m:limLoc m:val="subSup"/>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subSup"/>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r>
                <w:rPr>
                  <w:rFonts w:ascii="Cambria Math" w:hAnsi="Cambria Math"/>
                </w:rPr>
                <m:t>1-F(K)</m:t>
              </m:r>
            </m:e>
          </m:d>
        </m:oMath>
      </m:oMathPara>
    </w:p>
    <w:p w14:paraId="369F3B19" w14:textId="301608BE" w:rsidR="00646BB2" w:rsidRDefault="00646BB2" w:rsidP="00646BB2">
      <w:pPr>
        <w:spacing w:before="180" w:after="180"/>
        <w:ind w:firstLine="480"/>
      </w:pPr>
      <w:r>
        <w:rPr>
          <w:rFonts w:hint="eastAsia"/>
        </w:rPr>
        <w:t>移項可得風險中立分布函數</w:t>
      </w:r>
      <m:oMath>
        <m:r>
          <w:rPr>
            <w:rFonts w:ascii="Cambria Math" w:hAnsi="Cambria Math"/>
          </w:rPr>
          <m:t>F(K)</m:t>
        </m:r>
      </m:oMath>
      <w:r>
        <w:rPr>
          <w:rFonts w:hint="eastAsia"/>
        </w:rPr>
        <w:t>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450"/>
      </w:tblGrid>
      <w:tr w:rsidR="00646BB2" w14:paraId="7110BA7F" w14:textId="77777777" w:rsidTr="00646BB2">
        <w:tc>
          <w:tcPr>
            <w:tcW w:w="8045" w:type="dxa"/>
            <w:vAlign w:val="center"/>
          </w:tcPr>
          <w:p w14:paraId="1FDD1C84" w14:textId="4E16449A" w:rsidR="00646BB2" w:rsidRPr="006B2BAD" w:rsidRDefault="00646BB2" w:rsidP="00646BB2">
            <w:pPr>
              <w:spacing w:before="180" w:after="180"/>
              <w:ind w:firstLine="480"/>
              <w:jc w:val="cente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r>
                      <w:rPr>
                        <w:rFonts w:ascii="Cambria Math" w:hAnsi="Cambria Math"/>
                      </w:rPr>
                      <m:t>∂</m:t>
                    </m:r>
                    <m:r>
                      <w:rPr>
                        <w:rFonts w:ascii="Cambria Math" w:hAnsi="Cambria Math" w:hint="eastAsia"/>
                      </w:rPr>
                      <m:t>C</m:t>
                    </m:r>
                  </m:num>
                  <m:den>
                    <m:r>
                      <w:rPr>
                        <w:rFonts w:ascii="Cambria Math" w:hAnsi="Cambria Math"/>
                      </w:rPr>
                      <m:t>∂K</m:t>
                    </m:r>
                  </m:den>
                </m:f>
                <m:r>
                  <w:rPr>
                    <w:rFonts w:ascii="Cambria Math" w:hAnsi="Cambria Math"/>
                  </w:rPr>
                  <m:t>+1</m:t>
                </m:r>
              </m:oMath>
            </m:oMathPara>
          </w:p>
        </w:tc>
        <w:tc>
          <w:tcPr>
            <w:tcW w:w="449" w:type="dxa"/>
            <w:vAlign w:val="center"/>
          </w:tcPr>
          <w:p w14:paraId="009BB8E4" w14:textId="1D2858BB" w:rsidR="00764F78" w:rsidRPr="00764F78" w:rsidRDefault="00646BB2" w:rsidP="00764F78">
            <w:pPr>
              <w:pStyle w:val="a9"/>
              <w:spacing w:before="180" w:after="180"/>
              <w:jc w:val="right"/>
            </w:pPr>
            <w:bookmarkStart w:id="7" w:name="_Ref183663957"/>
            <w:bookmarkStart w:id="8" w:name="_Ref183663960"/>
            <w:r>
              <w:t>(</w:t>
            </w:r>
            <w:fldSimple w:instr=" SEQ ( \* ARABIC ">
              <w:r w:rsidR="002116B3">
                <w:rPr>
                  <w:noProof/>
                </w:rPr>
                <w:t>2</w:t>
              </w:r>
            </w:fldSimple>
            <w:bookmarkEnd w:id="7"/>
            <w:r>
              <w:rPr>
                <w:rFonts w:hint="eastAsia"/>
              </w:rPr>
              <w:t>)</w:t>
            </w:r>
            <w:bookmarkEnd w:id="8"/>
          </w:p>
        </w:tc>
      </w:tr>
    </w:tbl>
    <w:p w14:paraId="7ACA79FE" w14:textId="52CF84CA" w:rsidR="00764F78" w:rsidRDefault="00764F78" w:rsidP="00764F78">
      <w:pPr>
        <w:spacing w:before="180" w:after="180"/>
        <w:ind w:firstLine="480"/>
      </w:pPr>
      <w:r>
        <w:rPr>
          <w:rFonts w:hint="eastAsia"/>
        </w:rPr>
        <w:lastRenderedPageBreak/>
        <w:t>接著對公式</w:t>
      </w:r>
      <w:r w:rsidR="00C451F7">
        <w:fldChar w:fldCharType="begin"/>
      </w:r>
      <w:r w:rsidR="00C451F7">
        <w:instrText xml:space="preserve"> REF _Ref183663960 \h </w:instrText>
      </w:r>
      <w:r w:rsidR="00C451F7">
        <w:fldChar w:fldCharType="separate"/>
      </w:r>
      <w:r w:rsidR="002116B3">
        <w:t>(</w:t>
      </w:r>
      <w:r w:rsidR="002116B3">
        <w:rPr>
          <w:noProof/>
        </w:rPr>
        <w:t>2</w:t>
      </w:r>
      <w:r w:rsidR="002116B3">
        <w:rPr>
          <w:rFonts w:hint="eastAsia"/>
        </w:rPr>
        <w:t>)</w:t>
      </w:r>
      <w:r w:rsidR="00C451F7">
        <w:fldChar w:fldCharType="end"/>
      </w:r>
      <w:r w:rsidR="00C451F7">
        <w:rPr>
          <w:rFonts w:hint="eastAsia"/>
        </w:rPr>
        <w:t>中之履約價格</w:t>
      </w:r>
      <w:r w:rsidR="00C451F7">
        <w:rPr>
          <w:rFonts w:hint="eastAsia"/>
        </w:rPr>
        <w:t>K</w:t>
      </w:r>
      <w:r w:rsidR="00C451F7">
        <w:rPr>
          <w:rFonts w:hint="eastAsia"/>
        </w:rPr>
        <w:t>再次進行偏微分，可導出於履約價格</w:t>
      </w:r>
      <w:r w:rsidR="00C451F7">
        <w:rPr>
          <w:rFonts w:hint="eastAsia"/>
        </w:rPr>
        <w:t>K</w:t>
      </w:r>
      <w:r w:rsidR="00C451F7">
        <w:rPr>
          <w:rFonts w:hint="eastAsia"/>
        </w:rPr>
        <w:t>處之</w:t>
      </w:r>
      <w:r w:rsidR="00C451F7">
        <w:rPr>
          <w:rFonts w:hint="eastAsia"/>
        </w:rPr>
        <w:t>RND</w:t>
      </w:r>
      <w:r w:rsidR="00C451F7">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450"/>
      </w:tblGrid>
      <w:tr w:rsidR="00C451F7" w14:paraId="3B46904C" w14:textId="77777777" w:rsidTr="009703DB">
        <w:tc>
          <w:tcPr>
            <w:tcW w:w="8045" w:type="dxa"/>
            <w:vAlign w:val="center"/>
          </w:tcPr>
          <w:p w14:paraId="2CBB239C" w14:textId="18B6B1D5" w:rsidR="00C451F7" w:rsidRPr="006B2BAD" w:rsidRDefault="009703DB" w:rsidP="00495049">
            <w:pPr>
              <w:spacing w:before="180" w:after="180"/>
              <w:ind w:firstLine="480"/>
              <w:jc w:val="cente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r>
                          <w:rPr>
                            <w:rFonts w:ascii="Cambria Math" w:hAnsi="Cambria Math"/>
                          </w:rPr>
                          <m:t>∂</m:t>
                        </m:r>
                        <m:r>
                          <w:rPr>
                            <w:rFonts w:ascii="Cambria Math" w:hAnsi="Cambria Math" w:hint="eastAsia"/>
                          </w:rPr>
                          <m:t>C</m:t>
                        </m:r>
                      </m:num>
                      <m:den>
                        <m:r>
                          <w:rPr>
                            <w:rFonts w:ascii="Cambria Math" w:hAnsi="Cambria Math"/>
                          </w:rPr>
                          <m:t>∂K</m:t>
                        </m:r>
                      </m:den>
                    </m:f>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tc>
        <w:tc>
          <w:tcPr>
            <w:tcW w:w="450" w:type="dxa"/>
            <w:vAlign w:val="center"/>
          </w:tcPr>
          <w:p w14:paraId="2251E839" w14:textId="53F02807" w:rsidR="00C451F7" w:rsidRPr="00764F78" w:rsidRDefault="00C451F7" w:rsidP="009703DB">
            <w:pPr>
              <w:pStyle w:val="a9"/>
              <w:spacing w:before="180" w:after="180"/>
              <w:jc w:val="right"/>
            </w:pPr>
            <w:bookmarkStart w:id="9" w:name="_Ref183665445"/>
            <w:r>
              <w:t>(</w:t>
            </w:r>
            <w:fldSimple w:instr=" SEQ ( \* ARABIC ">
              <w:r w:rsidR="002116B3">
                <w:rPr>
                  <w:noProof/>
                </w:rPr>
                <w:t>3</w:t>
              </w:r>
            </w:fldSimple>
            <w:r>
              <w:rPr>
                <w:rFonts w:hint="eastAsia"/>
              </w:rPr>
              <w:t>)</w:t>
            </w:r>
            <w:bookmarkEnd w:id="9"/>
          </w:p>
        </w:tc>
      </w:tr>
    </w:tbl>
    <w:p w14:paraId="072B8C89" w14:textId="0EFA911E" w:rsidR="00C451F7" w:rsidRDefault="00074155" w:rsidP="00764F78">
      <w:pPr>
        <w:spacing w:before="180" w:after="180"/>
        <w:ind w:firstLine="480"/>
      </w:pPr>
      <w:r>
        <w:rPr>
          <w:rFonts w:hint="eastAsia"/>
        </w:rPr>
        <w:t>於實際選擇權交易市場</w:t>
      </w:r>
      <w:r w:rsidRPr="00074155">
        <w:rPr>
          <w:rFonts w:hint="eastAsia"/>
        </w:rPr>
        <w:t>，</w:t>
      </w:r>
      <w:r>
        <w:rPr>
          <w:rFonts w:hint="eastAsia"/>
        </w:rPr>
        <w:t>由於履約價格為離散形式，因此</w:t>
      </w:r>
      <w:r w:rsidRPr="00074155">
        <w:rPr>
          <w:rFonts w:hint="eastAsia"/>
        </w:rPr>
        <w:t>可利用觀察</w:t>
      </w:r>
      <w:r>
        <w:rPr>
          <w:rFonts w:hint="eastAsia"/>
        </w:rPr>
        <w:t>到之</w:t>
      </w:r>
      <w:r w:rsidRPr="00074155">
        <w:rPr>
          <w:rFonts w:hint="eastAsia"/>
        </w:rPr>
        <w:t>選擇權價格，透過有限差分法</w:t>
      </w:r>
      <w:r w:rsidR="00257875">
        <w:rPr>
          <w:rFonts w:hint="eastAsia"/>
        </w:rPr>
        <w:t>（</w:t>
      </w:r>
      <w:r w:rsidR="00257875">
        <w:rPr>
          <w:rFonts w:hint="eastAsia"/>
        </w:rPr>
        <w:t>Finite Difference Methods, FDM</w:t>
      </w:r>
      <w:r w:rsidR="00257875">
        <w:rPr>
          <w:rFonts w:hint="eastAsia"/>
        </w:rPr>
        <w:t>）</w:t>
      </w:r>
      <w:r w:rsidRPr="00074155">
        <w:rPr>
          <w:rFonts w:hint="eastAsia"/>
        </w:rPr>
        <w:t>求得公式</w:t>
      </w:r>
      <w:r w:rsidR="00257875">
        <w:fldChar w:fldCharType="begin"/>
      </w:r>
      <w:r w:rsidR="00257875">
        <w:instrText xml:space="preserve"> </w:instrText>
      </w:r>
      <w:r w:rsidR="00257875">
        <w:rPr>
          <w:rFonts w:hint="eastAsia"/>
        </w:rPr>
        <w:instrText>REF _Ref183663960 \h</w:instrText>
      </w:r>
      <w:r w:rsidR="00257875">
        <w:instrText xml:space="preserve"> </w:instrText>
      </w:r>
      <w:r w:rsidR="00257875">
        <w:fldChar w:fldCharType="separate"/>
      </w:r>
      <w:r w:rsidR="002116B3">
        <w:t>(</w:t>
      </w:r>
      <w:r w:rsidR="002116B3">
        <w:rPr>
          <w:noProof/>
        </w:rPr>
        <w:t>2</w:t>
      </w:r>
      <w:r w:rsidR="002116B3">
        <w:rPr>
          <w:rFonts w:hint="eastAsia"/>
        </w:rPr>
        <w:t>)</w:t>
      </w:r>
      <w:r w:rsidR="00257875">
        <w:fldChar w:fldCharType="end"/>
      </w:r>
      <w:r w:rsidR="00257875">
        <w:rPr>
          <w:rFonts w:hint="eastAsia"/>
        </w:rPr>
        <w:t>與公式</w:t>
      </w:r>
      <w:r w:rsidR="00257875">
        <w:fldChar w:fldCharType="begin"/>
      </w:r>
      <w:r w:rsidR="00257875">
        <w:instrText xml:space="preserve"> </w:instrText>
      </w:r>
      <w:r w:rsidR="00257875">
        <w:rPr>
          <w:rFonts w:hint="eastAsia"/>
        </w:rPr>
        <w:instrText>REF _Ref183665445 \h</w:instrText>
      </w:r>
      <w:r w:rsidR="00257875">
        <w:instrText xml:space="preserve"> </w:instrText>
      </w:r>
      <w:r w:rsidR="00257875">
        <w:fldChar w:fldCharType="separate"/>
      </w:r>
      <w:r w:rsidR="002116B3">
        <w:t>(</w:t>
      </w:r>
      <w:r w:rsidR="002116B3">
        <w:rPr>
          <w:noProof/>
        </w:rPr>
        <w:t>3</w:t>
      </w:r>
      <w:r w:rsidR="002116B3">
        <w:rPr>
          <w:rFonts w:hint="eastAsia"/>
        </w:rPr>
        <w:t>)</w:t>
      </w:r>
      <w:r w:rsidR="00257875">
        <w:fldChar w:fldCharType="end"/>
      </w:r>
      <w:r w:rsidR="00257875">
        <w:rPr>
          <w:rFonts w:hint="eastAsia"/>
        </w:rPr>
        <w:t>之</w:t>
      </w:r>
      <w:r w:rsidRPr="00074155">
        <w:rPr>
          <w:rFonts w:hint="eastAsia"/>
        </w:rPr>
        <w:t>近似解。假設</w:t>
      </w:r>
      <w:r w:rsidR="00257875">
        <w:rPr>
          <w:rFonts w:hint="eastAsia"/>
        </w:rPr>
        <w:t>距</w:t>
      </w:r>
      <w:r w:rsidRPr="00074155">
        <w:rPr>
          <w:rFonts w:hint="eastAsia"/>
        </w:rPr>
        <w:t>到期日</w:t>
      </w:r>
      <w:r w:rsidRPr="00074155">
        <w:rPr>
          <w:rFonts w:hint="eastAsia"/>
        </w:rPr>
        <w:t>T</w:t>
      </w:r>
      <w:r w:rsidRPr="00074155">
        <w:rPr>
          <w:rFonts w:hint="eastAsia"/>
        </w:rPr>
        <w:t>時，市場上有</w:t>
      </w:r>
      <w:r w:rsidRPr="00074155">
        <w:rPr>
          <w:rFonts w:hint="eastAsia"/>
        </w:rPr>
        <w:t>N</w:t>
      </w:r>
      <w:proofErr w:type="gramStart"/>
      <w:r w:rsidRPr="00074155">
        <w:rPr>
          <w:rFonts w:hint="eastAsia"/>
        </w:rPr>
        <w:t>個</w:t>
      </w:r>
      <w:proofErr w:type="gramEnd"/>
      <w:r w:rsidRPr="00074155">
        <w:rPr>
          <w:rFonts w:hint="eastAsia"/>
        </w:rPr>
        <w:t>不同履約價格的選擇權，其中</w:t>
      </w:r>
      <w:r w:rsidR="00257875">
        <w:rPr>
          <w:rFonts w:hint="eastAsia"/>
        </w:rPr>
        <w:t>K</w:t>
      </w:r>
      <w:r w:rsidR="00257875">
        <w:rPr>
          <w:rFonts w:hint="eastAsia"/>
          <w:vertAlign w:val="subscript"/>
        </w:rPr>
        <w:t>1</w:t>
      </w:r>
      <w:r w:rsidRPr="00074155">
        <w:rPr>
          <w:rFonts w:hint="eastAsia"/>
        </w:rPr>
        <w:t>代表最低履約價格，</w:t>
      </w:r>
      <w:r w:rsidR="00257875">
        <w:rPr>
          <w:rFonts w:hint="eastAsia"/>
        </w:rPr>
        <w:t>K</w:t>
      </w:r>
      <w:r w:rsidR="00257875">
        <w:rPr>
          <w:rFonts w:hint="eastAsia"/>
          <w:vertAlign w:val="subscript"/>
        </w:rPr>
        <w:t>N</w:t>
      </w:r>
      <w:r w:rsidRPr="00074155">
        <w:rPr>
          <w:rFonts w:hint="eastAsia"/>
        </w:rPr>
        <w:t>代表最高履約價格。</w:t>
      </w:r>
      <w:r w:rsidR="00257875" w:rsidRPr="00257875">
        <w:rPr>
          <w:rFonts w:hint="eastAsia"/>
        </w:rPr>
        <w:t>我們將使用履約價格分別為</w:t>
      </w:r>
      <w:r w:rsidR="00257875">
        <w:rPr>
          <w:rFonts w:hint="eastAsia"/>
        </w:rPr>
        <w:t>K</w:t>
      </w:r>
      <w:r w:rsidR="00257875" w:rsidRPr="00257875">
        <w:rPr>
          <w:rFonts w:hint="eastAsia"/>
          <w:vertAlign w:val="subscript"/>
        </w:rPr>
        <w:t>n-1</w:t>
      </w:r>
      <w:r w:rsidR="00257875" w:rsidRPr="00257875">
        <w:rPr>
          <w:rFonts w:hint="eastAsia"/>
        </w:rPr>
        <w:t>、</w:t>
      </w:r>
      <w:proofErr w:type="spellStart"/>
      <w:r w:rsidR="00257875">
        <w:rPr>
          <w:rFonts w:hint="eastAsia"/>
        </w:rPr>
        <w:t>K</w:t>
      </w:r>
      <w:r w:rsidR="00257875" w:rsidRPr="00257875">
        <w:rPr>
          <w:rFonts w:hint="eastAsia"/>
          <w:vertAlign w:val="subscript"/>
        </w:rPr>
        <w:t>n</w:t>
      </w:r>
      <w:proofErr w:type="spellEnd"/>
      <w:r w:rsidR="00257875" w:rsidRPr="00257875">
        <w:rPr>
          <w:rFonts w:hint="eastAsia"/>
        </w:rPr>
        <w:t>和</w:t>
      </w:r>
      <w:r w:rsidR="00257875">
        <w:rPr>
          <w:rFonts w:hint="eastAsia"/>
        </w:rPr>
        <w:t>K</w:t>
      </w:r>
      <w:r w:rsidR="00257875" w:rsidRPr="00257875">
        <w:rPr>
          <w:rFonts w:hint="eastAsia"/>
          <w:vertAlign w:val="subscript"/>
        </w:rPr>
        <w:t>n+1</w:t>
      </w:r>
      <w:r w:rsidR="00257875" w:rsidRPr="00257875">
        <w:rPr>
          <w:rFonts w:hint="eastAsia"/>
        </w:rPr>
        <w:t>的三個選擇權，來求得以</w:t>
      </w:r>
      <w:proofErr w:type="spellStart"/>
      <w:r w:rsidR="006A2DA5">
        <w:rPr>
          <w:rFonts w:hint="eastAsia"/>
        </w:rPr>
        <w:t>K</w:t>
      </w:r>
      <w:r w:rsidR="00257875" w:rsidRPr="00257875">
        <w:rPr>
          <w:rFonts w:hint="eastAsia"/>
          <w:vertAlign w:val="subscript"/>
        </w:rPr>
        <w:t>n</w:t>
      </w:r>
      <w:proofErr w:type="spellEnd"/>
      <w:r w:rsidR="00257875" w:rsidRPr="00257875">
        <w:rPr>
          <w:rFonts w:hint="eastAsia"/>
        </w:rPr>
        <w:t>為中心</w:t>
      </w:r>
      <w:r w:rsidR="00257875">
        <w:rPr>
          <w:rFonts w:hint="eastAsia"/>
        </w:rPr>
        <w:t>之</w:t>
      </w:r>
      <w:r w:rsidR="00257875" w:rsidRPr="00257875">
        <w:rPr>
          <w:rFonts w:hint="eastAsia"/>
        </w:rPr>
        <w:t>的近似值</w:t>
      </w:r>
      <w:r w:rsidR="00257875">
        <w:rPr>
          <w:rFonts w:hint="eastAsia"/>
        </w:rPr>
        <w:t>，</w:t>
      </w:r>
      <w:r w:rsidR="006A2DA5">
        <w:rPr>
          <w:rFonts w:hint="eastAsia"/>
        </w:rPr>
        <w:t>公式如下：</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4"/>
        <w:gridCol w:w="930"/>
      </w:tblGrid>
      <w:tr w:rsidR="006A2DA5" w14:paraId="4B10E759" w14:textId="77777777" w:rsidTr="00470204">
        <w:tc>
          <w:tcPr>
            <w:tcW w:w="7574" w:type="dxa"/>
            <w:vAlign w:val="center"/>
          </w:tcPr>
          <w:p w14:paraId="4C62E9E4" w14:textId="4D428DE9" w:rsidR="006A2DA5" w:rsidRPr="006B2BAD" w:rsidRDefault="006A2DA5" w:rsidP="00495049">
            <w:pPr>
              <w:spacing w:before="180" w:after="180"/>
              <w:ind w:firstLine="480"/>
              <w:jc w:val="cente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e>
                </m:d>
                <m:r>
                  <w:rPr>
                    <w:rFonts w:ascii="Cambria Math" w:hAnsi="Cambria Math"/>
                  </w:rPr>
                  <m:t>+1</m:t>
                </m:r>
              </m:oMath>
            </m:oMathPara>
          </w:p>
        </w:tc>
        <w:tc>
          <w:tcPr>
            <w:tcW w:w="930" w:type="dxa"/>
            <w:vAlign w:val="center"/>
          </w:tcPr>
          <w:p w14:paraId="09B3A014" w14:textId="153C39DD" w:rsidR="006A2DA5" w:rsidRPr="00764F78" w:rsidRDefault="006A2DA5" w:rsidP="00495049">
            <w:pPr>
              <w:pStyle w:val="a9"/>
              <w:spacing w:before="180" w:after="180"/>
              <w:ind w:firstLine="480"/>
              <w:jc w:val="right"/>
            </w:pPr>
            <w:r>
              <w:t>(</w:t>
            </w:r>
            <w:fldSimple w:instr=" SEQ ( \* ARABIC ">
              <w:r w:rsidR="002116B3">
                <w:rPr>
                  <w:noProof/>
                </w:rPr>
                <w:t>4</w:t>
              </w:r>
            </w:fldSimple>
            <w:r>
              <w:rPr>
                <w:rFonts w:hint="eastAsia"/>
              </w:rPr>
              <w:t>)</w:t>
            </w:r>
          </w:p>
        </w:tc>
      </w:tr>
      <w:tr w:rsidR="006A2DA5" w14:paraId="782CE5D6" w14:textId="77777777" w:rsidTr="00470204">
        <w:tc>
          <w:tcPr>
            <w:tcW w:w="7574" w:type="dxa"/>
            <w:vAlign w:val="center"/>
          </w:tcPr>
          <w:p w14:paraId="26B0AADF" w14:textId="3BC2D2CC" w:rsidR="006A2DA5" w:rsidRDefault="006A2DA5" w:rsidP="00495049">
            <w:pPr>
              <w:spacing w:before="180" w:after="180"/>
              <w:ind w:firstLine="480"/>
              <w:jc w:val="cente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p>
                      <m:sSupPr>
                        <m:ctrlPr>
                          <w:rPr>
                            <w:rFonts w:ascii="Cambria Math" w:hAnsi="Cambria Math"/>
                            <w:i/>
                          </w:rPr>
                        </m:ctrlPr>
                      </m:sSupPr>
                      <m:e>
                        <m:r>
                          <w:rPr>
                            <w:rFonts w:ascii="Cambria Math" w:hAnsi="Cambria Math"/>
                          </w:rPr>
                          <m:t>(</m:t>
                        </m:r>
                        <m:r>
                          <m:rPr>
                            <m:sty m:val="p"/>
                          </m:rPr>
                          <w:rPr>
                            <w:rFonts w:ascii="Cambria Math" w:hAnsi="Cambria Math"/>
                          </w:rPr>
                          <m:t>Δ</m:t>
                        </m:r>
                        <m:r>
                          <w:rPr>
                            <w:rFonts w:ascii="Cambria Math" w:hAnsi="Cambria Math"/>
                          </w:rPr>
                          <m:t>X)</m:t>
                        </m:r>
                      </m:e>
                      <m:sup>
                        <m:r>
                          <w:rPr>
                            <w:rFonts w:ascii="Cambria Math" w:hAnsi="Cambria Math"/>
                          </w:rPr>
                          <m:t>2</m:t>
                        </m:r>
                      </m:sup>
                    </m:sSup>
                  </m:den>
                </m:f>
              </m:oMath>
            </m:oMathPara>
          </w:p>
        </w:tc>
        <w:tc>
          <w:tcPr>
            <w:tcW w:w="930" w:type="dxa"/>
            <w:vAlign w:val="center"/>
          </w:tcPr>
          <w:p w14:paraId="6297E4AF" w14:textId="2948397C" w:rsidR="006A2DA5" w:rsidRDefault="006A2DA5" w:rsidP="00495049">
            <w:pPr>
              <w:pStyle w:val="a9"/>
              <w:spacing w:before="180" w:after="180"/>
              <w:ind w:firstLine="480"/>
              <w:jc w:val="right"/>
            </w:pPr>
            <w:bookmarkStart w:id="10" w:name="_Ref183666874"/>
            <w:r>
              <w:t>(</w:t>
            </w:r>
            <w:fldSimple w:instr=" SEQ ( \* ARABIC ">
              <w:r w:rsidR="002116B3">
                <w:rPr>
                  <w:noProof/>
                </w:rPr>
                <w:t>5</w:t>
              </w:r>
            </w:fldSimple>
            <w:r>
              <w:rPr>
                <w:rFonts w:hint="eastAsia"/>
              </w:rPr>
              <w:t>)</w:t>
            </w:r>
            <w:bookmarkEnd w:id="10"/>
          </w:p>
        </w:tc>
      </w:tr>
    </w:tbl>
    <w:p w14:paraId="41486D5F" w14:textId="35D621C8" w:rsidR="00470204" w:rsidRDefault="00470204" w:rsidP="00470204">
      <w:pPr>
        <w:spacing w:before="180" w:after="180"/>
        <w:ind w:firstLine="480"/>
      </w:pPr>
      <w:r w:rsidRPr="00470204">
        <w:t>公式</w:t>
      </w:r>
      <w:r w:rsidR="004F631C">
        <w:fldChar w:fldCharType="begin"/>
      </w:r>
      <w:r w:rsidR="004F631C">
        <w:instrText xml:space="preserve"> REF _Ref183666859 \h </w:instrText>
      </w:r>
      <w:r w:rsidR="004F631C">
        <w:fldChar w:fldCharType="separate"/>
      </w:r>
      <w:r w:rsidR="002116B3">
        <w:t>(</w:t>
      </w:r>
      <w:r w:rsidR="002116B3">
        <w:rPr>
          <w:noProof/>
        </w:rPr>
        <w:t>1</w:t>
      </w:r>
      <w:r w:rsidR="002116B3">
        <w:rPr>
          <w:rFonts w:hint="eastAsia"/>
        </w:rPr>
        <w:t>)</w:t>
      </w:r>
      <w:r w:rsidR="004F631C">
        <w:fldChar w:fldCharType="end"/>
      </w:r>
      <w:r w:rsidRPr="00470204">
        <w:t>至</w:t>
      </w:r>
      <w:r w:rsidR="004F631C">
        <w:fldChar w:fldCharType="begin"/>
      </w:r>
      <w:r w:rsidR="004F631C">
        <w:instrText xml:space="preserve"> REF _Ref183666874 \h </w:instrText>
      </w:r>
      <w:r w:rsidR="004F631C">
        <w:fldChar w:fldCharType="separate"/>
      </w:r>
      <w:r w:rsidR="002116B3">
        <w:t>(</w:t>
      </w:r>
      <w:r w:rsidR="002116B3">
        <w:rPr>
          <w:noProof/>
        </w:rPr>
        <w:t>5</w:t>
      </w:r>
      <w:r w:rsidR="002116B3">
        <w:rPr>
          <w:rFonts w:hint="eastAsia"/>
        </w:rPr>
        <w:t>)</w:t>
      </w:r>
      <w:r w:rsidR="004F631C">
        <w:fldChar w:fldCharType="end"/>
      </w:r>
      <w:r w:rsidRPr="00470204">
        <w:t>說明了如何</w:t>
      </w:r>
      <w:r w:rsidR="004F631C">
        <w:rPr>
          <w:rFonts w:hint="eastAsia"/>
        </w:rPr>
        <w:t>以理論方式</w:t>
      </w:r>
      <w:r w:rsidRPr="00470204">
        <w:t>從一組買權價格</w:t>
      </w:r>
      <w:r w:rsidR="004F631C">
        <w:rPr>
          <w:rFonts w:hint="eastAsia"/>
        </w:rPr>
        <w:t>C</w:t>
      </w:r>
      <w:r w:rsidRPr="00470204">
        <w:t>中推導出介於</w:t>
      </w:r>
      <w:r w:rsidR="004F631C">
        <w:rPr>
          <w:rFonts w:hint="eastAsia"/>
        </w:rPr>
        <w:t>履約價格</w:t>
      </w:r>
      <w:r w:rsidR="004F631C">
        <w:rPr>
          <w:rFonts w:hint="eastAsia"/>
        </w:rPr>
        <w:t>K</w:t>
      </w:r>
      <w:r w:rsidR="004F631C" w:rsidRPr="004F631C">
        <w:rPr>
          <w:rFonts w:hint="eastAsia"/>
          <w:vertAlign w:val="subscript"/>
        </w:rPr>
        <w:t>2</w:t>
      </w:r>
      <w:r w:rsidRPr="00470204">
        <w:t>和</w:t>
      </w:r>
      <w:r w:rsidR="004F631C">
        <w:rPr>
          <w:rFonts w:hint="eastAsia"/>
        </w:rPr>
        <w:t>K</w:t>
      </w:r>
      <w:r w:rsidRPr="004F631C">
        <w:rPr>
          <w:vertAlign w:val="subscript"/>
        </w:rPr>
        <w:t>N-1</w:t>
      </w:r>
      <w:r w:rsidRPr="00470204">
        <w:t>間</w:t>
      </w:r>
      <w:r w:rsidR="004F631C">
        <w:rPr>
          <w:rFonts w:hint="eastAsia"/>
        </w:rPr>
        <w:t>之</w:t>
      </w:r>
      <w:r w:rsidRPr="00470204">
        <w:t>RND</w:t>
      </w:r>
      <w:r w:rsidRPr="00470204">
        <w:t>。類似的推導方式</w:t>
      </w:r>
      <w:r w:rsidR="004F631C">
        <w:rPr>
          <w:rFonts w:hint="eastAsia"/>
        </w:rPr>
        <w:t>亦</w:t>
      </w:r>
      <w:r w:rsidRPr="00470204">
        <w:t>可應用於從賣權價格</w:t>
      </w:r>
      <w:r w:rsidR="004F631C">
        <w:rPr>
          <w:rFonts w:hint="eastAsia"/>
        </w:rPr>
        <w:t>P</w:t>
      </w:r>
      <w:r w:rsidRPr="00470204">
        <w:t>中</w:t>
      </w:r>
      <w:r w:rsidR="004F631C">
        <w:rPr>
          <w:rFonts w:hint="eastAsia"/>
        </w:rPr>
        <w:t>計算</w:t>
      </w:r>
      <w:r w:rsidRPr="00470204">
        <w:t>RND</w:t>
      </w:r>
      <w:r w:rsidR="004F631C">
        <w:rPr>
          <w:rFonts w:hint="eastAsia"/>
        </w:rPr>
        <w:t>，</w:t>
      </w:r>
      <w:r w:rsidRPr="00470204">
        <w:t>對於賣權而言，與</w:t>
      </w:r>
      <w:r w:rsidR="004F631C" w:rsidRPr="00470204">
        <w:t>公式</w:t>
      </w:r>
      <w:r w:rsidR="004F631C">
        <w:fldChar w:fldCharType="begin"/>
      </w:r>
      <w:r w:rsidR="004F631C">
        <w:instrText xml:space="preserve"> REF _Ref183663960 \h </w:instrText>
      </w:r>
      <w:r w:rsidR="004F631C">
        <w:fldChar w:fldCharType="separate"/>
      </w:r>
      <w:r w:rsidR="002116B3">
        <w:t>(</w:t>
      </w:r>
      <w:r w:rsidR="002116B3">
        <w:rPr>
          <w:noProof/>
        </w:rPr>
        <w:t>2</w:t>
      </w:r>
      <w:r w:rsidR="002116B3">
        <w:rPr>
          <w:rFonts w:hint="eastAsia"/>
        </w:rPr>
        <w:t>)</w:t>
      </w:r>
      <w:r w:rsidR="004F631C">
        <w:fldChar w:fldCharType="end"/>
      </w:r>
      <w:r w:rsidR="004F631C" w:rsidRPr="00470204">
        <w:t>至</w:t>
      </w:r>
      <w:r w:rsidR="004F631C">
        <w:fldChar w:fldCharType="begin"/>
      </w:r>
      <w:r w:rsidR="004F631C">
        <w:instrText xml:space="preserve"> REF _Ref183666874 \h </w:instrText>
      </w:r>
      <w:r w:rsidR="004F631C">
        <w:fldChar w:fldCharType="separate"/>
      </w:r>
      <w:r w:rsidR="002116B3">
        <w:t>(</w:t>
      </w:r>
      <w:r w:rsidR="002116B3">
        <w:rPr>
          <w:noProof/>
        </w:rPr>
        <w:t>5</w:t>
      </w:r>
      <w:r w:rsidR="002116B3">
        <w:rPr>
          <w:rFonts w:hint="eastAsia"/>
        </w:rPr>
        <w:t>)</w:t>
      </w:r>
      <w:r w:rsidR="004F631C">
        <w:fldChar w:fldCharType="end"/>
      </w:r>
      <w:r w:rsidRPr="00470204">
        <w:t>對應</w:t>
      </w:r>
      <w:r w:rsidR="004F631C">
        <w:rPr>
          <w:rFonts w:hint="eastAsia"/>
        </w:rPr>
        <w:t>之</w:t>
      </w:r>
      <w:r w:rsidRPr="00470204">
        <w:t>等價表達式如下：</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4"/>
        <w:gridCol w:w="930"/>
      </w:tblGrid>
      <w:tr w:rsidR="004F631C" w14:paraId="0EADAF16" w14:textId="77777777" w:rsidTr="007C0373">
        <w:tc>
          <w:tcPr>
            <w:tcW w:w="7574" w:type="dxa"/>
            <w:vAlign w:val="center"/>
          </w:tcPr>
          <w:p w14:paraId="342715BD" w14:textId="42568A82" w:rsidR="007C0373" w:rsidRPr="006B2BAD" w:rsidRDefault="004F631C" w:rsidP="007C0373">
            <w:pPr>
              <w:spacing w:before="180" w:after="180"/>
              <w:ind w:firstLine="480"/>
              <w:jc w:val="cente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rPr>
                      <m:t>∂K</m:t>
                    </m:r>
                  </m:den>
                </m:f>
              </m:oMath>
            </m:oMathPara>
          </w:p>
        </w:tc>
        <w:tc>
          <w:tcPr>
            <w:tcW w:w="930" w:type="dxa"/>
            <w:vAlign w:val="center"/>
          </w:tcPr>
          <w:p w14:paraId="5A79D358" w14:textId="1EE6BBE2" w:rsidR="007C0373" w:rsidRPr="007C0373" w:rsidRDefault="004F631C" w:rsidP="007C0373">
            <w:pPr>
              <w:pStyle w:val="a9"/>
              <w:spacing w:before="180" w:after="180"/>
              <w:ind w:firstLine="480"/>
              <w:jc w:val="right"/>
            </w:pPr>
            <w:r>
              <w:t>(</w:t>
            </w:r>
            <w:fldSimple w:instr=" SEQ ( \* ARABIC ">
              <w:r w:rsidR="002116B3">
                <w:rPr>
                  <w:noProof/>
                </w:rPr>
                <w:t>6</w:t>
              </w:r>
            </w:fldSimple>
            <w:r>
              <w:rPr>
                <w:rFonts w:hint="eastAsia"/>
              </w:rPr>
              <w:t>)</w:t>
            </w:r>
          </w:p>
        </w:tc>
      </w:tr>
      <w:tr w:rsidR="004F631C" w14:paraId="747532FA" w14:textId="77777777" w:rsidTr="007C0373">
        <w:tc>
          <w:tcPr>
            <w:tcW w:w="7574" w:type="dxa"/>
            <w:vAlign w:val="center"/>
          </w:tcPr>
          <w:p w14:paraId="3822A9D9" w14:textId="79597166" w:rsidR="004F631C" w:rsidRDefault="004F631C" w:rsidP="007C0373">
            <w:pPr>
              <w:spacing w:before="180" w:after="180"/>
              <w:ind w:firstLine="480"/>
              <w:jc w:val="cente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P</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tc>
        <w:tc>
          <w:tcPr>
            <w:tcW w:w="930" w:type="dxa"/>
            <w:vAlign w:val="center"/>
          </w:tcPr>
          <w:p w14:paraId="24DAAEEB" w14:textId="42663FC8" w:rsidR="004F631C" w:rsidRDefault="004F631C" w:rsidP="00495049">
            <w:pPr>
              <w:pStyle w:val="a9"/>
              <w:spacing w:before="180" w:after="180"/>
              <w:ind w:firstLine="480"/>
              <w:jc w:val="right"/>
            </w:pPr>
            <w:r>
              <w:t>(</w:t>
            </w:r>
            <w:fldSimple w:instr=" SEQ ( \* ARABIC ">
              <w:r w:rsidR="002116B3">
                <w:rPr>
                  <w:noProof/>
                </w:rPr>
                <w:t>7</w:t>
              </w:r>
            </w:fldSimple>
            <w:r>
              <w:rPr>
                <w:rFonts w:hint="eastAsia"/>
              </w:rPr>
              <w:t>)</w:t>
            </w:r>
          </w:p>
        </w:tc>
      </w:tr>
      <w:tr w:rsidR="004F631C" w14:paraId="7AE4D4ED" w14:textId="77777777" w:rsidTr="007C0373">
        <w:tc>
          <w:tcPr>
            <w:tcW w:w="7574" w:type="dxa"/>
            <w:vAlign w:val="center"/>
          </w:tcPr>
          <w:p w14:paraId="05DF7A18" w14:textId="68E855BA" w:rsidR="004F631C" w:rsidRDefault="004F631C" w:rsidP="007C0373">
            <w:pPr>
              <w:spacing w:before="180" w:after="180"/>
              <w:ind w:firstLine="480"/>
              <w:jc w:val="cente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e>
                </m:d>
              </m:oMath>
            </m:oMathPara>
          </w:p>
        </w:tc>
        <w:tc>
          <w:tcPr>
            <w:tcW w:w="930" w:type="dxa"/>
            <w:vAlign w:val="center"/>
          </w:tcPr>
          <w:p w14:paraId="695B9EB7" w14:textId="7B49E6DB" w:rsidR="004F631C" w:rsidRDefault="00415057" w:rsidP="004F631C">
            <w:pPr>
              <w:pStyle w:val="a9"/>
              <w:spacing w:before="180" w:after="180"/>
              <w:ind w:firstLine="480"/>
              <w:jc w:val="right"/>
            </w:pPr>
            <w:r>
              <w:t>(</w:t>
            </w:r>
            <w:fldSimple w:instr=" SEQ ( \* ARABIC ">
              <w:r w:rsidR="002116B3">
                <w:rPr>
                  <w:noProof/>
                </w:rPr>
                <w:t>8</w:t>
              </w:r>
            </w:fldSimple>
            <w:r>
              <w:rPr>
                <w:rFonts w:hint="eastAsia"/>
              </w:rPr>
              <w:t>)</w:t>
            </w:r>
          </w:p>
        </w:tc>
      </w:tr>
      <w:tr w:rsidR="004F631C" w14:paraId="4BD95C36" w14:textId="77777777" w:rsidTr="007C0373">
        <w:tc>
          <w:tcPr>
            <w:tcW w:w="7574" w:type="dxa"/>
            <w:vAlign w:val="center"/>
          </w:tcPr>
          <w:p w14:paraId="3E6C771A" w14:textId="41A80EFC" w:rsidR="004F631C" w:rsidRDefault="004F631C" w:rsidP="007C0373">
            <w:pPr>
              <w:spacing w:before="180" w:after="180"/>
              <w:ind w:firstLine="480"/>
              <w:jc w:val="cente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sSub>
                      <m:sSubPr>
                        <m:ctrlPr>
                          <w:rPr>
                            <w:rFonts w:ascii="Cambria Math" w:hAnsi="Cambria Math"/>
                            <w:i/>
                          </w:rPr>
                        </m:ctrlPr>
                      </m:sSubPr>
                      <m:e>
                        <m:r>
                          <w:rPr>
                            <w:rFonts w:ascii="Cambria Math" w:hAnsi="Cambria Math" w:hint="eastAsia"/>
                          </w:rPr>
                          <m:t>P</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hint="eastAsia"/>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n-1</m:t>
                        </m:r>
                      </m:sub>
                    </m:sSub>
                  </m:num>
                  <m:den>
                    <m:sSup>
                      <m:sSupPr>
                        <m:ctrlPr>
                          <w:rPr>
                            <w:rFonts w:ascii="Cambria Math" w:hAnsi="Cambria Math"/>
                            <w:i/>
                          </w:rPr>
                        </m:ctrlPr>
                      </m:sSupPr>
                      <m:e>
                        <m:r>
                          <w:rPr>
                            <w:rFonts w:ascii="Cambria Math" w:hAnsi="Cambria Math"/>
                          </w:rPr>
                          <m:t>(</m:t>
                        </m:r>
                        <m:r>
                          <m:rPr>
                            <m:sty m:val="p"/>
                          </m:rPr>
                          <w:rPr>
                            <w:rFonts w:ascii="Cambria Math" w:hAnsi="Cambria Math"/>
                          </w:rPr>
                          <m:t>Δ</m:t>
                        </m:r>
                        <m:r>
                          <w:rPr>
                            <w:rFonts w:ascii="Cambria Math" w:hAnsi="Cambria Math"/>
                          </w:rPr>
                          <m:t>X)</m:t>
                        </m:r>
                      </m:e>
                      <m:sup>
                        <m:r>
                          <w:rPr>
                            <w:rFonts w:ascii="Cambria Math" w:hAnsi="Cambria Math"/>
                          </w:rPr>
                          <m:t>2</m:t>
                        </m:r>
                      </m:sup>
                    </m:sSup>
                  </m:den>
                </m:f>
              </m:oMath>
            </m:oMathPara>
          </w:p>
        </w:tc>
        <w:tc>
          <w:tcPr>
            <w:tcW w:w="930" w:type="dxa"/>
            <w:vAlign w:val="center"/>
          </w:tcPr>
          <w:p w14:paraId="6221F5A3" w14:textId="57DF980D" w:rsidR="004F631C" w:rsidRDefault="00415057" w:rsidP="004F631C">
            <w:pPr>
              <w:pStyle w:val="a9"/>
              <w:spacing w:before="180" w:after="180"/>
              <w:ind w:firstLine="480"/>
              <w:jc w:val="right"/>
            </w:pPr>
            <w:r>
              <w:t>(</w:t>
            </w:r>
            <w:fldSimple w:instr=" SEQ ( \* ARABIC ">
              <w:r w:rsidR="002116B3">
                <w:rPr>
                  <w:noProof/>
                </w:rPr>
                <w:t>9</w:t>
              </w:r>
            </w:fldSimple>
            <w:r>
              <w:rPr>
                <w:rFonts w:hint="eastAsia"/>
              </w:rPr>
              <w:t>)</w:t>
            </w:r>
          </w:p>
        </w:tc>
      </w:tr>
    </w:tbl>
    <w:p w14:paraId="140FBF66" w14:textId="7BFA02C0" w:rsidR="00470204" w:rsidRDefault="00470204" w:rsidP="00470204">
      <w:pPr>
        <w:spacing w:before="180" w:after="180"/>
        <w:ind w:firstLine="480"/>
      </w:pPr>
      <w:r>
        <w:rPr>
          <w:rFonts w:hint="eastAsia"/>
        </w:rPr>
        <w:lastRenderedPageBreak/>
        <w:t>於</w:t>
      </w:r>
      <w:r w:rsidRPr="00470204">
        <w:rPr>
          <w:rFonts w:hint="eastAsia"/>
        </w:rPr>
        <w:t>本研究中，Δ</w:t>
      </w:r>
      <w:r w:rsidRPr="00470204">
        <w:rPr>
          <w:rFonts w:hint="eastAsia"/>
        </w:rPr>
        <w:t>X</w:t>
      </w:r>
      <w:r w:rsidRPr="00470204">
        <w:rPr>
          <w:rFonts w:hint="eastAsia"/>
        </w:rPr>
        <w:t>為一固定</w:t>
      </w:r>
      <w:r>
        <w:rPr>
          <w:rFonts w:hint="eastAsia"/>
        </w:rPr>
        <w:t>之</w:t>
      </w:r>
      <w:r w:rsidRPr="00470204">
        <w:rPr>
          <w:rFonts w:hint="eastAsia"/>
        </w:rPr>
        <w:t>常數值，</w:t>
      </w:r>
      <w:r>
        <w:rPr>
          <w:rFonts w:hint="eastAsia"/>
        </w:rPr>
        <w:t>用以建構</w:t>
      </w:r>
      <w:r w:rsidRPr="00470204">
        <w:rPr>
          <w:rFonts w:hint="eastAsia"/>
        </w:rPr>
        <w:t>等距分布</w:t>
      </w:r>
      <w:r>
        <w:rPr>
          <w:rFonts w:hint="eastAsia"/>
        </w:rPr>
        <w:t>之</w:t>
      </w:r>
      <w:r w:rsidRPr="00470204">
        <w:rPr>
          <w:rFonts w:hint="eastAsia"/>
        </w:rPr>
        <w:t>人工選擇權價格，</w:t>
      </w:r>
      <w:r>
        <w:rPr>
          <w:rFonts w:hint="eastAsia"/>
        </w:rPr>
        <w:t>以</w:t>
      </w:r>
      <w:r w:rsidRPr="00470204">
        <w:rPr>
          <w:rFonts w:hint="eastAsia"/>
        </w:rPr>
        <w:t>填補市場中</w:t>
      </w:r>
      <w:r>
        <w:rPr>
          <w:rFonts w:hint="eastAsia"/>
        </w:rPr>
        <w:t>離散履約</w:t>
      </w:r>
      <w:r w:rsidRPr="00470204">
        <w:rPr>
          <w:rFonts w:hint="eastAsia"/>
        </w:rPr>
        <w:t>價格間</w:t>
      </w:r>
      <w:r>
        <w:rPr>
          <w:rFonts w:hint="eastAsia"/>
        </w:rPr>
        <w:t>之</w:t>
      </w:r>
      <w:r w:rsidRPr="00470204">
        <w:rPr>
          <w:rFonts w:hint="eastAsia"/>
        </w:rPr>
        <w:t>空缺值。</w:t>
      </w:r>
      <w:r>
        <w:rPr>
          <w:rFonts w:hint="eastAsia"/>
        </w:rPr>
        <w:t>此</w:t>
      </w:r>
      <w:r w:rsidRPr="00470204">
        <w:rPr>
          <w:rFonts w:hint="eastAsia"/>
        </w:rPr>
        <w:t>處理方式</w:t>
      </w:r>
      <w:r>
        <w:rPr>
          <w:rFonts w:hint="eastAsia"/>
        </w:rPr>
        <w:t>可解決交易數據稀疏或不均之問題，並</w:t>
      </w:r>
      <w:r w:rsidRPr="00470204">
        <w:rPr>
          <w:rFonts w:hint="eastAsia"/>
        </w:rPr>
        <w:t>確保</w:t>
      </w:r>
      <w:r>
        <w:rPr>
          <w:rFonts w:hint="eastAsia"/>
        </w:rPr>
        <w:t>履約</w:t>
      </w:r>
      <w:r w:rsidRPr="00470204">
        <w:rPr>
          <w:rFonts w:hint="eastAsia"/>
        </w:rPr>
        <w:t>價格</w:t>
      </w:r>
      <w:r>
        <w:rPr>
          <w:rFonts w:hint="eastAsia"/>
        </w:rPr>
        <w:t>之</w:t>
      </w:r>
      <w:r w:rsidRPr="00470204">
        <w:rPr>
          <w:rFonts w:hint="eastAsia"/>
        </w:rPr>
        <w:t>間距一致，</w:t>
      </w:r>
      <w:r>
        <w:rPr>
          <w:rFonts w:hint="eastAsia"/>
        </w:rPr>
        <w:t>便於透過</w:t>
      </w:r>
      <w:r w:rsidRPr="00470204">
        <w:rPr>
          <w:rFonts w:hint="eastAsia"/>
        </w:rPr>
        <w:t>有限差分法進行數值計算</w:t>
      </w:r>
      <w:r>
        <w:rPr>
          <w:rFonts w:hint="eastAsia"/>
        </w:rPr>
        <w:t>，提高估算結果之準確性</w:t>
      </w:r>
      <w:r w:rsidRPr="00470204">
        <w:rPr>
          <w:rFonts w:hint="eastAsia"/>
        </w:rPr>
        <w:t>。</w:t>
      </w:r>
    </w:p>
    <w:p w14:paraId="3D8F447F" w14:textId="1E2B362F" w:rsidR="0012177C" w:rsidRDefault="0012177C" w:rsidP="0012177C">
      <w:pPr>
        <w:pStyle w:val="2"/>
      </w:pPr>
      <w:r>
        <w:rPr>
          <w:rFonts w:hint="eastAsia"/>
        </w:rPr>
        <w:t>4.2</w:t>
      </w:r>
      <w:r>
        <w:rPr>
          <w:rFonts w:hint="eastAsia"/>
        </w:rPr>
        <w:t>以實務計算風險中立</w:t>
      </w:r>
      <w:r w:rsidR="00806786">
        <w:rPr>
          <w:rFonts w:hint="eastAsia"/>
        </w:rPr>
        <w:t>機率</w:t>
      </w:r>
      <w:r>
        <w:rPr>
          <w:rFonts w:hint="eastAsia"/>
        </w:rPr>
        <w:t>密度之方法</w:t>
      </w:r>
    </w:p>
    <w:p w14:paraId="6A72A1AA" w14:textId="0CCE50CA" w:rsidR="0012177C" w:rsidRDefault="00626099" w:rsidP="0012177C">
      <w:pPr>
        <w:spacing w:before="180" w:after="180"/>
        <w:ind w:firstLine="480"/>
      </w:pPr>
      <w:r w:rsidRPr="00626099">
        <w:rPr>
          <w:rFonts w:hint="eastAsia"/>
        </w:rPr>
        <w:t>前一節所介紹的方法假設存在一組選擇權價格，且這些價格完全符合理論定價關係（公式</w:t>
      </w:r>
      <w:r>
        <w:fldChar w:fldCharType="begin"/>
      </w:r>
      <w:r>
        <w:instrText xml:space="preserve"> </w:instrText>
      </w:r>
      <w:r>
        <w:rPr>
          <w:rFonts w:hint="eastAsia"/>
        </w:rPr>
        <w:instrText>REF _Ref183666859 \h</w:instrText>
      </w:r>
      <w:r>
        <w:instrText xml:space="preserve"> </w:instrText>
      </w:r>
      <w:r>
        <w:fldChar w:fldCharType="separate"/>
      </w:r>
      <w:r w:rsidR="002116B3">
        <w:t>(</w:t>
      </w:r>
      <w:r w:rsidR="002116B3">
        <w:rPr>
          <w:noProof/>
        </w:rPr>
        <w:t>1</w:t>
      </w:r>
      <w:r w:rsidR="002116B3">
        <w:rPr>
          <w:rFonts w:hint="eastAsia"/>
        </w:rPr>
        <w:t>)</w:t>
      </w:r>
      <w:r>
        <w:fldChar w:fldCharType="end"/>
      </w:r>
      <w:r w:rsidRPr="00626099">
        <w:rPr>
          <w:rFonts w:hint="eastAsia"/>
        </w:rPr>
        <w:t>）。然而，當將其應用於實際市場中交易的選擇權價格時，會面臨幾個重要的問題與挑戰。首先，必須謹慎處理觀察到的選擇權價格中的市場缺陷，否則可能導致推導出的</w:t>
      </w:r>
      <w:r w:rsidRPr="00626099">
        <w:rPr>
          <w:rFonts w:hint="eastAsia"/>
        </w:rPr>
        <w:t>RND</w:t>
      </w:r>
      <w:r w:rsidRPr="00626099">
        <w:rPr>
          <w:rFonts w:hint="eastAsia"/>
        </w:rPr>
        <w:t>出現無法接受的特性，例如</w:t>
      </w:r>
      <w:r w:rsidR="00BA0521">
        <w:rPr>
          <w:rFonts w:hint="eastAsia"/>
        </w:rPr>
        <w:t>RND</w:t>
      </w:r>
      <w:r w:rsidRPr="00626099">
        <w:rPr>
          <w:rFonts w:hint="eastAsia"/>
        </w:rPr>
        <w:t>在某些區域出現負值。其次，需找到適當的方法來補全</w:t>
      </w:r>
      <w:r w:rsidRPr="00626099">
        <w:rPr>
          <w:rFonts w:hint="eastAsia"/>
        </w:rPr>
        <w:t>RND</w:t>
      </w:r>
      <w:r w:rsidRPr="00626099">
        <w:rPr>
          <w:rFonts w:hint="eastAsia"/>
        </w:rPr>
        <w:t>在</w:t>
      </w:r>
      <w:r w:rsidR="00BA0521">
        <w:rPr>
          <w:rFonts w:hint="eastAsia"/>
        </w:rPr>
        <w:t>K</w:t>
      </w:r>
      <w:r w:rsidR="00BA0521" w:rsidRPr="004F631C">
        <w:rPr>
          <w:rFonts w:hint="eastAsia"/>
          <w:vertAlign w:val="subscript"/>
        </w:rPr>
        <w:t>2</w:t>
      </w:r>
      <w:r w:rsidR="00BA0521">
        <w:rPr>
          <w:rFonts w:hint="eastAsia"/>
        </w:rPr>
        <w:t>到</w:t>
      </w:r>
      <w:r w:rsidR="00BA0521">
        <w:rPr>
          <w:rFonts w:hint="eastAsia"/>
        </w:rPr>
        <w:t>K</w:t>
      </w:r>
      <w:r w:rsidR="00BA0521" w:rsidRPr="004F631C">
        <w:rPr>
          <w:vertAlign w:val="subscript"/>
        </w:rPr>
        <w:t>N-1</w:t>
      </w:r>
      <w:r w:rsidRPr="00626099">
        <w:rPr>
          <w:rFonts w:hint="eastAsia"/>
        </w:rPr>
        <w:t>範圍之外的尾部。本節將</w:t>
      </w:r>
      <w:r w:rsidR="00BA0521">
        <w:rPr>
          <w:rFonts w:hint="eastAsia"/>
        </w:rPr>
        <w:t>介紹本研究與</w:t>
      </w:r>
      <w:r w:rsidRPr="00626099">
        <w:rPr>
          <w:rFonts w:hint="eastAsia"/>
        </w:rPr>
        <w:t>回顧文獻中提出</w:t>
      </w:r>
      <w:r w:rsidR="00BA0521">
        <w:rPr>
          <w:rFonts w:hint="eastAsia"/>
        </w:rPr>
        <w:t>之</w:t>
      </w:r>
      <w:r w:rsidRPr="00626099">
        <w:rPr>
          <w:rFonts w:hint="eastAsia"/>
        </w:rPr>
        <w:t>從市場選擇權價格中</w:t>
      </w:r>
      <w:r w:rsidR="00BA0521">
        <w:rPr>
          <w:rFonts w:hint="eastAsia"/>
        </w:rPr>
        <w:t>計算</w:t>
      </w:r>
      <w:r w:rsidRPr="00626099">
        <w:rPr>
          <w:rFonts w:hint="eastAsia"/>
        </w:rPr>
        <w:t>RND</w:t>
      </w:r>
      <w:r w:rsidRPr="00626099">
        <w:rPr>
          <w:rFonts w:hint="eastAsia"/>
        </w:rPr>
        <w:t>的方法，並說明我們在此採用的技術。</w:t>
      </w:r>
    </w:p>
    <w:p w14:paraId="6912387C" w14:textId="77777777" w:rsidR="00275C2A" w:rsidRDefault="00BA0521" w:rsidP="00DE3699">
      <w:pPr>
        <w:spacing w:before="180" w:after="180"/>
        <w:ind w:firstLine="480"/>
      </w:pPr>
      <w:r>
        <w:rPr>
          <w:rFonts w:hint="eastAsia"/>
        </w:rPr>
        <w:t>在傳統金融市場中，選擇權定價模型（如</w:t>
      </w:r>
      <w:r>
        <w:rPr>
          <w:rFonts w:hint="eastAsia"/>
        </w:rPr>
        <w:t>Black-Scholes</w:t>
      </w:r>
      <w:r>
        <w:rPr>
          <w:rFonts w:hint="eastAsia"/>
        </w:rPr>
        <w:t>模型）通常使用無風險利率作為參數，該利率</w:t>
      </w:r>
      <w:r w:rsidR="00A305AC">
        <w:rPr>
          <w:rFonts w:hint="eastAsia"/>
        </w:rPr>
        <w:t>一般</w:t>
      </w:r>
      <w:r>
        <w:rPr>
          <w:rFonts w:hint="eastAsia"/>
        </w:rPr>
        <w:t>由政府債券等低風險資產的收益率代表。然而，在比</w:t>
      </w:r>
      <w:proofErr w:type="gramStart"/>
      <w:r>
        <w:rPr>
          <w:rFonts w:hint="eastAsia"/>
        </w:rPr>
        <w:t>特</w:t>
      </w:r>
      <w:proofErr w:type="gramEnd"/>
      <w:r>
        <w:rPr>
          <w:rFonts w:hint="eastAsia"/>
        </w:rPr>
        <w:t>幣等加密貨幣市場中，無風險利率的適用性受到限制，因此不被廣泛使用。</w:t>
      </w:r>
      <w:r w:rsidR="00A305AC">
        <w:rPr>
          <w:rFonts w:hint="eastAsia"/>
        </w:rPr>
        <w:t>其因為，</w:t>
      </w:r>
      <w:r>
        <w:rPr>
          <w:rFonts w:hint="eastAsia"/>
        </w:rPr>
        <w:t>比</w:t>
      </w:r>
      <w:proofErr w:type="gramStart"/>
      <w:r>
        <w:rPr>
          <w:rFonts w:hint="eastAsia"/>
        </w:rPr>
        <w:t>特</w:t>
      </w:r>
      <w:proofErr w:type="gramEnd"/>
      <w:r>
        <w:rPr>
          <w:rFonts w:hint="eastAsia"/>
        </w:rPr>
        <w:t>幣市場缺乏統一的無風險資產。由於加密貨幣市場的去中心化特性，</w:t>
      </w:r>
      <w:r w:rsidR="00A305AC">
        <w:rPr>
          <w:rFonts w:hint="eastAsia"/>
        </w:rPr>
        <w:t>並無</w:t>
      </w:r>
      <w:r>
        <w:rPr>
          <w:rFonts w:hint="eastAsia"/>
        </w:rPr>
        <w:t>政府債券</w:t>
      </w:r>
      <w:r w:rsidR="00A305AC">
        <w:rPr>
          <w:rFonts w:hint="eastAsia"/>
        </w:rPr>
        <w:t>此類</w:t>
      </w:r>
      <w:r>
        <w:rPr>
          <w:rFonts w:hint="eastAsia"/>
        </w:rPr>
        <w:t>被廣泛接受</w:t>
      </w:r>
      <w:r w:rsidR="00A305AC">
        <w:rPr>
          <w:rFonts w:hint="eastAsia"/>
        </w:rPr>
        <w:t>之</w:t>
      </w:r>
      <w:r>
        <w:rPr>
          <w:rFonts w:hint="eastAsia"/>
        </w:rPr>
        <w:t>無風險資產，難以確定</w:t>
      </w:r>
      <w:r w:rsidR="00A305AC">
        <w:rPr>
          <w:rFonts w:hint="eastAsia"/>
        </w:rPr>
        <w:t>單一</w:t>
      </w:r>
      <w:r>
        <w:rPr>
          <w:rFonts w:hint="eastAsia"/>
        </w:rPr>
        <w:t>通用</w:t>
      </w:r>
      <w:r w:rsidR="00A305AC">
        <w:rPr>
          <w:rFonts w:hint="eastAsia"/>
        </w:rPr>
        <w:t>之</w:t>
      </w:r>
      <w:r>
        <w:rPr>
          <w:rFonts w:hint="eastAsia"/>
        </w:rPr>
        <w:t>無風險利率</w:t>
      </w:r>
      <w:r w:rsidR="00A305AC">
        <w:rPr>
          <w:rFonts w:hint="eastAsia"/>
        </w:rPr>
        <w:t>，</w:t>
      </w:r>
      <w:r>
        <w:rPr>
          <w:rFonts w:hint="eastAsia"/>
        </w:rPr>
        <w:t>使無風險利率在</w:t>
      </w:r>
      <w:r w:rsidR="00A305AC">
        <w:rPr>
          <w:rFonts w:hint="eastAsia"/>
        </w:rPr>
        <w:t>此</w:t>
      </w:r>
      <w:r>
        <w:rPr>
          <w:rFonts w:hint="eastAsia"/>
        </w:rPr>
        <w:t>市場中難以適用</w:t>
      </w:r>
      <w:r w:rsidR="00A305AC">
        <w:rPr>
          <w:rFonts w:hint="eastAsia"/>
        </w:rPr>
        <w:t>；並且</w:t>
      </w:r>
      <w:r>
        <w:rPr>
          <w:rFonts w:hint="eastAsia"/>
        </w:rPr>
        <w:t>，比</w:t>
      </w:r>
      <w:proofErr w:type="gramStart"/>
      <w:r>
        <w:rPr>
          <w:rFonts w:hint="eastAsia"/>
        </w:rPr>
        <w:t>特</w:t>
      </w:r>
      <w:proofErr w:type="gramEnd"/>
      <w:r>
        <w:rPr>
          <w:rFonts w:hint="eastAsia"/>
        </w:rPr>
        <w:t>幣</w:t>
      </w:r>
      <w:r w:rsidR="00A305AC">
        <w:rPr>
          <w:rFonts w:hint="eastAsia"/>
        </w:rPr>
        <w:t>價格之</w:t>
      </w:r>
      <w:r>
        <w:rPr>
          <w:rFonts w:hint="eastAsia"/>
        </w:rPr>
        <w:t>波動</w:t>
      </w:r>
      <w:r w:rsidR="00A305AC">
        <w:rPr>
          <w:rFonts w:hint="eastAsia"/>
        </w:rPr>
        <w:t>率</w:t>
      </w:r>
      <w:r>
        <w:rPr>
          <w:rFonts w:hint="eastAsia"/>
        </w:rPr>
        <w:t>遠高於傳統資產。波動</w:t>
      </w:r>
      <w:r w:rsidR="00A305AC">
        <w:rPr>
          <w:rFonts w:hint="eastAsia"/>
        </w:rPr>
        <w:t>劇烈之特性</w:t>
      </w:r>
      <w:r>
        <w:rPr>
          <w:rFonts w:hint="eastAsia"/>
        </w:rPr>
        <w:t>對</w:t>
      </w:r>
      <w:r w:rsidR="00A305AC">
        <w:rPr>
          <w:rFonts w:hint="eastAsia"/>
        </w:rPr>
        <w:t>於</w:t>
      </w:r>
      <w:r>
        <w:rPr>
          <w:rFonts w:hint="eastAsia"/>
        </w:rPr>
        <w:t>選擇權價格的影響</w:t>
      </w:r>
      <w:r w:rsidR="00A305AC">
        <w:rPr>
          <w:rFonts w:hint="eastAsia"/>
        </w:rPr>
        <w:t>較</w:t>
      </w:r>
      <w:r>
        <w:rPr>
          <w:rFonts w:hint="eastAsia"/>
        </w:rPr>
        <w:t>無風險利率更為顯著，因此交易者更關注隱含波動率的變化，而非無風險利率</w:t>
      </w:r>
      <w:r w:rsidR="009F55DC">
        <w:rPr>
          <w:rFonts w:hint="eastAsia"/>
        </w:rPr>
        <w:t>；其次，</w:t>
      </w:r>
      <w:r>
        <w:rPr>
          <w:rFonts w:hint="eastAsia"/>
        </w:rPr>
        <w:t>在加密貨幣市場中，利率</w:t>
      </w:r>
      <w:r w:rsidR="009F55DC">
        <w:rPr>
          <w:rFonts w:hint="eastAsia"/>
        </w:rPr>
        <w:t>環境</w:t>
      </w:r>
      <w:r>
        <w:rPr>
          <w:rFonts w:hint="eastAsia"/>
        </w:rPr>
        <w:t>可能受到交易所規則</w:t>
      </w:r>
      <w:r w:rsidR="009F55DC">
        <w:rPr>
          <w:rFonts w:hint="eastAsia"/>
        </w:rPr>
        <w:t>與</w:t>
      </w:r>
      <w:r>
        <w:rPr>
          <w:rFonts w:hint="eastAsia"/>
        </w:rPr>
        <w:t>市場供需的影響，並不一定與傳統的無風險利率相關，傳統的利率指標難以反映加密貨幣市場的實際</w:t>
      </w:r>
      <w:r w:rsidR="009F55DC">
        <w:rPr>
          <w:rFonts w:hint="eastAsia"/>
        </w:rPr>
        <w:t>情形；</w:t>
      </w:r>
      <w:proofErr w:type="gramStart"/>
      <w:r>
        <w:rPr>
          <w:rFonts w:hint="eastAsia"/>
        </w:rPr>
        <w:t>此外，</w:t>
      </w:r>
      <w:proofErr w:type="gramEnd"/>
      <w:r>
        <w:rPr>
          <w:rFonts w:hint="eastAsia"/>
        </w:rPr>
        <w:t>持有比</w:t>
      </w:r>
      <w:proofErr w:type="gramStart"/>
      <w:r>
        <w:rPr>
          <w:rFonts w:hint="eastAsia"/>
        </w:rPr>
        <w:t>特</w:t>
      </w:r>
      <w:proofErr w:type="gramEnd"/>
      <w:r>
        <w:rPr>
          <w:rFonts w:hint="eastAsia"/>
        </w:rPr>
        <w:t>幣的成本與持有傳統貨幣或資產的成本不同，包括安全</w:t>
      </w:r>
      <w:r w:rsidR="009F55DC">
        <w:rPr>
          <w:rFonts w:hint="eastAsia"/>
        </w:rPr>
        <w:t>性面向</w:t>
      </w:r>
      <w:r>
        <w:rPr>
          <w:rFonts w:hint="eastAsia"/>
        </w:rPr>
        <w:t>和技術風險等因素</w:t>
      </w:r>
      <w:r w:rsidR="009F55DC">
        <w:rPr>
          <w:rFonts w:hint="eastAsia"/>
        </w:rPr>
        <w:t>，</w:t>
      </w:r>
      <w:r>
        <w:rPr>
          <w:rFonts w:hint="eastAsia"/>
        </w:rPr>
        <w:t>這些成本難以</w:t>
      </w:r>
      <w:r w:rsidR="009F55DC">
        <w:rPr>
          <w:rFonts w:hint="eastAsia"/>
        </w:rPr>
        <w:t>透過</w:t>
      </w:r>
      <w:r>
        <w:rPr>
          <w:rFonts w:hint="eastAsia"/>
        </w:rPr>
        <w:t>無風險利率量化，進一步限制了無風險利率在比</w:t>
      </w:r>
      <w:proofErr w:type="gramStart"/>
      <w:r>
        <w:rPr>
          <w:rFonts w:hint="eastAsia"/>
        </w:rPr>
        <w:t>特</w:t>
      </w:r>
      <w:proofErr w:type="gramEnd"/>
      <w:r>
        <w:rPr>
          <w:rFonts w:hint="eastAsia"/>
        </w:rPr>
        <w:t>幣選擇權定價中的適用性。</w:t>
      </w:r>
    </w:p>
    <w:p w14:paraId="2CF80AA0" w14:textId="7A534F32" w:rsidR="00BA0521" w:rsidRDefault="009F55DC" w:rsidP="00DE3699">
      <w:pPr>
        <w:spacing w:before="180" w:after="180"/>
        <w:ind w:firstLine="480"/>
      </w:pPr>
      <w:r>
        <w:rPr>
          <w:rFonts w:hint="eastAsia"/>
        </w:rPr>
        <w:lastRenderedPageBreak/>
        <w:t>本研究採用</w:t>
      </w:r>
      <w:proofErr w:type="spellStart"/>
      <w:r w:rsidR="00BA0521">
        <w:rPr>
          <w:rFonts w:hint="eastAsia"/>
        </w:rPr>
        <w:t>Deribit</w:t>
      </w:r>
      <w:proofErr w:type="spellEnd"/>
      <w:r w:rsidR="00BA0521">
        <w:rPr>
          <w:rFonts w:hint="eastAsia"/>
        </w:rPr>
        <w:t>交易所</w:t>
      </w:r>
      <w:r>
        <w:rPr>
          <w:rFonts w:hint="eastAsia"/>
        </w:rPr>
        <w:t>之比</w:t>
      </w:r>
      <w:proofErr w:type="gramStart"/>
      <w:r>
        <w:rPr>
          <w:rFonts w:hint="eastAsia"/>
        </w:rPr>
        <w:t>特</w:t>
      </w:r>
      <w:proofErr w:type="gramEnd"/>
      <w:r>
        <w:rPr>
          <w:rFonts w:hint="eastAsia"/>
        </w:rPr>
        <w:t>幣選擇權交易價格</w:t>
      </w:r>
      <w:r w:rsidR="00BA0521">
        <w:rPr>
          <w:rFonts w:hint="eastAsia"/>
        </w:rPr>
        <w:t>，</w:t>
      </w:r>
      <w:r>
        <w:rPr>
          <w:rFonts w:hint="eastAsia"/>
        </w:rPr>
        <w:t>其</w:t>
      </w:r>
      <w:r w:rsidR="00BA0521">
        <w:rPr>
          <w:rFonts w:hint="eastAsia"/>
        </w:rPr>
        <w:t>為適應加密貨幣市場的特性，計算選擇權價格時採用了更合適的模型</w:t>
      </w:r>
      <w:r>
        <w:rPr>
          <w:rFonts w:hint="eastAsia"/>
        </w:rPr>
        <w:t>（以比</w:t>
      </w:r>
      <w:proofErr w:type="gramStart"/>
      <w:r>
        <w:rPr>
          <w:rFonts w:hint="eastAsia"/>
        </w:rPr>
        <w:t>特</w:t>
      </w:r>
      <w:proofErr w:type="gramEnd"/>
      <w:r>
        <w:rPr>
          <w:rFonts w:hint="eastAsia"/>
        </w:rPr>
        <w:t>幣計價）</w:t>
      </w:r>
      <w:r w:rsidR="00BA0521">
        <w:rPr>
          <w:rFonts w:hint="eastAsia"/>
        </w:rPr>
        <w:t>，符合交易</w:t>
      </w:r>
      <w:r>
        <w:rPr>
          <w:rFonts w:hint="eastAsia"/>
        </w:rPr>
        <w:t>市場</w:t>
      </w:r>
      <w:r w:rsidR="00BA0521">
        <w:rPr>
          <w:rFonts w:hint="eastAsia"/>
        </w:rPr>
        <w:t>使用需求。</w:t>
      </w:r>
      <w:r>
        <w:rPr>
          <w:rFonts w:hint="eastAsia"/>
        </w:rPr>
        <w:t>為符合研究所需，本研究觀察</w:t>
      </w:r>
      <w:r w:rsidR="002116B3">
        <w:rPr>
          <w:rFonts w:hint="eastAsia"/>
        </w:rPr>
        <w:t>傳統</w:t>
      </w:r>
      <w:r w:rsidR="002116B3">
        <w:rPr>
          <w:rFonts w:hint="eastAsia"/>
        </w:rPr>
        <w:t>Black-Scholes</w:t>
      </w:r>
      <w:r w:rsidR="002116B3">
        <w:rPr>
          <w:rFonts w:hint="eastAsia"/>
        </w:rPr>
        <w:t>模型</w:t>
      </w:r>
      <w:r w:rsidR="005D344F">
        <w:rPr>
          <w:rFonts w:hint="eastAsia"/>
        </w:rPr>
        <w:t>（公式</w:t>
      </w:r>
      <w:r w:rsidR="005D344F">
        <w:fldChar w:fldCharType="begin"/>
      </w:r>
      <w:r w:rsidR="005D344F">
        <w:instrText xml:space="preserve"> </w:instrText>
      </w:r>
      <w:r w:rsidR="005D344F">
        <w:rPr>
          <w:rFonts w:hint="eastAsia"/>
        </w:rPr>
        <w:instrText>REF _Ref184140393 \h</w:instrText>
      </w:r>
      <w:r w:rsidR="005D344F">
        <w:instrText xml:space="preserve"> </w:instrText>
      </w:r>
      <w:r w:rsidR="005D344F">
        <w:fldChar w:fldCharType="separate"/>
      </w:r>
      <w:r w:rsidR="005D344F">
        <w:t>(</w:t>
      </w:r>
      <w:r w:rsidR="005D344F">
        <w:rPr>
          <w:noProof/>
        </w:rPr>
        <w:t>10</w:t>
      </w:r>
      <w:r w:rsidR="005D344F">
        <w:rPr>
          <w:rFonts w:hint="eastAsia"/>
        </w:rPr>
        <w:t>)</w:t>
      </w:r>
      <w:r w:rsidR="005D344F">
        <w:fldChar w:fldCharType="end"/>
      </w:r>
      <w:r w:rsidR="005D344F">
        <w:rPr>
          <w:rFonts w:hint="eastAsia"/>
        </w:rPr>
        <w:t>）</w:t>
      </w:r>
      <w:r w:rsidR="00DE3699">
        <w:rPr>
          <w:rFonts w:hint="eastAsia"/>
        </w:rPr>
        <w:t>，並與</w:t>
      </w:r>
      <w:proofErr w:type="spellStart"/>
      <w:r w:rsidR="002116B3">
        <w:rPr>
          <w:rFonts w:hint="eastAsia"/>
        </w:rPr>
        <w:t>Deribit</w:t>
      </w:r>
      <w:proofErr w:type="spellEnd"/>
      <w:r w:rsidR="002116B3">
        <w:rPr>
          <w:rFonts w:hint="eastAsia"/>
        </w:rPr>
        <w:t>交易所提供之計算公式</w:t>
      </w:r>
      <w:r w:rsidR="005D344F">
        <w:rPr>
          <w:rFonts w:hint="eastAsia"/>
        </w:rPr>
        <w:t>（公式</w:t>
      </w:r>
      <w:r w:rsidR="005D344F">
        <w:fldChar w:fldCharType="begin"/>
      </w:r>
      <w:r w:rsidR="005D344F">
        <w:instrText xml:space="preserve"> </w:instrText>
      </w:r>
      <w:r w:rsidR="005D344F">
        <w:rPr>
          <w:rFonts w:hint="eastAsia"/>
        </w:rPr>
        <w:instrText>REF _Ref184140413 \h</w:instrText>
      </w:r>
      <w:r w:rsidR="005D344F">
        <w:instrText xml:space="preserve"> </w:instrText>
      </w:r>
      <w:r w:rsidR="005D344F">
        <w:fldChar w:fldCharType="separate"/>
      </w:r>
      <w:r w:rsidR="005D344F">
        <w:t>(</w:t>
      </w:r>
      <w:r w:rsidR="005D344F">
        <w:rPr>
          <w:noProof/>
        </w:rPr>
        <w:t>11</w:t>
      </w:r>
      <w:r w:rsidR="005D344F">
        <w:rPr>
          <w:rFonts w:hint="eastAsia"/>
        </w:rPr>
        <w:t>)</w:t>
      </w:r>
      <w:r w:rsidR="005D344F">
        <w:fldChar w:fldCharType="end"/>
      </w:r>
      <w:r w:rsidR="005D344F">
        <w:rPr>
          <w:rFonts w:hint="eastAsia"/>
        </w:rPr>
        <w:t>）</w:t>
      </w:r>
      <w:r w:rsidR="00DE3699">
        <w:rPr>
          <w:rFonts w:hint="eastAsia"/>
        </w:rPr>
        <w:t>比較可知，</w:t>
      </w:r>
      <w:r w:rsidR="002116B3">
        <w:rPr>
          <w:rFonts w:hint="eastAsia"/>
        </w:rPr>
        <w:t>將</w:t>
      </w:r>
      <w:proofErr w:type="spellStart"/>
      <w:r w:rsidR="002116B3">
        <w:rPr>
          <w:rFonts w:hint="eastAsia"/>
        </w:rPr>
        <w:t>Deribit</w:t>
      </w:r>
      <w:proofErr w:type="spellEnd"/>
      <w:r w:rsidR="002116B3">
        <w:rPr>
          <w:rFonts w:hint="eastAsia"/>
        </w:rPr>
        <w:t>交易所報價</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Deribit</m:t>
            </m:r>
          </m:sub>
        </m:sSub>
      </m:oMath>
      <w:r w:rsidR="002116B3">
        <w:rPr>
          <w:rFonts w:hint="eastAsia"/>
        </w:rPr>
        <w:t>乘上</w:t>
      </w:r>
      <w:r w:rsidR="005D344F">
        <w:rPr>
          <w:rFonts w:hint="eastAsia"/>
        </w:rPr>
        <w:t>比</w:t>
      </w:r>
      <w:proofErr w:type="gramStart"/>
      <w:r w:rsidR="005D344F">
        <w:rPr>
          <w:rFonts w:hint="eastAsia"/>
        </w:rPr>
        <w:t>特</w:t>
      </w:r>
      <w:proofErr w:type="gramEnd"/>
      <w:r w:rsidR="005D344F">
        <w:rPr>
          <w:rFonts w:hint="eastAsia"/>
        </w:rPr>
        <w:t>幣現貨價格</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116B3">
        <w:rPr>
          <w:rFonts w:hint="eastAsia"/>
        </w:rPr>
        <w:t>即可得到以美元計價之</w:t>
      </w:r>
      <w:r w:rsidR="005D344F">
        <w:rPr>
          <w:rFonts w:hint="eastAsia"/>
        </w:rPr>
        <w:t>比</w:t>
      </w:r>
      <w:proofErr w:type="gramStart"/>
      <w:r w:rsidR="005D344F">
        <w:rPr>
          <w:rFonts w:hint="eastAsia"/>
        </w:rPr>
        <w:t>特</w:t>
      </w:r>
      <w:proofErr w:type="gramEnd"/>
      <w:r w:rsidR="005D344F">
        <w:rPr>
          <w:rFonts w:hint="eastAsia"/>
        </w:rPr>
        <w:t>幣選擇權價格。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C96DE9" w14:paraId="7DA628A2" w14:textId="77777777" w:rsidTr="002116B3">
        <w:tc>
          <w:tcPr>
            <w:tcW w:w="7933" w:type="dxa"/>
            <w:vAlign w:val="center"/>
          </w:tcPr>
          <w:p w14:paraId="63CD1D63" w14:textId="15A6194C" w:rsidR="00C96DE9" w:rsidRPr="00C96DE9" w:rsidRDefault="00C96DE9" w:rsidP="00C96DE9">
            <w:pPr>
              <w:spacing w:before="180" w:after="180"/>
              <w:ind w:firstLineChars="0" w:firstLine="0"/>
              <w:jc w:val="left"/>
            </w:pPr>
            <m:oMathPara>
              <m:oMathParaPr>
                <m:jc m:val="left"/>
              </m:oMathParaPr>
              <m:oMath>
                <m:r>
                  <w:rPr>
                    <w:rFonts w:ascii="Cambria Math" w:hAnsi="Cambria Math"/>
                    <w:color w:val="FFFFFF" w:themeColor="background1"/>
                  </w:rPr>
                  <m:t>⇒</m:t>
                </m:r>
                <m:sSub>
                  <m:sSubPr>
                    <m:ctrlPr>
                      <w:rPr>
                        <w:rFonts w:ascii="Cambria Math" w:hAnsi="Cambria Math"/>
                        <w:i/>
                      </w:rPr>
                    </m:ctrlPr>
                  </m:sSubPr>
                  <m:e>
                    <m:r>
                      <w:rPr>
                        <w:rFonts w:ascii="Cambria Math" w:hAnsi="Cambria Math"/>
                      </w:rPr>
                      <m:t>C</m:t>
                    </m:r>
                  </m:e>
                  <m:sub>
                    <m:r>
                      <w:rPr>
                        <w:rFonts w:ascii="Cambria Math" w:hAnsi="Cambria Math"/>
                      </w:rPr>
                      <m:t>BS</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m:t>
                    </m:r>
                    <m:r>
                      <w:rPr>
                        <w:rFonts w:ascii="Cambria Math" w:hAnsi="Cambria Math" w:hint="eastAsia"/>
                      </w:rPr>
                      <m:t>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tc>
        <w:tc>
          <w:tcPr>
            <w:tcW w:w="561" w:type="dxa"/>
            <w:vAlign w:val="center"/>
          </w:tcPr>
          <w:p w14:paraId="4EED38BA" w14:textId="57D997CE" w:rsidR="00C96DE9" w:rsidRPr="00C96DE9" w:rsidRDefault="00C96DE9" w:rsidP="00C96DE9">
            <w:pPr>
              <w:spacing w:before="180" w:after="180"/>
              <w:ind w:firstLineChars="0" w:firstLine="0"/>
              <w:jc w:val="right"/>
            </w:pPr>
          </w:p>
        </w:tc>
      </w:tr>
      <w:tr w:rsidR="00C96DE9" w14:paraId="4BF9B982" w14:textId="77777777" w:rsidTr="002116B3">
        <w:tc>
          <w:tcPr>
            <w:tcW w:w="7933" w:type="dxa"/>
            <w:vAlign w:val="center"/>
          </w:tcPr>
          <w:p w14:paraId="6A71D2B9" w14:textId="181539D4" w:rsidR="00C96DE9" w:rsidRPr="00C96DE9" w:rsidRDefault="00C96DE9" w:rsidP="00C96DE9">
            <w:pPr>
              <w:spacing w:before="180" w:after="180"/>
              <w:ind w:firstLineChars="0" w:firstLine="0"/>
              <w:jc w:val="left"/>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m:t>
                            </m:r>
                            <m:r>
                              <w:rPr>
                                <w:rFonts w:ascii="Cambria Math" w:hAnsi="Cambria Math" w:hint="eastAsia"/>
                              </w:rPr>
                              <m:t>T</m:t>
                            </m:r>
                          </m:sup>
                        </m:sSup>
                      </m:num>
                      <m:den>
                        <m:sSub>
                          <m:sSubPr>
                            <m:ctrlPr>
                              <w:rPr>
                                <w:rFonts w:ascii="Cambria Math" w:hAnsi="Cambria Math"/>
                                <w:i/>
                              </w:rPr>
                            </m:ctrlPr>
                          </m:sSubPr>
                          <m:e>
                            <m:r>
                              <w:rPr>
                                <w:rFonts w:ascii="Cambria Math" w:hAnsi="Cambria Math"/>
                              </w:rPr>
                              <m:t>S</m:t>
                            </m:r>
                          </m:e>
                          <m:sub>
                            <m:r>
                              <w:rPr>
                                <w:rFonts w:ascii="Cambria Math" w:hAnsi="Cambria Math"/>
                              </w:rPr>
                              <m:t>0</m:t>
                            </m:r>
                          </m:sub>
                        </m:sSub>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r>
                  <w:rPr>
                    <w:rFonts w:ascii="Cambria Math" w:hAnsi="Cambria Math"/>
                  </w:rPr>
                  <m:t xml:space="preserve"> and F=</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r</m:t>
                    </m:r>
                    <m:r>
                      <w:rPr>
                        <w:rFonts w:ascii="Cambria Math" w:hAnsi="Cambria Math" w:hint="eastAsia"/>
                      </w:rPr>
                      <m:t>T</m:t>
                    </m:r>
                  </m:sup>
                </m:sSup>
              </m:oMath>
            </m:oMathPara>
          </w:p>
        </w:tc>
        <w:tc>
          <w:tcPr>
            <w:tcW w:w="561" w:type="dxa"/>
            <w:vAlign w:val="center"/>
          </w:tcPr>
          <w:p w14:paraId="2BADF76C" w14:textId="77777777" w:rsidR="00C96DE9" w:rsidRDefault="00C96DE9" w:rsidP="00C96DE9">
            <w:pPr>
              <w:spacing w:before="180" w:after="180"/>
              <w:ind w:firstLineChars="0" w:firstLine="0"/>
              <w:jc w:val="right"/>
            </w:pPr>
          </w:p>
        </w:tc>
      </w:tr>
      <w:tr w:rsidR="00C96DE9" w14:paraId="2C0E60C5" w14:textId="77777777" w:rsidTr="002116B3">
        <w:tc>
          <w:tcPr>
            <w:tcW w:w="7933" w:type="dxa"/>
            <w:vAlign w:val="center"/>
          </w:tcPr>
          <w:p w14:paraId="16EF02DA" w14:textId="3EA320E9" w:rsidR="00C96DE9" w:rsidRPr="00C96DE9" w:rsidRDefault="00C96DE9" w:rsidP="00C96DE9">
            <w:pPr>
              <w:spacing w:before="180" w:after="180"/>
              <w:ind w:firstLineChars="0" w:firstLine="0"/>
            </w:pPr>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BS</m:t>
                        </m:r>
                      </m:sub>
                    </m:sSub>
                  </m:num>
                  <m:den>
                    <m:sSub>
                      <m:sSubPr>
                        <m:ctrlPr>
                          <w:rPr>
                            <w:rFonts w:ascii="Cambria Math" w:hAnsi="Cambria Math"/>
                            <w:i/>
                          </w:rPr>
                        </m:ctrlPr>
                      </m:sSubPr>
                      <m:e>
                        <m:r>
                          <w:rPr>
                            <w:rFonts w:ascii="Cambria Math" w:hAnsi="Cambria Math"/>
                          </w:rPr>
                          <m:t>S</m:t>
                        </m:r>
                      </m:e>
                      <m:sub>
                        <m:r>
                          <w:rPr>
                            <w:rFonts w:ascii="Cambria Math" w:hAnsi="Cambria Math"/>
                          </w:rPr>
                          <m:t>0</m:t>
                        </m:r>
                      </m:sub>
                    </m:sSub>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F</m:t>
                    </m:r>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tc>
        <w:tc>
          <w:tcPr>
            <w:tcW w:w="561" w:type="dxa"/>
            <w:vAlign w:val="center"/>
          </w:tcPr>
          <w:p w14:paraId="6A4D2196" w14:textId="3C81A5FB" w:rsidR="00C96DE9" w:rsidRDefault="00C96DE9" w:rsidP="00C96DE9">
            <w:pPr>
              <w:pStyle w:val="a9"/>
              <w:spacing w:before="180" w:after="180"/>
              <w:jc w:val="right"/>
            </w:pPr>
            <w:bookmarkStart w:id="11" w:name="_Ref184140393"/>
            <w:r>
              <w:t>(</w:t>
            </w:r>
            <w:fldSimple w:instr=" SEQ ( \* ARABIC ">
              <w:r w:rsidR="002116B3">
                <w:rPr>
                  <w:noProof/>
                </w:rPr>
                <w:t>10</w:t>
              </w:r>
            </w:fldSimple>
            <w:r>
              <w:rPr>
                <w:rFonts w:hint="eastAsia"/>
              </w:rPr>
              <w:t>)</w:t>
            </w:r>
            <w:bookmarkEnd w:id="11"/>
          </w:p>
        </w:tc>
      </w:tr>
      <w:tr w:rsidR="002116B3" w14:paraId="3D5E5BE0" w14:textId="77777777" w:rsidTr="002116B3">
        <w:tc>
          <w:tcPr>
            <w:tcW w:w="7933" w:type="dxa"/>
            <w:vAlign w:val="center"/>
          </w:tcPr>
          <w:p w14:paraId="2D3AD2BF" w14:textId="23C1D851" w:rsidR="002116B3" w:rsidRPr="002116B3" w:rsidRDefault="00000000" w:rsidP="002116B3">
            <w:pPr>
              <w:spacing w:before="180" w:after="180"/>
              <w:ind w:firstLineChars="0" w:firstLine="0"/>
            </w:pPr>
            <m:oMathPara>
              <m:oMathParaPr>
                <m:jc m:val="left"/>
              </m:oMathParaP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Deribit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F</m:t>
                    </m:r>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tc>
        <w:tc>
          <w:tcPr>
            <w:tcW w:w="561" w:type="dxa"/>
            <w:vAlign w:val="center"/>
          </w:tcPr>
          <w:p w14:paraId="44B3B61D" w14:textId="617FEBA4" w:rsidR="002116B3" w:rsidRDefault="002116B3" w:rsidP="002116B3">
            <w:pPr>
              <w:pStyle w:val="a9"/>
              <w:spacing w:before="180" w:after="180"/>
              <w:jc w:val="right"/>
            </w:pPr>
            <w:bookmarkStart w:id="12" w:name="_Ref184140413"/>
            <w:r>
              <w:t>(</w:t>
            </w:r>
            <w:fldSimple w:instr=" SEQ ( \* ARABIC ">
              <w:r>
                <w:rPr>
                  <w:noProof/>
                </w:rPr>
                <w:t>11</w:t>
              </w:r>
            </w:fldSimple>
            <w:r>
              <w:rPr>
                <w:rFonts w:hint="eastAsia"/>
              </w:rPr>
              <w:t>)</w:t>
            </w:r>
            <w:bookmarkEnd w:id="12"/>
          </w:p>
        </w:tc>
      </w:tr>
      <w:tr w:rsidR="002116B3" w14:paraId="0D7E216E" w14:textId="77777777" w:rsidTr="002116B3">
        <w:tc>
          <w:tcPr>
            <w:tcW w:w="7933" w:type="dxa"/>
            <w:vAlign w:val="center"/>
          </w:tcPr>
          <w:p w14:paraId="0CEAF50F" w14:textId="603884E7" w:rsidR="002116B3" w:rsidRPr="002116B3" w:rsidRDefault="002116B3" w:rsidP="002116B3">
            <w:pPr>
              <w:spacing w:before="180" w:after="180"/>
              <w:ind w:firstLineChars="0" w:firstLine="0"/>
            </w:pPr>
            <m:oMathPara>
              <m:oMathParaPr>
                <m:jc m:val="left"/>
              </m:oMathParaPr>
              <m:oMath>
                <m:r>
                  <w:rPr>
                    <w:rFonts w:ascii="Cambria Math" w:hAnsi="Cambria Math"/>
                  </w:rPr>
                  <m:t xml:space="preserve">where </m:t>
                </m:r>
                <m:sSub>
                  <m:sSubPr>
                    <m:ctrlPr>
                      <w:rPr>
                        <w:rFonts w:ascii="Cambria Math" w:hAnsi="Cambria Math"/>
                        <w:i/>
                      </w:rPr>
                    </m:ctrlPr>
                  </m:sSubPr>
                  <m:e>
                    <m:r>
                      <w:rPr>
                        <w:rFonts w:ascii="Cambria Math" w:hAnsi="Cambria Math"/>
                      </w:rPr>
                      <m:t>d</m:t>
                    </m:r>
                  </m:e>
                  <m:sub>
                    <m:r>
                      <w:rPr>
                        <w:rFonts w:ascii="Cambria Math" w:hAnsi="Cambria Math"/>
                      </w:rPr>
                      <m:t>1</m:t>
                    </m:r>
                  </m:sub>
                </m:sSub>
                <m:r>
                  <m:rPr>
                    <m:aln/>
                  </m:rP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K</m:t>
                                </m:r>
                              </m:den>
                            </m:f>
                          </m:e>
                        </m:d>
                      </m:e>
                    </m:func>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m:t>
                    </m:r>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oMath>
            </m:oMathPara>
          </w:p>
        </w:tc>
        <w:tc>
          <w:tcPr>
            <w:tcW w:w="561" w:type="dxa"/>
            <w:vAlign w:val="center"/>
          </w:tcPr>
          <w:p w14:paraId="2CC7F13B" w14:textId="77777777" w:rsidR="002116B3" w:rsidRDefault="002116B3" w:rsidP="002116B3">
            <w:pPr>
              <w:pStyle w:val="a9"/>
              <w:spacing w:before="180" w:after="180"/>
              <w:jc w:val="right"/>
            </w:pPr>
          </w:p>
        </w:tc>
      </w:tr>
      <w:tr w:rsidR="005D344F" w14:paraId="6FB944DA" w14:textId="77777777" w:rsidTr="002116B3">
        <w:tc>
          <w:tcPr>
            <w:tcW w:w="7933" w:type="dxa"/>
            <w:vAlign w:val="center"/>
          </w:tcPr>
          <w:p w14:paraId="206D2357" w14:textId="589B65F8" w:rsidR="008214E7" w:rsidRPr="008214E7" w:rsidRDefault="005D344F" w:rsidP="008214E7">
            <w:pPr>
              <w:spacing w:before="180" w:after="180"/>
              <w:ind w:firstLineChars="0" w:firstLine="0"/>
            </w:pPr>
            <w:r>
              <w:rPr>
                <w:rFonts w:hint="eastAsia"/>
              </w:rPr>
              <w:t>其中，</w:t>
            </w:r>
            <w:r>
              <w:rPr>
                <w:rFonts w:hint="eastAsia"/>
              </w:rPr>
              <w:t>C</w:t>
            </w:r>
            <w:r>
              <w:rPr>
                <w:rFonts w:hint="eastAsia"/>
                <w:vertAlign w:val="subscript"/>
              </w:rPr>
              <w:t>BS</w:t>
            </w:r>
            <w:r w:rsidR="008214E7">
              <w:rPr>
                <w:rFonts w:hint="eastAsia"/>
              </w:rPr>
              <w:t>為</w:t>
            </w:r>
            <w:r>
              <w:rPr>
                <w:rFonts w:hint="eastAsia"/>
              </w:rPr>
              <w:t>Black-Scholes</w:t>
            </w:r>
            <w:r>
              <w:rPr>
                <w:rFonts w:hint="eastAsia"/>
              </w:rPr>
              <w:t>買權價格（以美元計價）</w:t>
            </w:r>
            <w:r w:rsidR="008214E7">
              <w:rPr>
                <w:rFonts w:hint="eastAsia"/>
              </w:rPr>
              <w:t>、</w:t>
            </w:r>
            <w:proofErr w:type="spellStart"/>
            <w:r>
              <w:rPr>
                <w:rFonts w:hint="eastAsia"/>
              </w:rPr>
              <w:t>C</w:t>
            </w:r>
            <w:r>
              <w:rPr>
                <w:rFonts w:hint="eastAsia"/>
                <w:vertAlign w:val="subscript"/>
              </w:rPr>
              <w:t>Deribit</w:t>
            </w:r>
            <w:proofErr w:type="spellEnd"/>
            <w:r w:rsidR="008214E7">
              <w:rPr>
                <w:rFonts w:hint="eastAsia"/>
              </w:rPr>
              <w:t>為</w:t>
            </w:r>
            <w:proofErr w:type="spellStart"/>
            <w:r>
              <w:rPr>
                <w:rFonts w:hint="eastAsia"/>
              </w:rPr>
              <w:t>Deribit</w:t>
            </w:r>
            <w:proofErr w:type="spellEnd"/>
            <w:r>
              <w:rPr>
                <w:rFonts w:hint="eastAsia"/>
              </w:rPr>
              <w:t>交易所比</w:t>
            </w:r>
            <w:proofErr w:type="gramStart"/>
            <w:r>
              <w:rPr>
                <w:rFonts w:hint="eastAsia"/>
              </w:rPr>
              <w:t>特</w:t>
            </w:r>
            <w:proofErr w:type="gramEnd"/>
            <w:r>
              <w:rPr>
                <w:rFonts w:hint="eastAsia"/>
              </w:rPr>
              <w:t>幣買權價格（以比</w:t>
            </w:r>
            <w:proofErr w:type="gramStart"/>
            <w:r>
              <w:rPr>
                <w:rFonts w:hint="eastAsia"/>
              </w:rPr>
              <w:t>特</w:t>
            </w:r>
            <w:proofErr w:type="gramEnd"/>
            <w:r>
              <w:rPr>
                <w:rFonts w:hint="eastAsia"/>
              </w:rPr>
              <w:t>幣計價）</w:t>
            </w:r>
            <w:r w:rsidR="008214E7">
              <w:rPr>
                <w:rFonts w:hint="eastAsia"/>
              </w:rPr>
              <w:t>、</w:t>
            </w:r>
            <w:r>
              <w:rPr>
                <w:rFonts w:hint="eastAsia"/>
              </w:rPr>
              <w:t>S</w:t>
            </w:r>
            <w:r>
              <w:rPr>
                <w:rFonts w:hint="eastAsia"/>
                <w:vertAlign w:val="subscript"/>
              </w:rPr>
              <w:t>0</w:t>
            </w:r>
            <w:r w:rsidR="008214E7">
              <w:rPr>
                <w:rFonts w:hint="eastAsia"/>
              </w:rPr>
              <w:t>為</w:t>
            </w:r>
            <w:r>
              <w:rPr>
                <w:rFonts w:hint="eastAsia"/>
              </w:rPr>
              <w:t>比</w:t>
            </w:r>
            <w:proofErr w:type="gramStart"/>
            <w:r>
              <w:rPr>
                <w:rFonts w:hint="eastAsia"/>
              </w:rPr>
              <w:t>特</w:t>
            </w:r>
            <w:proofErr w:type="gramEnd"/>
            <w:r>
              <w:rPr>
                <w:rFonts w:hint="eastAsia"/>
              </w:rPr>
              <w:t>幣現貨價格</w:t>
            </w:r>
            <w:r w:rsidR="008214E7">
              <w:rPr>
                <w:rFonts w:hint="eastAsia"/>
              </w:rPr>
              <w:t>、</w:t>
            </w:r>
            <w:r>
              <w:rPr>
                <w:rFonts w:hint="eastAsia"/>
              </w:rPr>
              <w:t>N(x)</w:t>
            </w:r>
            <w:r>
              <w:rPr>
                <w:rFonts w:hint="eastAsia"/>
              </w:rPr>
              <w:t>：常態分布的累積分布函數</w:t>
            </w:r>
            <w:r w:rsidR="008214E7">
              <w:rPr>
                <w:rFonts w:hint="eastAsia"/>
              </w:rPr>
              <w:t>、</w:t>
            </w:r>
            <w:r w:rsidR="008214E7">
              <w:rPr>
                <w:rFonts w:hint="eastAsia"/>
              </w:rPr>
              <w:t>K</w:t>
            </w:r>
            <w:r w:rsidR="008214E7">
              <w:rPr>
                <w:rFonts w:hint="eastAsia"/>
              </w:rPr>
              <w:t>為履約價格、</w:t>
            </w:r>
            <w:r w:rsidR="008214E7">
              <w:rPr>
                <w:rFonts w:hint="eastAsia"/>
              </w:rPr>
              <w:t>r</w:t>
            </w:r>
            <w:r w:rsidR="008214E7">
              <w:rPr>
                <w:rFonts w:hint="eastAsia"/>
              </w:rPr>
              <w:t>為無風險利率、</w:t>
            </w:r>
            <w:r w:rsidR="008214E7">
              <w:rPr>
                <w:rFonts w:hint="eastAsia"/>
              </w:rPr>
              <w:t>T</w:t>
            </w:r>
            <w:r w:rsidR="008214E7">
              <w:rPr>
                <w:rFonts w:hint="eastAsia"/>
              </w:rPr>
              <w:t>為選擇權有效期、</w:t>
            </w:r>
            <w:r w:rsidR="008214E7">
              <w:rPr>
                <w:rFonts w:hint="eastAsia"/>
              </w:rPr>
              <w:t>F</w:t>
            </w:r>
            <w:r w:rsidR="008214E7">
              <w:rPr>
                <w:rFonts w:hint="eastAsia"/>
              </w:rPr>
              <w:t>為比</w:t>
            </w:r>
            <w:proofErr w:type="gramStart"/>
            <w:r w:rsidR="008214E7">
              <w:rPr>
                <w:rFonts w:hint="eastAsia"/>
              </w:rPr>
              <w:t>特</w:t>
            </w:r>
            <w:proofErr w:type="gramEnd"/>
            <w:r w:rsidR="008214E7">
              <w:rPr>
                <w:rFonts w:hint="eastAsia"/>
              </w:rPr>
              <w:t>幣期貨價格、</w:t>
            </w:r>
            <w:r w:rsidR="008214E7">
              <w:rPr>
                <w:rFonts w:hint="eastAsia"/>
              </w:rPr>
              <w:t>ln</w:t>
            </w:r>
            <w:r w:rsidR="008214E7">
              <w:rPr>
                <w:rFonts w:hint="eastAsia"/>
              </w:rPr>
              <w:t>為自然對數、</w:t>
            </w:r>
            <w:r w:rsidR="008214E7">
              <w:rPr>
                <w:rFonts w:ascii="標楷體" w:hAnsi="標楷體" w:hint="eastAsia"/>
              </w:rPr>
              <w:t>σ</w:t>
            </w:r>
            <w:r w:rsidR="008214E7">
              <w:rPr>
                <w:rFonts w:hint="eastAsia"/>
              </w:rPr>
              <w:t>為年化標準差。</w:t>
            </w:r>
          </w:p>
        </w:tc>
        <w:tc>
          <w:tcPr>
            <w:tcW w:w="561" w:type="dxa"/>
            <w:vAlign w:val="center"/>
          </w:tcPr>
          <w:p w14:paraId="15F193A1" w14:textId="77777777" w:rsidR="005D344F" w:rsidRDefault="005D344F" w:rsidP="002116B3">
            <w:pPr>
              <w:pStyle w:val="a9"/>
              <w:spacing w:before="180" w:after="180"/>
              <w:jc w:val="right"/>
            </w:pPr>
          </w:p>
        </w:tc>
      </w:tr>
    </w:tbl>
    <w:p w14:paraId="0B2D87D9" w14:textId="1F305FEB" w:rsidR="00C40C3F" w:rsidRDefault="00C40C3F" w:rsidP="005F66D1">
      <w:pPr>
        <w:spacing w:before="180" w:after="180"/>
        <w:ind w:firstLine="480"/>
      </w:pPr>
      <w:r>
        <w:rPr>
          <w:rFonts w:hint="eastAsia"/>
        </w:rPr>
        <w:t>在比</w:t>
      </w:r>
      <w:proofErr w:type="gramStart"/>
      <w:r>
        <w:rPr>
          <w:rFonts w:hint="eastAsia"/>
        </w:rPr>
        <w:t>特</w:t>
      </w:r>
      <w:proofErr w:type="gramEnd"/>
      <w:r>
        <w:rPr>
          <w:rFonts w:hint="eastAsia"/>
        </w:rPr>
        <w:t>幣選擇權市場中，交易者</w:t>
      </w:r>
      <w:r w:rsidR="009D2F6E">
        <w:rPr>
          <w:rFonts w:hint="eastAsia"/>
        </w:rPr>
        <w:t>多為風險偏好者，傾向</w:t>
      </w:r>
      <w:r>
        <w:rPr>
          <w:rFonts w:hint="eastAsia"/>
        </w:rPr>
        <w:t>操作價外選擇權（</w:t>
      </w:r>
      <w:r>
        <w:rPr>
          <w:rFonts w:hint="eastAsia"/>
        </w:rPr>
        <w:t>Out-of-the-Money, OTM options</w:t>
      </w:r>
      <w:r>
        <w:rPr>
          <w:rFonts w:hint="eastAsia"/>
        </w:rPr>
        <w:t>），主因為成本較低、槓桿效益高，以及對波動率的敏感性特別強。對於買方來說，由於比</w:t>
      </w:r>
      <w:proofErr w:type="gramStart"/>
      <w:r>
        <w:rPr>
          <w:rFonts w:hint="eastAsia"/>
        </w:rPr>
        <w:t>特</w:t>
      </w:r>
      <w:proofErr w:type="gramEnd"/>
      <w:r>
        <w:rPr>
          <w:rFonts w:hint="eastAsia"/>
        </w:rPr>
        <w:t>幣市場本身波動性極高，這類選擇權對投機者及高風險偏好的投資人極具吸引力，儘管其到期變為無價值的機率較高，交易者仍</w:t>
      </w:r>
      <w:r>
        <w:rPr>
          <w:rFonts w:hint="eastAsia"/>
        </w:rPr>
        <w:lastRenderedPageBreak/>
        <w:t>願意承擔這樣的風險</w:t>
      </w:r>
      <w:r w:rsidR="005F66D1">
        <w:rPr>
          <w:rFonts w:hint="eastAsia"/>
        </w:rPr>
        <w:t>；</w:t>
      </w:r>
      <w:r>
        <w:rPr>
          <w:rFonts w:hint="eastAsia"/>
        </w:rPr>
        <w:t>對於賣方而言，由於</w:t>
      </w:r>
      <w:r w:rsidR="005F66D1">
        <w:rPr>
          <w:rFonts w:hint="eastAsia"/>
        </w:rPr>
        <w:t>比</w:t>
      </w:r>
      <w:proofErr w:type="gramStart"/>
      <w:r w:rsidR="005F66D1">
        <w:rPr>
          <w:rFonts w:hint="eastAsia"/>
        </w:rPr>
        <w:t>特</w:t>
      </w:r>
      <w:proofErr w:type="gramEnd"/>
      <w:r w:rsidR="005F66D1">
        <w:rPr>
          <w:rFonts w:hint="eastAsia"/>
        </w:rPr>
        <w:t>幣價格</w:t>
      </w:r>
      <w:r>
        <w:rPr>
          <w:rFonts w:hint="eastAsia"/>
        </w:rPr>
        <w:t>波動性顯著高於傳統金融市場，價外選擇權的權利金水準通常更高，進一步提升了賣方參與的誘因</w:t>
      </w:r>
      <w:r w:rsidR="005F66D1">
        <w:rPr>
          <w:rFonts w:hint="eastAsia"/>
        </w:rPr>
        <w:t>，</w:t>
      </w:r>
      <w:r>
        <w:rPr>
          <w:rFonts w:hint="eastAsia"/>
        </w:rPr>
        <w:t>使價外選擇權成為許多賣方用來創造穩定現金流的核心工具。</w:t>
      </w:r>
      <w:r w:rsidR="009D2F6E">
        <w:rPr>
          <w:rFonts w:hint="eastAsia"/>
        </w:rPr>
        <w:t>綜上所述，價外</w:t>
      </w:r>
      <w:proofErr w:type="gramStart"/>
      <w:r w:rsidR="009D2F6E">
        <w:rPr>
          <w:rFonts w:hint="eastAsia"/>
        </w:rPr>
        <w:t>選擇權具較</w:t>
      </w:r>
      <w:proofErr w:type="gramEnd"/>
      <w:r w:rsidR="009D2F6E">
        <w:rPr>
          <w:rFonts w:hint="eastAsia"/>
        </w:rPr>
        <w:t>佳之成交量與流動性，其價格可更有效率地反映市場氛圍，本研究將採用價外選擇權交易資料進行隱含波動率之計算，惟深度價外區間，為避免不合理之交易造成異常，將排除</w:t>
      </w:r>
      <w:r w:rsidR="00514310">
        <w:rPr>
          <w:rFonts w:hint="eastAsia"/>
        </w:rPr>
        <w:t>履約價格</w:t>
      </w:r>
      <w:r w:rsidR="00514310">
        <w:rPr>
          <w:rFonts w:hint="eastAsia"/>
        </w:rPr>
        <w:t>10</w:t>
      </w:r>
      <w:r w:rsidR="00514310">
        <w:rPr>
          <w:rFonts w:hint="eastAsia"/>
        </w:rPr>
        <w:t>美元以下之選擇權數據。</w:t>
      </w:r>
    </w:p>
    <w:p w14:paraId="5EAF7B5D" w14:textId="45B54AB5" w:rsidR="00653CFB" w:rsidRDefault="00653CFB" w:rsidP="005F66D1">
      <w:pPr>
        <w:spacing w:before="180" w:after="180"/>
        <w:ind w:firstLine="480"/>
      </w:pPr>
      <w:r w:rsidRPr="00653CFB">
        <w:rPr>
          <w:rFonts w:hint="eastAsia"/>
        </w:rPr>
        <w:t>David Shimko</w:t>
      </w:r>
      <w:r w:rsidRPr="00653CFB">
        <w:rPr>
          <w:rFonts w:hint="eastAsia"/>
        </w:rPr>
        <w:t>（</w:t>
      </w:r>
      <w:r w:rsidRPr="00653CFB">
        <w:rPr>
          <w:rFonts w:hint="eastAsia"/>
        </w:rPr>
        <w:t>1993</w:t>
      </w:r>
      <w:r w:rsidRPr="00653CFB">
        <w:rPr>
          <w:rFonts w:hint="eastAsia"/>
        </w:rPr>
        <w:t>）提出將市場選擇權價格轉換至隱含波動率（</w:t>
      </w:r>
      <w:r w:rsidRPr="00653CFB">
        <w:rPr>
          <w:rFonts w:hint="eastAsia"/>
        </w:rPr>
        <w:t>Implied Volatility, IV</w:t>
      </w:r>
      <w:r w:rsidRPr="00653CFB">
        <w:rPr>
          <w:rFonts w:hint="eastAsia"/>
        </w:rPr>
        <w:t>）後</w:t>
      </w:r>
      <w:proofErr w:type="gramStart"/>
      <w:r w:rsidRPr="00653CFB">
        <w:rPr>
          <w:rFonts w:hint="eastAsia"/>
        </w:rPr>
        <w:t>進行插值</w:t>
      </w:r>
      <w:proofErr w:type="gramEnd"/>
      <w:r>
        <w:rPr>
          <w:rFonts w:hint="eastAsia"/>
        </w:rPr>
        <w:t>（</w:t>
      </w:r>
      <w:r>
        <w:rPr>
          <w:rFonts w:hint="eastAsia"/>
        </w:rPr>
        <w:t>Interpolation</w:t>
      </w:r>
      <w:r>
        <w:rPr>
          <w:rFonts w:hint="eastAsia"/>
        </w:rPr>
        <w:t>）</w:t>
      </w:r>
      <w:r w:rsidRPr="00653CFB">
        <w:rPr>
          <w:rFonts w:hint="eastAsia"/>
        </w:rPr>
        <w:t>，因為隱含波動率曲線通常比價格數據更平滑且連續，適合</w:t>
      </w:r>
      <w:proofErr w:type="gramStart"/>
      <w:r w:rsidRPr="00653CFB">
        <w:rPr>
          <w:rFonts w:hint="eastAsia"/>
        </w:rPr>
        <w:t>進行插值與</w:t>
      </w:r>
      <w:proofErr w:type="gramEnd"/>
      <w:r w:rsidRPr="00653CFB">
        <w:rPr>
          <w:rFonts w:hint="eastAsia"/>
        </w:rPr>
        <w:t>平滑處理</w:t>
      </w:r>
      <w:r>
        <w:rPr>
          <w:rFonts w:hint="eastAsia"/>
        </w:rPr>
        <w:t>，</w:t>
      </w:r>
      <w:r w:rsidRPr="00653CFB">
        <w:rPr>
          <w:rFonts w:hint="eastAsia"/>
        </w:rPr>
        <w:t>再將</w:t>
      </w:r>
      <w:proofErr w:type="gramStart"/>
      <w:r w:rsidRPr="00653CFB">
        <w:rPr>
          <w:rFonts w:hint="eastAsia"/>
        </w:rPr>
        <w:t>插值後</w:t>
      </w:r>
      <w:proofErr w:type="gramEnd"/>
      <w:r w:rsidRPr="00653CFB">
        <w:rPr>
          <w:rFonts w:hint="eastAsia"/>
        </w:rPr>
        <w:t>的曲線重新轉換回</w:t>
      </w:r>
      <w:r>
        <w:rPr>
          <w:rFonts w:hint="eastAsia"/>
        </w:rPr>
        <w:t>買權價格</w:t>
      </w:r>
      <w:r w:rsidRPr="00653CFB">
        <w:rPr>
          <w:rFonts w:hint="eastAsia"/>
        </w:rPr>
        <w:t>，以計算</w:t>
      </w:r>
      <w:r>
        <w:rPr>
          <w:rFonts w:hint="eastAsia"/>
        </w:rPr>
        <w:t>RND</w:t>
      </w:r>
      <w:r w:rsidRPr="00653CFB">
        <w:rPr>
          <w:rFonts w:hint="eastAsia"/>
        </w:rPr>
        <w:t>。此方法並不</w:t>
      </w:r>
      <w:r>
        <w:rPr>
          <w:rFonts w:hint="eastAsia"/>
        </w:rPr>
        <w:t>依賴</w:t>
      </w:r>
      <w:r w:rsidRPr="00653CFB">
        <w:rPr>
          <w:rFonts w:hint="eastAsia"/>
        </w:rPr>
        <w:t>選擇權價格符合</w:t>
      </w:r>
      <w:r w:rsidRPr="00653CFB">
        <w:rPr>
          <w:rFonts w:hint="eastAsia"/>
        </w:rPr>
        <w:t>Black-Scholes</w:t>
      </w:r>
      <w:r w:rsidRPr="00653CFB">
        <w:rPr>
          <w:rFonts w:hint="eastAsia"/>
        </w:rPr>
        <w:t>模型</w:t>
      </w:r>
      <w:r>
        <w:rPr>
          <w:rFonts w:hint="eastAsia"/>
        </w:rPr>
        <w:t>條件假設</w:t>
      </w:r>
      <w:r w:rsidRPr="00653CFB">
        <w:rPr>
          <w:rFonts w:hint="eastAsia"/>
        </w:rPr>
        <w:t>，而是僅將</w:t>
      </w:r>
      <w:r w:rsidRPr="00653CFB">
        <w:rPr>
          <w:rFonts w:hint="eastAsia"/>
        </w:rPr>
        <w:t>Black-Scholes</w:t>
      </w:r>
      <w:r w:rsidRPr="00653CFB">
        <w:rPr>
          <w:rFonts w:hint="eastAsia"/>
        </w:rPr>
        <w:t>公式作為一種計算工具，用來將數據轉換至更適合進行平滑處理的</w:t>
      </w:r>
      <w:r>
        <w:rPr>
          <w:rFonts w:hint="eastAsia"/>
        </w:rPr>
        <w:t>樣態</w:t>
      </w:r>
      <w:r w:rsidRPr="00653CFB">
        <w:rPr>
          <w:rFonts w:hint="eastAsia"/>
        </w:rPr>
        <w:t>。</w:t>
      </w:r>
    </w:p>
    <w:p w14:paraId="6CC14CBF" w14:textId="25ADBD97" w:rsidR="00C40C3F" w:rsidRDefault="003E53B0" w:rsidP="00C40C3F">
      <w:pPr>
        <w:spacing w:before="180" w:after="180"/>
        <w:ind w:firstLine="480"/>
      </w:pPr>
      <w:proofErr w:type="spellStart"/>
      <w:r w:rsidRPr="003E53B0">
        <w:rPr>
          <w:rFonts w:hint="eastAsia"/>
        </w:rPr>
        <w:t>Figlewski</w:t>
      </w:r>
      <w:proofErr w:type="spellEnd"/>
      <w:r>
        <w:rPr>
          <w:rFonts w:hint="eastAsia"/>
        </w:rPr>
        <w:t>（</w:t>
      </w:r>
      <w:r w:rsidRPr="003E53B0">
        <w:rPr>
          <w:rFonts w:hint="eastAsia"/>
        </w:rPr>
        <w:t>2008</w:t>
      </w:r>
      <w:r>
        <w:rPr>
          <w:rFonts w:hint="eastAsia"/>
        </w:rPr>
        <w:t>）</w:t>
      </w:r>
      <w:r w:rsidRPr="003E53B0">
        <w:rPr>
          <w:rFonts w:hint="eastAsia"/>
        </w:rPr>
        <w:t>提出的方法旨在解決價平附近選擇權隱含波動率數據的異常波動問題，尤其是買權</w:t>
      </w:r>
      <w:r w:rsidR="00987726">
        <w:rPr>
          <w:rFonts w:hint="eastAsia"/>
        </w:rPr>
        <w:t>與</w:t>
      </w:r>
      <w:r w:rsidRPr="003E53B0">
        <w:rPr>
          <w:rFonts w:hint="eastAsia"/>
        </w:rPr>
        <w:t>賣權價格在價平附近的跳躍現象</w:t>
      </w:r>
      <w:r w:rsidR="00987726">
        <w:rPr>
          <w:rFonts w:hint="eastAsia"/>
        </w:rPr>
        <w:t>，</w:t>
      </w:r>
      <w:r w:rsidRPr="003E53B0">
        <w:rPr>
          <w:rFonts w:hint="eastAsia"/>
        </w:rPr>
        <w:t>這種跳躍可能導致隱含波動率</w:t>
      </w:r>
      <w:r w:rsidR="00987726">
        <w:rPr>
          <w:rFonts w:hint="eastAsia"/>
        </w:rPr>
        <w:t>曲線</w:t>
      </w:r>
      <w:r w:rsidRPr="003E53B0">
        <w:rPr>
          <w:rFonts w:hint="eastAsia"/>
        </w:rPr>
        <w:t>不平滑，進而影響</w:t>
      </w:r>
      <w:r w:rsidR="00987726">
        <w:rPr>
          <w:rFonts w:hint="eastAsia"/>
        </w:rPr>
        <w:t>RND</w:t>
      </w:r>
      <w:r w:rsidR="00987726">
        <w:rPr>
          <w:rFonts w:hint="eastAsia"/>
        </w:rPr>
        <w:t>計算結果之穩定性</w:t>
      </w:r>
      <w:r w:rsidRPr="003E53B0">
        <w:rPr>
          <w:rFonts w:hint="eastAsia"/>
        </w:rPr>
        <w:t>。</w:t>
      </w:r>
      <w:r w:rsidR="00987726">
        <w:rPr>
          <w:rFonts w:hint="eastAsia"/>
        </w:rPr>
        <w:t>本研究參考其方法，</w:t>
      </w:r>
      <w:r w:rsidR="00676CC7">
        <w:rPr>
          <w:rFonts w:hint="eastAsia"/>
        </w:rPr>
        <w:t>若履約價格位於</w:t>
      </w:r>
      <w:r w:rsidR="00987726">
        <w:rPr>
          <w:rFonts w:hint="eastAsia"/>
        </w:rPr>
        <w:t>期貨價格</w:t>
      </w:r>
      <w:r w:rsidR="00676CC7">
        <w:rPr>
          <w:rFonts w:hint="eastAsia"/>
        </w:rPr>
        <w:t>之</w:t>
      </w:r>
      <w:r w:rsidR="00987726">
        <w:rPr>
          <w:rFonts w:hint="eastAsia"/>
        </w:rPr>
        <w:t>0.9</w:t>
      </w:r>
      <w:r w:rsidR="00987726">
        <w:rPr>
          <w:rFonts w:hint="eastAsia"/>
        </w:rPr>
        <w:t>到</w:t>
      </w:r>
      <w:r w:rsidR="00987726">
        <w:rPr>
          <w:rFonts w:hint="eastAsia"/>
        </w:rPr>
        <w:t>1.1</w:t>
      </w:r>
      <w:r w:rsidR="00987726">
        <w:rPr>
          <w:rFonts w:hint="eastAsia"/>
        </w:rPr>
        <w:t>倍間</w:t>
      </w:r>
      <w:r w:rsidR="00676CC7">
        <w:rPr>
          <w:rFonts w:hint="eastAsia"/>
        </w:rPr>
        <w:t>，則取其買賣權隱含波動率之平均作為數據點。公式如下：</w:t>
      </w:r>
    </w:p>
    <w:p w14:paraId="5CD0BC21" w14:textId="3A1812F9" w:rsidR="005D344F" w:rsidRDefault="00676CC7" w:rsidP="004D7F17">
      <w:pPr>
        <w:spacing w:before="180" w:after="180"/>
        <w:ind w:firstLine="480"/>
      </w:pPr>
      <m:oMathPara>
        <m:oMath>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mix</m:t>
              </m:r>
            </m:sub>
          </m:sSub>
          <m:d>
            <m:dPr>
              <m:ctrlPr>
                <w:rPr>
                  <w:rFonts w:ascii="Cambria Math" w:hAnsi="Cambria Math"/>
                  <w:i/>
                </w:rPr>
              </m:ctrlPr>
            </m:dPr>
            <m:e>
              <m:r>
                <w:rPr>
                  <w:rFonts w:ascii="Cambria Math" w:hAnsi="Cambria Math"/>
                </w:rPr>
                <m:t>K</m:t>
              </m:r>
            </m:e>
          </m:d>
          <m:r>
            <w:rPr>
              <w:rFonts w:ascii="Cambria Math" w:hAnsi="Cambria Math"/>
            </w:rPr>
            <m:t>=0.5×I</m:t>
          </m:r>
          <m:sSub>
            <m:sSubPr>
              <m:ctrlPr>
                <w:rPr>
                  <w:rFonts w:ascii="Cambria Math" w:hAnsi="Cambria Math"/>
                  <w:i/>
                </w:rPr>
              </m:ctrlPr>
            </m:sSubPr>
            <m:e>
              <m:r>
                <w:rPr>
                  <w:rFonts w:ascii="Cambria Math" w:hAnsi="Cambria Math"/>
                </w:rPr>
                <m:t>V</m:t>
              </m:r>
            </m:e>
            <m:sub>
              <m:r>
                <w:rPr>
                  <w:rFonts w:ascii="Cambria Math" w:hAnsi="Cambria Math"/>
                </w:rPr>
                <m:t>call</m:t>
              </m:r>
            </m:sub>
          </m:sSub>
          <m:d>
            <m:dPr>
              <m:ctrlPr>
                <w:rPr>
                  <w:rFonts w:ascii="Cambria Math" w:hAnsi="Cambria Math"/>
                  <w:i/>
                </w:rPr>
              </m:ctrlPr>
            </m:dPr>
            <m:e>
              <m:r>
                <w:rPr>
                  <w:rFonts w:ascii="Cambria Math" w:hAnsi="Cambria Math"/>
                </w:rPr>
                <m:t>K</m:t>
              </m:r>
            </m:e>
          </m:d>
          <m:r>
            <w:rPr>
              <w:rFonts w:ascii="Cambria Math" w:hAnsi="Cambria Math"/>
            </w:rPr>
            <m:t>+0.5×I</m:t>
          </m:r>
          <m:sSub>
            <m:sSubPr>
              <m:ctrlPr>
                <w:rPr>
                  <w:rFonts w:ascii="Cambria Math" w:hAnsi="Cambria Math"/>
                  <w:i/>
                </w:rPr>
              </m:ctrlPr>
            </m:sSubPr>
            <m:e>
              <m:r>
                <w:rPr>
                  <w:rFonts w:ascii="Cambria Math" w:hAnsi="Cambria Math"/>
                </w:rPr>
                <m:t>V</m:t>
              </m:r>
            </m:e>
            <m:sub>
              <m:r>
                <w:rPr>
                  <w:rFonts w:ascii="Cambria Math" w:hAnsi="Cambria Math"/>
                </w:rPr>
                <m:t>put</m:t>
              </m:r>
            </m:sub>
          </m:sSub>
          <m:d>
            <m:dPr>
              <m:ctrlPr>
                <w:rPr>
                  <w:rFonts w:ascii="Cambria Math" w:hAnsi="Cambria Math"/>
                  <w:i/>
                </w:rPr>
              </m:ctrlPr>
            </m:dPr>
            <m:e>
              <m:r>
                <w:rPr>
                  <w:rFonts w:ascii="Cambria Math" w:hAnsi="Cambria Math"/>
                </w:rPr>
                <m:t>K</m:t>
              </m:r>
            </m:e>
          </m:d>
          <m:r>
            <m:rPr>
              <m:sty m:val="p"/>
            </m:rPr>
            <w:rPr>
              <w:rFonts w:ascii="Cambria Math" w:hAnsi="Cambria Math"/>
            </w:rPr>
            <w:br/>
          </m:r>
        </m:oMath>
        <m:oMath>
          <m:r>
            <w:rPr>
              <w:rFonts w:ascii="Cambria Math" w:hAnsi="Cambria Math"/>
            </w:rPr>
            <m:t>K∈</m:t>
          </m:r>
          <m:d>
            <m:dPr>
              <m:begChr m:val="["/>
              <m:endChr m:val="]"/>
              <m:ctrlPr>
                <w:rPr>
                  <w:rFonts w:ascii="Cambria Math" w:hAnsi="Cambria Math"/>
                  <w:i/>
                </w:rPr>
              </m:ctrlPr>
            </m:dPr>
            <m:e>
              <m:r>
                <w:rPr>
                  <w:rFonts w:ascii="Cambria Math" w:hAnsi="Cambria Math"/>
                </w:rPr>
                <m:t>0.9×F, 1.1×F</m:t>
              </m:r>
            </m:e>
          </m:d>
        </m:oMath>
      </m:oMathPara>
    </w:p>
    <w:p w14:paraId="702D3AD4" w14:textId="1A187E04" w:rsidR="004D7F17" w:rsidRDefault="004D7F17" w:rsidP="005F66D1">
      <w:pPr>
        <w:spacing w:before="180" w:after="180"/>
        <w:ind w:firstLine="480"/>
      </w:pPr>
      <w:r>
        <w:fldChar w:fldCharType="begin"/>
      </w:r>
      <w:r>
        <w:instrText xml:space="preserve"> </w:instrText>
      </w:r>
      <w:r>
        <w:rPr>
          <w:rFonts w:hint="eastAsia"/>
        </w:rPr>
        <w:instrText>REF _Ref184762588 \h</w:instrText>
      </w:r>
      <w:r>
        <w:instrText xml:space="preserve"> </w:instrText>
      </w:r>
      <w:r>
        <w:fldChar w:fldCharType="separate"/>
      </w:r>
      <w:r>
        <w:rPr>
          <w:rFonts w:hint="eastAsia"/>
        </w:rPr>
        <w:t>圖</w:t>
      </w:r>
      <w:r>
        <w:rPr>
          <w:rFonts w:hint="eastAsia"/>
        </w:rPr>
        <w:t>4-</w:t>
      </w:r>
      <w:r>
        <w:rPr>
          <w:noProof/>
        </w:rPr>
        <w:t>1</w:t>
      </w:r>
      <w:r>
        <w:fldChar w:fldCharType="end"/>
      </w:r>
      <w:r w:rsidRPr="004D7F17">
        <w:t>呈現</w:t>
      </w:r>
      <w:r>
        <w:rPr>
          <w:rFonts w:hint="eastAsia"/>
        </w:rPr>
        <w:t>比</w:t>
      </w:r>
      <w:proofErr w:type="gramStart"/>
      <w:r>
        <w:rPr>
          <w:rFonts w:hint="eastAsia"/>
        </w:rPr>
        <w:t>特</w:t>
      </w:r>
      <w:proofErr w:type="gramEnd"/>
      <w:r>
        <w:rPr>
          <w:rFonts w:hint="eastAsia"/>
        </w:rPr>
        <w:t>幣</w:t>
      </w:r>
      <w:r w:rsidRPr="004D7F17">
        <w:t>選擇權隱含波動率與履約價格之關係，顯示市場對價外選擇權具有較高偏好。同時，在價平附近可觀察到隱含波動率存在顯著的跳動現象。為減少價平位置隱含波動率</w:t>
      </w:r>
      <w:r>
        <w:rPr>
          <w:rFonts w:hint="eastAsia"/>
        </w:rPr>
        <w:t>之</w:t>
      </w:r>
      <w:r w:rsidRPr="004D7F17">
        <w:t>劇烈波動，</w:t>
      </w:r>
      <w:r>
        <w:rPr>
          <w:rFonts w:hint="eastAsia"/>
        </w:rPr>
        <w:t>本研究針對位於</w:t>
      </w:r>
      <w:r w:rsidRPr="004D7F17">
        <w:t>期貨價格</w:t>
      </w:r>
      <w:r w:rsidRPr="004D7F17">
        <w:t>0.9</w:t>
      </w:r>
      <w:r w:rsidRPr="004D7F17">
        <w:t>倍至</w:t>
      </w:r>
      <w:r w:rsidRPr="004D7F17">
        <w:t>1.1</w:t>
      </w:r>
      <w:r w:rsidRPr="004D7F17">
        <w:t>倍區間內</w:t>
      </w:r>
      <w:r>
        <w:rPr>
          <w:rFonts w:hint="eastAsia"/>
        </w:rPr>
        <w:t>之數據</w:t>
      </w:r>
      <w:r w:rsidRPr="004D7F17">
        <w:t>，將買權與賣權</w:t>
      </w:r>
      <w:r>
        <w:rPr>
          <w:rFonts w:hint="eastAsia"/>
        </w:rPr>
        <w:t>之</w:t>
      </w:r>
      <w:r w:rsidRPr="004D7F17">
        <w:t>隱含</w:t>
      </w:r>
      <w:proofErr w:type="gramStart"/>
      <w:r w:rsidRPr="004D7F17">
        <w:t>波動率取平均值</w:t>
      </w:r>
      <w:proofErr w:type="gramEnd"/>
      <w:r w:rsidRPr="004D7F17">
        <w:t>，作為後續平滑處理的基礎數據。如</w:t>
      </w:r>
      <w:r>
        <w:fldChar w:fldCharType="begin"/>
      </w:r>
      <w:r>
        <w:instrText xml:space="preserve"> </w:instrText>
      </w:r>
      <w:r>
        <w:rPr>
          <w:rFonts w:hint="eastAsia"/>
        </w:rPr>
        <w:instrText>REF _Ref184775728 \h</w:instrText>
      </w:r>
      <w:r>
        <w:instrText xml:space="preserve"> </w:instrText>
      </w:r>
      <w:r>
        <w:fldChar w:fldCharType="separate"/>
      </w:r>
      <w:r>
        <w:rPr>
          <w:rFonts w:hint="eastAsia"/>
        </w:rPr>
        <w:t>圖</w:t>
      </w:r>
      <w:r>
        <w:rPr>
          <w:rFonts w:hint="eastAsia"/>
        </w:rPr>
        <w:t>4-</w:t>
      </w:r>
      <w:r>
        <w:rPr>
          <w:noProof/>
        </w:rPr>
        <w:t>2</w:t>
      </w:r>
      <w:r>
        <w:fldChar w:fldCharType="end"/>
      </w:r>
      <w:r w:rsidRPr="004D7F17">
        <w:t>所示，綠色標記點</w:t>
      </w:r>
      <w:r>
        <w:rPr>
          <w:rFonts w:hint="eastAsia"/>
        </w:rPr>
        <w:t>代表</w:t>
      </w:r>
      <w:r w:rsidRPr="004D7F17">
        <w:t>平均後</w:t>
      </w:r>
      <w:r>
        <w:rPr>
          <w:rFonts w:hint="eastAsia"/>
        </w:rPr>
        <w:t>之</w:t>
      </w:r>
      <w:r w:rsidRPr="004D7F17">
        <w:t>隱含波動率，此方法能有效降低價平附近</w:t>
      </w:r>
      <w:r w:rsidRPr="004D7F17">
        <w:lastRenderedPageBreak/>
        <w:t>買賣權隱含波動率之波動</w:t>
      </w:r>
      <w:r>
        <w:rPr>
          <w:rFonts w:hint="eastAsia"/>
        </w:rPr>
        <w:t>幅度</w:t>
      </w:r>
      <w:r w:rsidRPr="004D7F17">
        <w:t>。</w:t>
      </w:r>
      <w:r>
        <w:rPr>
          <w:rFonts w:hint="eastAsia"/>
        </w:rPr>
        <w:t>對於</w:t>
      </w:r>
      <w:r w:rsidRPr="004D7F17">
        <w:t>超出此</w:t>
      </w:r>
      <w:r>
        <w:rPr>
          <w:rFonts w:hint="eastAsia"/>
        </w:rPr>
        <w:t>區間之數據</w:t>
      </w:r>
      <w:r w:rsidRPr="004D7F17">
        <w:t>，則直接採用價外選擇權</w:t>
      </w:r>
      <w:r>
        <w:rPr>
          <w:rFonts w:hint="eastAsia"/>
        </w:rPr>
        <w:t>之</w:t>
      </w:r>
      <w:r w:rsidRPr="004D7F17">
        <w:t>隱含波動率數據。經上述處理後，最終</w:t>
      </w:r>
      <w:r>
        <w:rPr>
          <w:rFonts w:hint="eastAsia"/>
        </w:rPr>
        <w:t>建構之</w:t>
      </w:r>
      <w:r w:rsidRPr="004D7F17">
        <w:t>隱含波動率</w:t>
      </w:r>
      <w:r>
        <w:rPr>
          <w:rFonts w:hint="eastAsia"/>
        </w:rPr>
        <w:t>數據</w:t>
      </w:r>
      <w:r w:rsidRPr="004D7F17">
        <w:t>如</w:t>
      </w:r>
      <w:r>
        <w:fldChar w:fldCharType="begin"/>
      </w:r>
      <w:r>
        <w:instrText xml:space="preserve"> </w:instrText>
      </w:r>
      <w:r>
        <w:rPr>
          <w:rFonts w:hint="eastAsia"/>
        </w:rPr>
        <w:instrText>REF _Ref184776096 \h</w:instrText>
      </w:r>
      <w:r>
        <w:instrText xml:space="preserve"> </w:instrText>
      </w:r>
      <w:r>
        <w:fldChar w:fldCharType="separate"/>
      </w:r>
      <w:r>
        <w:rPr>
          <w:rFonts w:hint="eastAsia"/>
        </w:rPr>
        <w:t>圖</w:t>
      </w:r>
      <w:r>
        <w:rPr>
          <w:rFonts w:hint="eastAsia"/>
        </w:rPr>
        <w:t>4-</w:t>
      </w:r>
      <w:r>
        <w:rPr>
          <w:noProof/>
        </w:rPr>
        <w:t>3</w:t>
      </w:r>
      <w:r>
        <w:fldChar w:fldCharType="end"/>
      </w:r>
      <w:r w:rsidRPr="004D7F17">
        <w:t>所示。</w:t>
      </w:r>
    </w:p>
    <w:p w14:paraId="72ABFBFD" w14:textId="77777777" w:rsidR="00473435" w:rsidRDefault="00473435" w:rsidP="00473435">
      <w:pPr>
        <w:pStyle w:val="aa"/>
        <w:spacing w:before="180" w:after="180"/>
      </w:pPr>
      <w:r w:rsidRPr="00473435">
        <w:drawing>
          <wp:inline distT="0" distB="0" distL="0" distR="0" wp14:anchorId="15DB489D" wp14:editId="625A3194">
            <wp:extent cx="4680000" cy="2981133"/>
            <wp:effectExtent l="0" t="0" r="6350" b="0"/>
            <wp:docPr id="431091770"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91770" name="圖片 1" descr="一張含有 文字, 螢幕擷取畫面, 圖表, 繪圖 的圖片&#10;&#10;自動產生的描述"/>
                    <pic:cNvPicPr/>
                  </pic:nvPicPr>
                  <pic:blipFill>
                    <a:blip r:embed="rId18"/>
                    <a:stretch>
                      <a:fillRect/>
                    </a:stretch>
                  </pic:blipFill>
                  <pic:spPr>
                    <a:xfrm>
                      <a:off x="0" y="0"/>
                      <a:ext cx="4680000" cy="2981133"/>
                    </a:xfrm>
                    <a:prstGeom prst="rect">
                      <a:avLst/>
                    </a:prstGeom>
                  </pic:spPr>
                </pic:pic>
              </a:graphicData>
            </a:graphic>
          </wp:inline>
        </w:drawing>
      </w:r>
    </w:p>
    <w:p w14:paraId="7A6BE9F4" w14:textId="638EEBDE" w:rsidR="00473435" w:rsidRDefault="00473435" w:rsidP="00473435">
      <w:pPr>
        <w:pStyle w:val="a9"/>
        <w:spacing w:before="180" w:after="180"/>
      </w:pPr>
      <w:bookmarkStart w:id="13" w:name="_Ref184762588"/>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9D4D5D">
        <w:rPr>
          <w:noProof/>
        </w:rPr>
        <w:t>1</w:t>
      </w:r>
      <w:r>
        <w:fldChar w:fldCharType="end"/>
      </w:r>
      <w:bookmarkEnd w:id="13"/>
      <w:r w:rsidR="009D4D5D">
        <w:rPr>
          <w:rFonts w:hint="eastAsia"/>
        </w:rPr>
        <w:t>：</w:t>
      </w:r>
      <w:r w:rsidR="009D4D5D">
        <w:rPr>
          <w:rFonts w:hint="eastAsia"/>
        </w:rPr>
        <w:t>2023</w:t>
      </w:r>
      <w:r w:rsidR="009D4D5D">
        <w:rPr>
          <w:rFonts w:hint="eastAsia"/>
        </w:rPr>
        <w:t>年</w:t>
      </w:r>
      <w:r w:rsidR="009D4D5D">
        <w:rPr>
          <w:rFonts w:hint="eastAsia"/>
        </w:rPr>
        <w:t>11</w:t>
      </w:r>
      <w:r w:rsidR="009D4D5D">
        <w:rPr>
          <w:rFonts w:hint="eastAsia"/>
        </w:rPr>
        <w:t>月</w:t>
      </w:r>
      <w:r w:rsidR="009D4D5D">
        <w:rPr>
          <w:rFonts w:hint="eastAsia"/>
        </w:rPr>
        <w:t>20</w:t>
      </w:r>
      <w:r w:rsidR="009D4D5D">
        <w:rPr>
          <w:rFonts w:hint="eastAsia"/>
        </w:rPr>
        <w:t>日比</w:t>
      </w:r>
      <w:proofErr w:type="gramStart"/>
      <w:r w:rsidR="009D4D5D">
        <w:rPr>
          <w:rFonts w:hint="eastAsia"/>
        </w:rPr>
        <w:t>特</w:t>
      </w:r>
      <w:proofErr w:type="gramEnd"/>
      <w:r w:rsidR="009D4D5D">
        <w:rPr>
          <w:rFonts w:hint="eastAsia"/>
        </w:rPr>
        <w:t>幣選擇權隱含波動率分布圖（</w:t>
      </w:r>
      <w:r w:rsidR="009D4D5D">
        <w:rPr>
          <w:rFonts w:hint="eastAsia"/>
        </w:rPr>
        <w:t>2023</w:t>
      </w:r>
      <w:r w:rsidR="009D4D5D">
        <w:rPr>
          <w:rFonts w:hint="eastAsia"/>
        </w:rPr>
        <w:t>年</w:t>
      </w:r>
      <w:r w:rsidR="009D4D5D">
        <w:rPr>
          <w:rFonts w:hint="eastAsia"/>
        </w:rPr>
        <w:t>12</w:t>
      </w:r>
      <w:r w:rsidR="009D4D5D">
        <w:rPr>
          <w:rFonts w:hint="eastAsia"/>
        </w:rPr>
        <w:t>月</w:t>
      </w:r>
      <w:r w:rsidR="009D4D5D">
        <w:rPr>
          <w:rFonts w:hint="eastAsia"/>
        </w:rPr>
        <w:t>29</w:t>
      </w:r>
      <w:r w:rsidR="009D4D5D">
        <w:rPr>
          <w:rFonts w:hint="eastAsia"/>
        </w:rPr>
        <w:t>日到期）</w:t>
      </w:r>
    </w:p>
    <w:p w14:paraId="7C7ABCCD" w14:textId="77777777" w:rsidR="00473435" w:rsidRDefault="00473435" w:rsidP="00473435">
      <w:pPr>
        <w:pStyle w:val="aa"/>
        <w:keepNext/>
        <w:spacing w:before="180" w:after="180"/>
      </w:pPr>
      <w:r w:rsidRPr="00473435">
        <w:drawing>
          <wp:inline distT="0" distB="0" distL="0" distR="0" wp14:anchorId="6CF1BE93" wp14:editId="7D7A9BA2">
            <wp:extent cx="4680000" cy="2981134"/>
            <wp:effectExtent l="0" t="0" r="6350" b="0"/>
            <wp:docPr id="1170554187"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54187" name="圖片 1" descr="一張含有 文字, 螢幕擷取畫面, 圖表, 繪圖 的圖片&#10;&#10;自動產生的描述"/>
                    <pic:cNvPicPr/>
                  </pic:nvPicPr>
                  <pic:blipFill>
                    <a:blip r:embed="rId19"/>
                    <a:stretch>
                      <a:fillRect/>
                    </a:stretch>
                  </pic:blipFill>
                  <pic:spPr>
                    <a:xfrm>
                      <a:off x="0" y="0"/>
                      <a:ext cx="4680000" cy="2981134"/>
                    </a:xfrm>
                    <a:prstGeom prst="rect">
                      <a:avLst/>
                    </a:prstGeom>
                  </pic:spPr>
                </pic:pic>
              </a:graphicData>
            </a:graphic>
          </wp:inline>
        </w:drawing>
      </w:r>
    </w:p>
    <w:p w14:paraId="569744D6" w14:textId="7BFA0275" w:rsidR="00473435" w:rsidRDefault="00473435" w:rsidP="00473435">
      <w:pPr>
        <w:pStyle w:val="a9"/>
        <w:spacing w:before="180" w:after="180"/>
      </w:pPr>
      <w:bookmarkStart w:id="14" w:name="_Ref184775728"/>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9D4D5D">
        <w:rPr>
          <w:noProof/>
        </w:rPr>
        <w:t>2</w:t>
      </w:r>
      <w:r>
        <w:fldChar w:fldCharType="end"/>
      </w:r>
      <w:bookmarkEnd w:id="14"/>
      <w:r w:rsidR="009D4D5D">
        <w:rPr>
          <w:rFonts w:hint="eastAsia"/>
        </w:rPr>
        <w:t>：</w:t>
      </w:r>
      <w:r w:rsidR="009D4D5D">
        <w:rPr>
          <w:rFonts w:hint="eastAsia"/>
        </w:rPr>
        <w:t>2023</w:t>
      </w:r>
      <w:r w:rsidR="009D4D5D">
        <w:rPr>
          <w:rFonts w:hint="eastAsia"/>
        </w:rPr>
        <w:t>年</w:t>
      </w:r>
      <w:r w:rsidR="009D4D5D">
        <w:rPr>
          <w:rFonts w:hint="eastAsia"/>
        </w:rPr>
        <w:t>11</w:t>
      </w:r>
      <w:r w:rsidR="009D4D5D">
        <w:rPr>
          <w:rFonts w:hint="eastAsia"/>
        </w:rPr>
        <w:t>月</w:t>
      </w:r>
      <w:r w:rsidR="009D4D5D">
        <w:rPr>
          <w:rFonts w:hint="eastAsia"/>
        </w:rPr>
        <w:t>20</w:t>
      </w:r>
      <w:r w:rsidR="009D4D5D">
        <w:rPr>
          <w:rFonts w:hint="eastAsia"/>
        </w:rPr>
        <w:t>日比</w:t>
      </w:r>
      <w:proofErr w:type="gramStart"/>
      <w:r w:rsidR="009D4D5D">
        <w:rPr>
          <w:rFonts w:hint="eastAsia"/>
        </w:rPr>
        <w:t>特</w:t>
      </w:r>
      <w:proofErr w:type="gramEnd"/>
      <w:r w:rsidR="009D4D5D">
        <w:rPr>
          <w:rFonts w:hint="eastAsia"/>
        </w:rPr>
        <w:t>幣選擇權隱含波動率分布圖（</w:t>
      </w:r>
      <w:r w:rsidR="009D4D5D">
        <w:rPr>
          <w:rFonts w:hint="eastAsia"/>
        </w:rPr>
        <w:t>2023</w:t>
      </w:r>
      <w:r w:rsidR="009D4D5D">
        <w:rPr>
          <w:rFonts w:hint="eastAsia"/>
        </w:rPr>
        <w:t>年</w:t>
      </w:r>
      <w:r w:rsidR="009D4D5D">
        <w:rPr>
          <w:rFonts w:hint="eastAsia"/>
        </w:rPr>
        <w:t>12</w:t>
      </w:r>
      <w:r w:rsidR="009D4D5D">
        <w:rPr>
          <w:rFonts w:hint="eastAsia"/>
        </w:rPr>
        <w:t>月</w:t>
      </w:r>
      <w:r w:rsidR="009D4D5D">
        <w:rPr>
          <w:rFonts w:hint="eastAsia"/>
        </w:rPr>
        <w:t>29</w:t>
      </w:r>
      <w:r w:rsidR="009D4D5D">
        <w:rPr>
          <w:rFonts w:hint="eastAsia"/>
        </w:rPr>
        <w:t>日到期）</w:t>
      </w:r>
    </w:p>
    <w:p w14:paraId="5B167FB0" w14:textId="77777777" w:rsidR="009D4D5D" w:rsidRDefault="009D4D5D" w:rsidP="009D4D5D">
      <w:pPr>
        <w:pStyle w:val="aa"/>
        <w:keepNext/>
        <w:spacing w:before="180" w:after="180"/>
      </w:pPr>
      <w:r w:rsidRPr="009D4D5D">
        <w:lastRenderedPageBreak/>
        <w:drawing>
          <wp:inline distT="0" distB="0" distL="0" distR="0" wp14:anchorId="1B9CAB43" wp14:editId="678F50D1">
            <wp:extent cx="4680000" cy="2981134"/>
            <wp:effectExtent l="0" t="0" r="6350" b="0"/>
            <wp:docPr id="632466087"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66087" name="圖片 1" descr="一張含有 文字, 螢幕擷取畫面, 圖表, 繪圖 的圖片&#10;&#10;自動產生的描述"/>
                    <pic:cNvPicPr/>
                  </pic:nvPicPr>
                  <pic:blipFill>
                    <a:blip r:embed="rId20"/>
                    <a:stretch>
                      <a:fillRect/>
                    </a:stretch>
                  </pic:blipFill>
                  <pic:spPr>
                    <a:xfrm>
                      <a:off x="0" y="0"/>
                      <a:ext cx="4680000" cy="2981134"/>
                    </a:xfrm>
                    <a:prstGeom prst="rect">
                      <a:avLst/>
                    </a:prstGeom>
                  </pic:spPr>
                </pic:pic>
              </a:graphicData>
            </a:graphic>
          </wp:inline>
        </w:drawing>
      </w:r>
    </w:p>
    <w:p w14:paraId="3AAFF10C" w14:textId="61049180" w:rsidR="009D4D5D" w:rsidRPr="009D4D5D" w:rsidRDefault="009D4D5D" w:rsidP="009D4D5D">
      <w:pPr>
        <w:pStyle w:val="a9"/>
        <w:spacing w:before="180" w:after="180"/>
      </w:pPr>
      <w:bookmarkStart w:id="15" w:name="_Ref184776096"/>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Pr>
          <w:noProof/>
        </w:rPr>
        <w:t>3</w:t>
      </w:r>
      <w:r>
        <w:fldChar w:fldCharType="end"/>
      </w:r>
      <w:bookmarkEnd w:id="15"/>
      <w:r>
        <w:rPr>
          <w:rFonts w:hint="eastAsia"/>
        </w:rPr>
        <w:t>：</w:t>
      </w:r>
      <w:r>
        <w:rPr>
          <w:rFonts w:hint="eastAsia"/>
        </w:rPr>
        <w:t>2023</w:t>
      </w:r>
      <w:r>
        <w:rPr>
          <w:rFonts w:hint="eastAsia"/>
        </w:rPr>
        <w:t>年</w:t>
      </w:r>
      <w:r>
        <w:rPr>
          <w:rFonts w:hint="eastAsia"/>
        </w:rPr>
        <w:t>11</w:t>
      </w:r>
      <w:r>
        <w:rPr>
          <w:rFonts w:hint="eastAsia"/>
        </w:rPr>
        <w:t>月</w:t>
      </w:r>
      <w:r>
        <w:rPr>
          <w:rFonts w:hint="eastAsia"/>
        </w:rPr>
        <w:t>20</w:t>
      </w:r>
      <w:r>
        <w:rPr>
          <w:rFonts w:hint="eastAsia"/>
        </w:rPr>
        <w:t>日比</w:t>
      </w:r>
      <w:proofErr w:type="gramStart"/>
      <w:r>
        <w:rPr>
          <w:rFonts w:hint="eastAsia"/>
        </w:rPr>
        <w:t>特</w:t>
      </w:r>
      <w:proofErr w:type="gramEnd"/>
      <w:r>
        <w:rPr>
          <w:rFonts w:hint="eastAsia"/>
        </w:rPr>
        <w:t>幣選擇權隱含波動率分布圖（</w:t>
      </w:r>
      <w:r>
        <w:rPr>
          <w:rFonts w:hint="eastAsia"/>
        </w:rPr>
        <w:t>2023</w:t>
      </w:r>
      <w:r>
        <w:rPr>
          <w:rFonts w:hint="eastAsia"/>
        </w:rPr>
        <w:t>年</w:t>
      </w:r>
      <w:r>
        <w:rPr>
          <w:rFonts w:hint="eastAsia"/>
        </w:rPr>
        <w:t>12</w:t>
      </w:r>
      <w:r>
        <w:rPr>
          <w:rFonts w:hint="eastAsia"/>
        </w:rPr>
        <w:t>月</w:t>
      </w:r>
      <w:r>
        <w:rPr>
          <w:rFonts w:hint="eastAsia"/>
        </w:rPr>
        <w:t>29</w:t>
      </w:r>
      <w:r>
        <w:rPr>
          <w:rFonts w:hint="eastAsia"/>
        </w:rPr>
        <w:t>日到期）</w:t>
      </w:r>
    </w:p>
    <w:p w14:paraId="4454655D" w14:textId="1679AD1D" w:rsidR="004F5F74" w:rsidRDefault="004F5F74" w:rsidP="004F5F74">
      <w:pPr>
        <w:spacing w:before="180" w:after="180"/>
        <w:ind w:firstLine="480"/>
      </w:pPr>
      <w:r>
        <w:rPr>
          <w:rFonts w:hint="eastAsia"/>
        </w:rPr>
        <w:t>為了對處理後的隱含波動率數據進行更精確的擬合，本研究採用四</w:t>
      </w:r>
      <w:proofErr w:type="gramStart"/>
      <w:r>
        <w:rPr>
          <w:rFonts w:hint="eastAsia"/>
        </w:rPr>
        <w:t>階樣條</w:t>
      </w:r>
      <w:proofErr w:type="gramEnd"/>
      <w:r>
        <w:rPr>
          <w:rFonts w:hint="eastAsia"/>
        </w:rPr>
        <w:t>函數（</w:t>
      </w:r>
      <w:r>
        <w:rPr>
          <w:rFonts w:hint="eastAsia"/>
        </w:rPr>
        <w:t>4th Spline</w:t>
      </w:r>
      <w:r>
        <w:rPr>
          <w:rFonts w:hint="eastAsia"/>
        </w:rPr>
        <w:t>）搭配單一節點（</w:t>
      </w:r>
      <w:r>
        <w:rPr>
          <w:rFonts w:hint="eastAsia"/>
        </w:rPr>
        <w:t>one knot</w:t>
      </w:r>
      <w:r>
        <w:rPr>
          <w:rFonts w:hint="eastAsia"/>
        </w:rPr>
        <w:t>）進行曲線擬合。節點（</w:t>
      </w:r>
      <w:r>
        <w:rPr>
          <w:rFonts w:hint="eastAsia"/>
        </w:rPr>
        <w:t>knot</w:t>
      </w:r>
      <w:r>
        <w:rPr>
          <w:rFonts w:hint="eastAsia"/>
        </w:rPr>
        <w:t>）設置於期貨價格處，此設計能在保持整體曲線連續性的同時，允許曲線在此關鍵位置具有更大的靈活度。採用四</w:t>
      </w:r>
      <w:proofErr w:type="gramStart"/>
      <w:r>
        <w:rPr>
          <w:rFonts w:hint="eastAsia"/>
        </w:rPr>
        <w:t>階樣條</w:t>
      </w:r>
      <w:proofErr w:type="gramEnd"/>
      <w:r>
        <w:rPr>
          <w:rFonts w:hint="eastAsia"/>
        </w:rPr>
        <w:t>函數確保擬合曲線具有三階連續可導性（</w:t>
      </w:r>
      <w:r>
        <w:rPr>
          <w:rFonts w:hint="eastAsia"/>
        </w:rPr>
        <w:t>C</w:t>
      </w:r>
      <w:r>
        <w:rPr>
          <w:rFonts w:hint="eastAsia"/>
        </w:rPr>
        <w:t>³</w:t>
      </w:r>
      <w:r>
        <w:rPr>
          <w:rFonts w:hint="eastAsia"/>
        </w:rPr>
        <w:t xml:space="preserve"> continuity</w:t>
      </w:r>
      <w:r>
        <w:rPr>
          <w:rFonts w:hint="eastAsia"/>
        </w:rPr>
        <w:t>），不僅能有效捕捉隱含波動率曲線的細微變化，同時也避免過度擬合（</w:t>
      </w:r>
      <w:r>
        <w:rPr>
          <w:rFonts w:hint="eastAsia"/>
        </w:rPr>
        <w:t>over-fitting</w:t>
      </w:r>
      <w:r>
        <w:rPr>
          <w:rFonts w:hint="eastAsia"/>
        </w:rPr>
        <w:t>）的問題。</w:t>
      </w:r>
    </w:p>
    <w:p w14:paraId="04A96A42" w14:textId="2825DE9D" w:rsidR="004F5F74" w:rsidRDefault="00830EEC" w:rsidP="004F5F74">
      <w:pPr>
        <w:spacing w:before="180" w:after="180"/>
        <w:ind w:firstLine="480"/>
      </w:pPr>
      <w:r w:rsidRPr="00830EEC">
        <w:t>四</w:t>
      </w:r>
      <w:proofErr w:type="gramStart"/>
      <w:r w:rsidRPr="00830EEC">
        <w:t>階樣條</w:t>
      </w:r>
      <w:proofErr w:type="gramEnd"/>
      <w:r w:rsidRPr="00830EEC">
        <w:t>函數的數學表示如下：</w:t>
      </w:r>
    </w:p>
    <w:p w14:paraId="5A632769" w14:textId="746F8C88" w:rsidR="00830EEC" w:rsidRDefault="00830EEC" w:rsidP="004F5F74">
      <w:pPr>
        <w:spacing w:before="180" w:after="180"/>
        <w:ind w:firstLine="480"/>
      </w:pPr>
      <w:r w:rsidRPr="00830EEC">
        <w:rPr>
          <w:noProof/>
        </w:rPr>
        <w:drawing>
          <wp:inline distT="0" distB="0" distL="0" distR="0" wp14:anchorId="766F2E52" wp14:editId="075E77AE">
            <wp:extent cx="5226419" cy="1906438"/>
            <wp:effectExtent l="0" t="0" r="0" b="0"/>
            <wp:docPr id="1351226143" name="圖片 1" descr="一張含有 文字, 筆跡, 字型, 書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26143" name="圖片 1" descr="一張含有 文字, 筆跡, 字型, 書法 的圖片&#10;&#10;自動產生的描述"/>
                    <pic:cNvPicPr/>
                  </pic:nvPicPr>
                  <pic:blipFill>
                    <a:blip r:embed="rId21"/>
                    <a:stretch>
                      <a:fillRect/>
                    </a:stretch>
                  </pic:blipFill>
                  <pic:spPr>
                    <a:xfrm>
                      <a:off x="0" y="0"/>
                      <a:ext cx="5241208" cy="1911832"/>
                    </a:xfrm>
                    <a:prstGeom prst="rect">
                      <a:avLst/>
                    </a:prstGeom>
                  </pic:spPr>
                </pic:pic>
              </a:graphicData>
            </a:graphic>
          </wp:inline>
        </w:drawing>
      </w:r>
    </w:p>
    <w:p w14:paraId="08825BCE" w14:textId="1C4683D5" w:rsidR="00830EEC" w:rsidRDefault="00830EEC" w:rsidP="004F5F74">
      <w:pPr>
        <w:spacing w:before="180" w:after="180"/>
        <w:ind w:firstLine="480"/>
      </w:pPr>
      <w:r w:rsidRPr="00830EEC">
        <w:t>這些條件分別確保了函數值及</w:t>
      </w:r>
      <w:proofErr w:type="gramStart"/>
      <w:r w:rsidRPr="00830EEC">
        <w:t>其一階</w:t>
      </w:r>
      <w:proofErr w:type="gramEnd"/>
      <w:r w:rsidRPr="00830EEC">
        <w:t>、二階和三</w:t>
      </w:r>
      <w:proofErr w:type="gramStart"/>
      <w:r w:rsidRPr="00830EEC">
        <w:t>階導數</w:t>
      </w:r>
      <w:proofErr w:type="gramEnd"/>
      <w:r w:rsidRPr="00830EEC">
        <w:t>在節點處的連續性。</w:t>
      </w:r>
    </w:p>
    <w:p w14:paraId="3B93146E" w14:textId="4E21FA0B" w:rsidR="004F5F74" w:rsidRDefault="004F5F74" w:rsidP="004F5F74">
      <w:pPr>
        <w:spacing w:before="180" w:after="180"/>
        <w:ind w:firstLine="480"/>
      </w:pPr>
      <w:r>
        <w:rPr>
          <w:rFonts w:hint="eastAsia"/>
        </w:rPr>
        <w:lastRenderedPageBreak/>
        <w:t>將唯一節點設置於期貨價格處具有重要的經濟意義，因為此位置通常</w:t>
      </w:r>
      <w:proofErr w:type="gramStart"/>
      <w:r>
        <w:rPr>
          <w:rFonts w:hint="eastAsia"/>
        </w:rPr>
        <w:t>對應於價平</w:t>
      </w:r>
      <w:proofErr w:type="gramEnd"/>
      <w:r>
        <w:rPr>
          <w:rFonts w:hint="eastAsia"/>
        </w:rPr>
        <w:t>選擇權（</w:t>
      </w:r>
      <w:r>
        <w:rPr>
          <w:rFonts w:hint="eastAsia"/>
        </w:rPr>
        <w:t>At-the-money options</w:t>
      </w:r>
      <w:r>
        <w:rPr>
          <w:rFonts w:hint="eastAsia"/>
        </w:rPr>
        <w:t>）。此節點的設置將曲線分為兩個區段，分別對應期貨價格以上與以下的區域，使得擬合曲線能更準確地反映價平附近的波動率特徵。這種分段擬合的方法特別適合處理選擇權隱含波動率在價平位置前後可能出現的不對稱特徵。</w:t>
      </w:r>
    </w:p>
    <w:p w14:paraId="00F17002" w14:textId="62A7842F" w:rsidR="00716605" w:rsidRDefault="004F5F74" w:rsidP="004F5F74">
      <w:pPr>
        <w:spacing w:before="180" w:after="180"/>
        <w:ind w:firstLine="480"/>
      </w:pPr>
      <w:r>
        <w:rPr>
          <w:rFonts w:hint="eastAsia"/>
        </w:rPr>
        <w:t>在實作層面，本研究運用</w:t>
      </w:r>
      <w:r>
        <w:rPr>
          <w:rFonts w:hint="eastAsia"/>
        </w:rPr>
        <w:t>Python</w:t>
      </w:r>
      <w:r>
        <w:rPr>
          <w:rFonts w:hint="eastAsia"/>
        </w:rPr>
        <w:t>的</w:t>
      </w:r>
      <w:r>
        <w:rPr>
          <w:rFonts w:hint="eastAsia"/>
        </w:rPr>
        <w:t>SciPy</w:t>
      </w:r>
      <w:r>
        <w:rPr>
          <w:rFonts w:hint="eastAsia"/>
        </w:rPr>
        <w:t>套件中的</w:t>
      </w:r>
      <w:proofErr w:type="spellStart"/>
      <w:r>
        <w:rPr>
          <w:rFonts w:hint="eastAsia"/>
        </w:rPr>
        <w:t>LSQUnivariateSpline</w:t>
      </w:r>
      <w:proofErr w:type="spellEnd"/>
      <w:r>
        <w:rPr>
          <w:rFonts w:hint="eastAsia"/>
        </w:rPr>
        <w:t>方法進行曲線擬合。此方法採用最小平方法（</w:t>
      </w:r>
      <w:r>
        <w:rPr>
          <w:rFonts w:hint="eastAsia"/>
        </w:rPr>
        <w:t>Least Squares</w:t>
      </w:r>
      <w:r>
        <w:rPr>
          <w:rFonts w:hint="eastAsia"/>
        </w:rPr>
        <w:t>）進行參數估計，能有效處理非均勻分布的數據點，並通過指定的內部節點（</w:t>
      </w:r>
      <w:r>
        <w:rPr>
          <w:rFonts w:hint="eastAsia"/>
        </w:rPr>
        <w:t>internal knots</w:t>
      </w:r>
      <w:r>
        <w:rPr>
          <w:rFonts w:hint="eastAsia"/>
        </w:rPr>
        <w:t>）實現分段擬合。</w:t>
      </w:r>
      <w:proofErr w:type="spellStart"/>
      <w:r>
        <w:rPr>
          <w:rFonts w:hint="eastAsia"/>
        </w:rPr>
        <w:t>LSQUnivariateSpline</w:t>
      </w:r>
      <w:proofErr w:type="spellEnd"/>
      <w:r>
        <w:rPr>
          <w:rFonts w:hint="eastAsia"/>
        </w:rPr>
        <w:t xml:space="preserve"> </w:t>
      </w:r>
      <w:r>
        <w:rPr>
          <w:rFonts w:hint="eastAsia"/>
        </w:rPr>
        <w:t>方法的優勢在於其能同時考慮擬合精度與曲線平滑度，為後續分析提供可靠的數據基礎。</w:t>
      </w:r>
    </w:p>
    <w:p w14:paraId="2395184C" w14:textId="20859361" w:rsidR="00A96F87" w:rsidRPr="00A96F87" w:rsidRDefault="00A96F87" w:rsidP="00A96F87">
      <w:pPr>
        <w:pStyle w:val="aa"/>
        <w:spacing w:before="180" w:after="180"/>
        <w:rPr>
          <w:rFonts w:hint="eastAsia"/>
        </w:rPr>
      </w:pPr>
      <w:r w:rsidRPr="00A96F87">
        <w:drawing>
          <wp:inline distT="0" distB="0" distL="0" distR="0" wp14:anchorId="3F73A8F6" wp14:editId="68067B05">
            <wp:extent cx="1678487" cy="367524"/>
            <wp:effectExtent l="0" t="0" r="0" b="0"/>
            <wp:docPr id="444919953" name="圖片 1" descr="一張含有 字型, 文字, 白色,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19953" name="圖片 1" descr="一張含有 字型, 文字, 白色, 筆跡 的圖片&#10;&#10;自動產生的描述"/>
                    <pic:cNvPicPr/>
                  </pic:nvPicPr>
                  <pic:blipFill>
                    <a:blip r:embed="rId22"/>
                    <a:stretch>
                      <a:fillRect/>
                    </a:stretch>
                  </pic:blipFill>
                  <pic:spPr>
                    <a:xfrm>
                      <a:off x="0" y="0"/>
                      <a:ext cx="1715077" cy="375536"/>
                    </a:xfrm>
                    <a:prstGeom prst="rect">
                      <a:avLst/>
                    </a:prstGeom>
                  </pic:spPr>
                </pic:pic>
              </a:graphicData>
            </a:graphic>
          </wp:inline>
        </w:drawing>
      </w:r>
    </w:p>
    <w:p w14:paraId="5E33C302" w14:textId="7E886DBE" w:rsidR="00830EEC" w:rsidRPr="00716605" w:rsidRDefault="00830EEC" w:rsidP="00830EEC">
      <w:pPr>
        <w:pStyle w:val="aa"/>
        <w:spacing w:before="180" w:after="180"/>
      </w:pPr>
      <w:r w:rsidRPr="00830EEC">
        <w:drawing>
          <wp:inline distT="0" distB="0" distL="0" distR="0" wp14:anchorId="52E71C91" wp14:editId="1A9CBCA0">
            <wp:extent cx="4680000" cy="3022959"/>
            <wp:effectExtent l="0" t="0" r="6350" b="6350"/>
            <wp:docPr id="1854320532"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20532" name="圖片 1" descr="一張含有 文字, 螢幕擷取畫面, 圖表, 繪圖 的圖片&#10;&#10;自動產生的描述"/>
                    <pic:cNvPicPr/>
                  </pic:nvPicPr>
                  <pic:blipFill>
                    <a:blip r:embed="rId23"/>
                    <a:stretch>
                      <a:fillRect/>
                    </a:stretch>
                  </pic:blipFill>
                  <pic:spPr>
                    <a:xfrm>
                      <a:off x="0" y="0"/>
                      <a:ext cx="4680000" cy="3022959"/>
                    </a:xfrm>
                    <a:prstGeom prst="rect">
                      <a:avLst/>
                    </a:prstGeom>
                  </pic:spPr>
                </pic:pic>
              </a:graphicData>
            </a:graphic>
          </wp:inline>
        </w:drawing>
      </w:r>
    </w:p>
    <w:p w14:paraId="21473918" w14:textId="5924334B" w:rsidR="00D052BF" w:rsidRPr="00FE59E1" w:rsidRDefault="00D052BF" w:rsidP="0012177C">
      <w:pPr>
        <w:spacing w:before="180" w:after="180"/>
        <w:ind w:firstLine="480"/>
        <w:rPr>
          <w:b/>
          <w:bCs/>
          <w:color w:val="ED7D31" w:themeColor="accent2"/>
        </w:rPr>
      </w:pPr>
      <w:r w:rsidRPr="00FE59E1">
        <w:rPr>
          <w:rFonts w:hint="eastAsia"/>
          <w:b/>
          <w:bCs/>
          <w:color w:val="ED7D31" w:themeColor="accent2"/>
        </w:rPr>
        <w:t>比</w:t>
      </w:r>
      <w:proofErr w:type="gramStart"/>
      <w:r w:rsidRPr="00FE59E1">
        <w:rPr>
          <w:rFonts w:hint="eastAsia"/>
          <w:b/>
          <w:bCs/>
          <w:color w:val="ED7D31" w:themeColor="accent2"/>
        </w:rPr>
        <w:t>特</w:t>
      </w:r>
      <w:proofErr w:type="gramEnd"/>
      <w:r w:rsidRPr="00FE59E1">
        <w:rPr>
          <w:rFonts w:hint="eastAsia"/>
          <w:b/>
          <w:bCs/>
          <w:color w:val="ED7D31" w:themeColor="accent2"/>
        </w:rPr>
        <w:t>幣</w:t>
      </w:r>
      <w:r w:rsidR="00FE59E1" w:rsidRPr="00FE59E1">
        <w:rPr>
          <w:rFonts w:hint="eastAsia"/>
          <w:b/>
          <w:bCs/>
          <w:color w:val="ED7D31" w:themeColor="accent2"/>
        </w:rPr>
        <w:t>不適用</w:t>
      </w:r>
      <w:r w:rsidRPr="00FE59E1">
        <w:rPr>
          <w:rFonts w:hint="eastAsia"/>
          <w:b/>
          <w:bCs/>
          <w:color w:val="ED7D31" w:themeColor="accent2"/>
        </w:rPr>
        <w:t>無風險利率</w:t>
      </w:r>
    </w:p>
    <w:p w14:paraId="7DA815F7" w14:textId="4962BA67" w:rsidR="00FE59E1" w:rsidRPr="00FE59E1" w:rsidRDefault="00FE59E1" w:rsidP="0012177C">
      <w:pPr>
        <w:spacing w:before="180" w:after="180"/>
        <w:ind w:firstLine="480"/>
        <w:rPr>
          <w:b/>
          <w:bCs/>
          <w:color w:val="ED7D31" w:themeColor="accent2"/>
        </w:rPr>
      </w:pPr>
      <w:r w:rsidRPr="00FE59E1">
        <w:rPr>
          <w:rFonts w:hint="eastAsia"/>
          <w:b/>
          <w:bCs/>
          <w:color w:val="ED7D31" w:themeColor="accent2"/>
        </w:rPr>
        <w:t>說明比</w:t>
      </w:r>
      <w:proofErr w:type="gramStart"/>
      <w:r w:rsidRPr="00FE59E1">
        <w:rPr>
          <w:rFonts w:hint="eastAsia"/>
          <w:b/>
          <w:bCs/>
          <w:color w:val="ED7D31" w:themeColor="accent2"/>
        </w:rPr>
        <w:t>特</w:t>
      </w:r>
      <w:proofErr w:type="gramEnd"/>
      <w:r w:rsidRPr="00FE59E1">
        <w:rPr>
          <w:rFonts w:hint="eastAsia"/>
          <w:b/>
          <w:bCs/>
          <w:color w:val="ED7D31" w:themeColor="accent2"/>
        </w:rPr>
        <w:t>幣的</w:t>
      </w:r>
      <w:r w:rsidRPr="00FE59E1">
        <w:rPr>
          <w:rFonts w:hint="eastAsia"/>
          <w:b/>
          <w:bCs/>
          <w:color w:val="ED7D31" w:themeColor="accent2"/>
        </w:rPr>
        <w:t>Black-Scholes</w:t>
      </w:r>
    </w:p>
    <w:p w14:paraId="377D9A48" w14:textId="08626DFE" w:rsidR="00FE59E1" w:rsidRPr="00FE59E1" w:rsidRDefault="006A2B39" w:rsidP="0012177C">
      <w:pPr>
        <w:spacing w:before="180" w:after="180"/>
        <w:ind w:firstLine="480"/>
        <w:rPr>
          <w:b/>
          <w:bCs/>
          <w:color w:val="ED7D31" w:themeColor="accent2"/>
        </w:rPr>
      </w:pPr>
      <w:r>
        <w:rPr>
          <w:rFonts w:hint="eastAsia"/>
          <w:b/>
          <w:bCs/>
          <w:color w:val="ED7D31" w:themeColor="accent2"/>
        </w:rPr>
        <w:t>使用價外選擇權，</w:t>
      </w:r>
      <w:r w:rsidR="00D052BF" w:rsidRPr="00FE59E1">
        <w:rPr>
          <w:rFonts w:hint="eastAsia"/>
          <w:b/>
          <w:bCs/>
          <w:color w:val="ED7D31" w:themeColor="accent2"/>
        </w:rPr>
        <w:t>先轉換為</w:t>
      </w:r>
      <w:r w:rsidR="00FE59E1" w:rsidRPr="00FE59E1">
        <w:rPr>
          <w:rFonts w:hint="eastAsia"/>
          <w:b/>
          <w:bCs/>
          <w:color w:val="ED7D31" w:themeColor="accent2"/>
        </w:rPr>
        <w:t>IV</w:t>
      </w:r>
      <w:r w:rsidR="00FE59E1" w:rsidRPr="00FE59E1">
        <w:rPr>
          <w:rFonts w:hint="eastAsia"/>
          <w:b/>
          <w:bCs/>
          <w:color w:val="ED7D31" w:themeColor="accent2"/>
        </w:rPr>
        <w:t>，期貨價附近的</w:t>
      </w:r>
      <w:r w:rsidR="00FE59E1" w:rsidRPr="00FE59E1">
        <w:rPr>
          <w:rFonts w:hint="eastAsia"/>
          <w:b/>
          <w:bCs/>
          <w:color w:val="ED7D31" w:themeColor="accent2"/>
        </w:rPr>
        <w:t>IV</w:t>
      </w:r>
      <w:r w:rsidR="00FE59E1" w:rsidRPr="00FE59E1">
        <w:rPr>
          <w:rFonts w:hint="eastAsia"/>
          <w:b/>
          <w:bCs/>
          <w:color w:val="ED7D31" w:themeColor="accent2"/>
        </w:rPr>
        <w:t>做平均</w:t>
      </w:r>
    </w:p>
    <w:p w14:paraId="7D590294" w14:textId="0B2EB8C4" w:rsidR="0012177C" w:rsidRPr="00FE59E1" w:rsidRDefault="00FE59E1" w:rsidP="0012177C">
      <w:pPr>
        <w:spacing w:before="180" w:after="180"/>
        <w:ind w:firstLine="480"/>
        <w:rPr>
          <w:b/>
          <w:bCs/>
          <w:color w:val="ED7D31" w:themeColor="accent2"/>
        </w:rPr>
      </w:pPr>
      <w:r w:rsidRPr="00FE59E1">
        <w:rPr>
          <w:rFonts w:hint="eastAsia"/>
          <w:b/>
          <w:bCs/>
          <w:color w:val="ED7D31" w:themeColor="accent2"/>
        </w:rPr>
        <w:lastRenderedPageBreak/>
        <w:t>再用</w:t>
      </w:r>
      <w:r w:rsidRPr="00FE59E1">
        <w:rPr>
          <w:rFonts w:hint="eastAsia"/>
          <w:b/>
          <w:bCs/>
          <w:color w:val="ED7D31" w:themeColor="accent2"/>
        </w:rPr>
        <w:t>Spline</w:t>
      </w:r>
      <w:r w:rsidRPr="00FE59E1">
        <w:rPr>
          <w:rFonts w:hint="eastAsia"/>
          <w:b/>
          <w:bCs/>
          <w:color w:val="ED7D31" w:themeColor="accent2"/>
        </w:rPr>
        <w:t>擬合</w:t>
      </w:r>
      <w:r w:rsidR="00645DB1">
        <w:rPr>
          <w:rFonts w:hint="eastAsia"/>
          <w:b/>
          <w:bCs/>
          <w:color w:val="ED7D31" w:themeColor="accent2"/>
        </w:rPr>
        <w:t>with one knot</w:t>
      </w:r>
      <w:r w:rsidR="00645DB1">
        <w:rPr>
          <w:rFonts w:hint="eastAsia"/>
          <w:b/>
          <w:bCs/>
          <w:color w:val="ED7D31" w:themeColor="accent2"/>
        </w:rPr>
        <w:t>（小於一條線、大於一條線）</w:t>
      </w:r>
      <w:r w:rsidR="00645DB1">
        <w:rPr>
          <w:rFonts w:hint="eastAsia"/>
          <w:b/>
          <w:bCs/>
          <w:color w:val="ED7D31" w:themeColor="accent2"/>
        </w:rPr>
        <w:t>at the money</w:t>
      </w:r>
      <w:r w:rsidR="00645DB1">
        <w:rPr>
          <w:rFonts w:hint="eastAsia"/>
          <w:b/>
          <w:bCs/>
          <w:color w:val="ED7D31" w:themeColor="accent2"/>
        </w:rPr>
        <w:t>（去找</w:t>
      </w:r>
      <w:r w:rsidR="00645DB1">
        <w:rPr>
          <w:rFonts w:hint="eastAsia"/>
          <w:b/>
          <w:bCs/>
          <w:color w:val="ED7D31" w:themeColor="accent2"/>
        </w:rPr>
        <w:t>python</w:t>
      </w:r>
      <w:r w:rsidR="00645DB1">
        <w:rPr>
          <w:rFonts w:hint="eastAsia"/>
          <w:b/>
          <w:bCs/>
          <w:color w:val="ED7D31" w:themeColor="accent2"/>
        </w:rPr>
        <w:t>定義）</w:t>
      </w:r>
    </w:p>
    <w:p w14:paraId="7E7B25F1" w14:textId="5A6F26FE" w:rsidR="00FE59E1" w:rsidRPr="00FE59E1" w:rsidRDefault="00FE59E1" w:rsidP="00FE59E1">
      <w:pPr>
        <w:spacing w:before="180" w:after="180"/>
        <w:ind w:firstLine="480"/>
        <w:rPr>
          <w:b/>
          <w:bCs/>
          <w:color w:val="ED7D31" w:themeColor="accent2"/>
        </w:rPr>
      </w:pPr>
      <w:r w:rsidRPr="00FE59E1">
        <w:rPr>
          <w:rFonts w:hint="eastAsia"/>
          <w:b/>
          <w:bCs/>
          <w:color w:val="ED7D31" w:themeColor="accent2"/>
        </w:rPr>
        <w:t>使用離散公式計算</w:t>
      </w:r>
      <w:r w:rsidRPr="00FE59E1">
        <w:rPr>
          <w:rFonts w:hint="eastAsia"/>
          <w:b/>
          <w:bCs/>
          <w:color w:val="ED7D31" w:themeColor="accent2"/>
        </w:rPr>
        <w:t>RND</w:t>
      </w:r>
    </w:p>
    <w:p w14:paraId="4BEA8A89" w14:textId="6005665A" w:rsidR="0012177C" w:rsidRDefault="0012177C" w:rsidP="0012177C">
      <w:pPr>
        <w:pStyle w:val="2"/>
      </w:pPr>
      <w:r>
        <w:rPr>
          <w:rFonts w:hint="eastAsia"/>
        </w:rPr>
        <w:t>4.3</w:t>
      </w:r>
      <w:proofErr w:type="gramStart"/>
      <w:r w:rsidR="00224FF9">
        <w:rPr>
          <w:rFonts w:hint="eastAsia"/>
        </w:rPr>
        <w:t>配適風險</w:t>
      </w:r>
      <w:proofErr w:type="gramEnd"/>
      <w:r w:rsidR="00224FF9">
        <w:rPr>
          <w:rFonts w:hint="eastAsia"/>
        </w:rPr>
        <w:t>中立</w:t>
      </w:r>
      <w:r w:rsidR="00806786">
        <w:rPr>
          <w:rFonts w:hint="eastAsia"/>
        </w:rPr>
        <w:t>機率</w:t>
      </w:r>
      <w:r w:rsidR="00224FF9">
        <w:rPr>
          <w:rFonts w:hint="eastAsia"/>
        </w:rPr>
        <w:t>密度尾</w:t>
      </w:r>
      <w:r w:rsidR="00806786">
        <w:rPr>
          <w:rFonts w:hint="eastAsia"/>
        </w:rPr>
        <w:t>端</w:t>
      </w:r>
      <w:r w:rsidR="00224FF9">
        <w:rPr>
          <w:rFonts w:hint="eastAsia"/>
        </w:rPr>
        <w:t>分布</w:t>
      </w:r>
    </w:p>
    <w:p w14:paraId="59185563" w14:textId="0914BEAA" w:rsidR="00806786" w:rsidRPr="00FE59E1" w:rsidRDefault="006A2B39" w:rsidP="00806786">
      <w:pPr>
        <w:spacing w:before="180" w:after="180"/>
        <w:ind w:firstLine="480"/>
        <w:rPr>
          <w:b/>
          <w:bCs/>
          <w:color w:val="ED7D31" w:themeColor="accent2"/>
        </w:rPr>
      </w:pPr>
      <w:r>
        <w:rPr>
          <w:rFonts w:hint="eastAsia"/>
          <w:b/>
          <w:bCs/>
          <w:color w:val="ED7D31" w:themeColor="accent2"/>
        </w:rPr>
        <w:t>那個人</w:t>
      </w:r>
      <w:r w:rsidR="00FE59E1" w:rsidRPr="00FE59E1">
        <w:rPr>
          <w:rFonts w:hint="eastAsia"/>
          <w:b/>
          <w:bCs/>
          <w:color w:val="ED7D31" w:themeColor="accent2"/>
        </w:rPr>
        <w:t>使用</w:t>
      </w:r>
      <w:r w:rsidR="00FE59E1" w:rsidRPr="00FE59E1">
        <w:rPr>
          <w:rFonts w:hint="eastAsia"/>
          <w:b/>
          <w:bCs/>
          <w:color w:val="ED7D31" w:themeColor="accent2"/>
        </w:rPr>
        <w:t>GEV</w:t>
      </w:r>
      <w:r>
        <w:rPr>
          <w:rFonts w:hint="eastAsia"/>
          <w:b/>
          <w:bCs/>
          <w:color w:val="ED7D31" w:themeColor="accent2"/>
        </w:rPr>
        <w:t xml:space="preserve"> or GPD</w:t>
      </w:r>
      <w:r w:rsidR="00FE59E1" w:rsidRPr="00FE59E1">
        <w:rPr>
          <w:rFonts w:hint="eastAsia"/>
          <w:b/>
          <w:bCs/>
          <w:color w:val="ED7D31" w:themeColor="accent2"/>
        </w:rPr>
        <w:t>，需要</w:t>
      </w:r>
      <w:r w:rsidR="00FE59E1" w:rsidRPr="00FE59E1">
        <w:rPr>
          <w:rFonts w:hint="eastAsia"/>
          <w:b/>
          <w:bCs/>
          <w:color w:val="ED7D31" w:themeColor="accent2"/>
        </w:rPr>
        <w:t>3</w:t>
      </w:r>
      <w:r w:rsidR="00FE59E1" w:rsidRPr="00FE59E1">
        <w:rPr>
          <w:rFonts w:hint="eastAsia"/>
          <w:b/>
          <w:bCs/>
          <w:color w:val="ED7D31" w:themeColor="accent2"/>
        </w:rPr>
        <w:t>個參數</w:t>
      </w:r>
      <w:r>
        <w:rPr>
          <w:rFonts w:hint="eastAsia"/>
          <w:b/>
          <w:bCs/>
          <w:color w:val="ED7D31" w:themeColor="accent2"/>
        </w:rPr>
        <w:t>，提到那</w:t>
      </w:r>
      <w:r>
        <w:rPr>
          <w:rFonts w:hint="eastAsia"/>
          <w:b/>
          <w:bCs/>
          <w:color w:val="ED7D31" w:themeColor="accent2"/>
        </w:rPr>
        <w:t>3</w:t>
      </w:r>
      <w:r>
        <w:rPr>
          <w:rFonts w:hint="eastAsia"/>
          <w:b/>
          <w:bCs/>
          <w:color w:val="ED7D31" w:themeColor="accent2"/>
        </w:rPr>
        <w:t>個條件，因為會產生</w:t>
      </w:r>
      <w:r>
        <w:rPr>
          <w:rFonts w:hint="eastAsia"/>
          <w:b/>
          <w:bCs/>
          <w:color w:val="ED7D31" w:themeColor="accent2"/>
        </w:rPr>
        <w:t>kinks</w:t>
      </w:r>
      <w:r w:rsidR="00EC4CA2">
        <w:rPr>
          <w:rFonts w:hint="eastAsia"/>
          <w:b/>
          <w:bCs/>
          <w:color w:val="ED7D31" w:themeColor="accent2"/>
        </w:rPr>
        <w:t>（找他怪怪但我們不怪的）</w:t>
      </w:r>
    </w:p>
    <w:p w14:paraId="5766A465" w14:textId="75413BF8" w:rsidR="00FE59E1" w:rsidRPr="00FE59E1" w:rsidRDefault="006A2B39" w:rsidP="00806786">
      <w:pPr>
        <w:spacing w:before="180" w:after="180"/>
        <w:ind w:firstLine="480"/>
        <w:rPr>
          <w:b/>
          <w:bCs/>
          <w:color w:val="ED7D31" w:themeColor="accent2"/>
        </w:rPr>
      </w:pPr>
      <w:r>
        <w:rPr>
          <w:rFonts w:hint="eastAsia"/>
          <w:b/>
          <w:bCs/>
          <w:color w:val="ED7D31" w:themeColor="accent2"/>
        </w:rPr>
        <w:t>所以</w:t>
      </w:r>
      <w:r w:rsidR="00FE59E1" w:rsidRPr="00FE59E1">
        <w:rPr>
          <w:rFonts w:hint="eastAsia"/>
          <w:b/>
          <w:bCs/>
          <w:color w:val="ED7D31" w:themeColor="accent2"/>
        </w:rPr>
        <w:t>我們</w:t>
      </w:r>
      <w:r>
        <w:rPr>
          <w:rFonts w:hint="eastAsia"/>
          <w:b/>
          <w:bCs/>
          <w:color w:val="ED7D31" w:themeColor="accent2"/>
        </w:rPr>
        <w:t>modify</w:t>
      </w:r>
      <w:r>
        <w:rPr>
          <w:rFonts w:hint="eastAsia"/>
          <w:b/>
          <w:bCs/>
          <w:color w:val="ED7D31" w:themeColor="accent2"/>
        </w:rPr>
        <w:t>他的條件，</w:t>
      </w:r>
      <w:r w:rsidR="00FE59E1" w:rsidRPr="00FE59E1">
        <w:rPr>
          <w:rFonts w:hint="eastAsia"/>
          <w:b/>
          <w:bCs/>
          <w:color w:val="ED7D31" w:themeColor="accent2"/>
        </w:rPr>
        <w:t>改用</w:t>
      </w:r>
      <w:r w:rsidR="00FE59E1" w:rsidRPr="00FE59E1">
        <w:rPr>
          <w:rFonts w:hint="eastAsia"/>
          <w:b/>
          <w:bCs/>
          <w:color w:val="ED7D31" w:themeColor="accent2"/>
        </w:rPr>
        <w:t>GPD</w:t>
      </w:r>
      <w:r w:rsidR="00FE59E1" w:rsidRPr="00FE59E1">
        <w:rPr>
          <w:rFonts w:hint="eastAsia"/>
          <w:b/>
          <w:bCs/>
          <w:color w:val="ED7D31" w:themeColor="accent2"/>
        </w:rPr>
        <w:t>，僅需</w:t>
      </w:r>
      <w:r w:rsidR="00FE59E1" w:rsidRPr="00FE59E1">
        <w:rPr>
          <w:rFonts w:hint="eastAsia"/>
          <w:b/>
          <w:bCs/>
          <w:color w:val="ED7D31" w:themeColor="accent2"/>
        </w:rPr>
        <w:t>2</w:t>
      </w:r>
      <w:r w:rsidR="00FE59E1" w:rsidRPr="00FE59E1">
        <w:rPr>
          <w:rFonts w:hint="eastAsia"/>
          <w:b/>
          <w:bCs/>
          <w:color w:val="ED7D31" w:themeColor="accent2"/>
        </w:rPr>
        <w:t>個參數</w:t>
      </w:r>
    </w:p>
    <w:p w14:paraId="0037E488" w14:textId="6AE644A8" w:rsidR="00FE59E1" w:rsidRDefault="00FE59E1" w:rsidP="00806786">
      <w:pPr>
        <w:spacing w:before="180" w:after="180"/>
        <w:ind w:firstLine="480"/>
        <w:rPr>
          <w:b/>
          <w:bCs/>
          <w:color w:val="ED7D31" w:themeColor="accent2"/>
        </w:rPr>
      </w:pPr>
      <w:r w:rsidRPr="00FE59E1">
        <w:rPr>
          <w:rFonts w:hint="eastAsia"/>
          <w:b/>
          <w:bCs/>
          <w:color w:val="ED7D31" w:themeColor="accent2"/>
        </w:rPr>
        <w:t>說明擬合條件</w:t>
      </w:r>
      <w:r w:rsidR="006A2B39">
        <w:rPr>
          <w:rFonts w:hint="eastAsia"/>
          <w:b/>
          <w:bCs/>
          <w:color w:val="ED7D31" w:themeColor="accent2"/>
        </w:rPr>
        <w:t>，跟第</w:t>
      </w:r>
      <w:r w:rsidR="006A2B39">
        <w:rPr>
          <w:rFonts w:hint="eastAsia"/>
          <w:b/>
          <w:bCs/>
          <w:color w:val="ED7D31" w:themeColor="accent2"/>
        </w:rPr>
        <w:t>3</w:t>
      </w:r>
      <w:r w:rsidR="006A2B39">
        <w:rPr>
          <w:rFonts w:hint="eastAsia"/>
          <w:b/>
          <w:bCs/>
          <w:color w:val="ED7D31" w:themeColor="accent2"/>
        </w:rPr>
        <w:t>個條件</w:t>
      </w:r>
    </w:p>
    <w:p w14:paraId="53C7F538" w14:textId="558029E0" w:rsidR="000B2681" w:rsidRPr="00FE59E1" w:rsidRDefault="000B2681" w:rsidP="00806786">
      <w:pPr>
        <w:spacing w:before="180" w:after="180"/>
        <w:ind w:firstLine="480"/>
        <w:rPr>
          <w:b/>
          <w:bCs/>
          <w:color w:val="ED7D31" w:themeColor="accent2"/>
        </w:rPr>
      </w:pPr>
      <w:r>
        <w:rPr>
          <w:rFonts w:hint="eastAsia"/>
          <w:b/>
          <w:bCs/>
          <w:color w:val="ED7D31" w:themeColor="accent2"/>
        </w:rPr>
        <w:t>參考</w:t>
      </w:r>
      <w:r>
        <w:rPr>
          <w:rFonts w:hint="eastAsia"/>
          <w:b/>
          <w:bCs/>
          <w:color w:val="ED7D31" w:themeColor="accent2"/>
        </w:rPr>
        <w:t>GEV</w:t>
      </w:r>
      <w:r>
        <w:rPr>
          <w:rFonts w:hint="eastAsia"/>
          <w:b/>
          <w:bCs/>
          <w:color w:val="ED7D31" w:themeColor="accent2"/>
        </w:rPr>
        <w:t>、</w:t>
      </w:r>
      <w:r>
        <w:rPr>
          <w:rFonts w:hint="eastAsia"/>
          <w:b/>
          <w:bCs/>
          <w:color w:val="ED7D31" w:themeColor="accent2"/>
        </w:rPr>
        <w:t>GPD</w:t>
      </w:r>
      <w:r>
        <w:rPr>
          <w:rFonts w:hint="eastAsia"/>
          <w:b/>
          <w:bCs/>
          <w:color w:val="ED7D31" w:themeColor="accent2"/>
        </w:rPr>
        <w:t>論文</w:t>
      </w:r>
    </w:p>
    <w:p w14:paraId="3DFBC8BE" w14:textId="00065194" w:rsidR="00404225" w:rsidRDefault="00404225">
      <w:pPr>
        <w:widowControl/>
        <w:spacing w:before="180" w:after="180" w:line="240" w:lineRule="auto"/>
        <w:ind w:firstLineChars="0" w:firstLine="0"/>
        <w:jc w:val="left"/>
      </w:pPr>
      <w:r>
        <w:br w:type="page"/>
      </w:r>
    </w:p>
    <w:p w14:paraId="3045C9AF" w14:textId="42D58700" w:rsidR="0073610D" w:rsidRDefault="0073610D" w:rsidP="0073610D">
      <w:pPr>
        <w:pStyle w:val="1"/>
        <w:spacing w:before="180" w:after="180"/>
      </w:pPr>
      <w:bookmarkStart w:id="16" w:name="_Toc182815181"/>
      <w:r>
        <w:rPr>
          <w:rFonts w:hint="eastAsia"/>
        </w:rPr>
        <w:lastRenderedPageBreak/>
        <w:t>第五章、</w:t>
      </w:r>
      <w:bookmarkEnd w:id="16"/>
      <w:r w:rsidR="00404225">
        <w:rPr>
          <w:rFonts w:hint="eastAsia"/>
        </w:rPr>
        <w:t>實證結果分析</w:t>
      </w:r>
    </w:p>
    <w:p w14:paraId="001FD9AD" w14:textId="40CACEDD" w:rsidR="0012721A" w:rsidRDefault="00EC4CA2" w:rsidP="00404225">
      <w:pPr>
        <w:spacing w:before="180" w:after="180"/>
        <w:ind w:firstLine="480"/>
        <w:rPr>
          <w:b/>
          <w:bCs/>
          <w:color w:val="ED7D31" w:themeColor="accent2"/>
        </w:rPr>
      </w:pPr>
      <w:r w:rsidRPr="00EC4CA2">
        <w:rPr>
          <w:rFonts w:hint="eastAsia"/>
          <w:b/>
          <w:bCs/>
          <w:color w:val="ED7D31" w:themeColor="accent2"/>
        </w:rPr>
        <w:t>參考</w:t>
      </w:r>
      <w:r w:rsidRPr="00EC4CA2">
        <w:rPr>
          <w:rFonts w:hint="eastAsia"/>
          <w:b/>
          <w:bCs/>
          <w:color w:val="ED7D31" w:themeColor="accent2"/>
        </w:rPr>
        <w:t>GPD</w:t>
      </w:r>
      <w:r w:rsidRPr="00EC4CA2">
        <w:rPr>
          <w:rFonts w:hint="eastAsia"/>
          <w:b/>
          <w:bCs/>
          <w:color w:val="ED7D31" w:themeColor="accent2"/>
        </w:rPr>
        <w:t>那篇論文、</w:t>
      </w:r>
      <w:proofErr w:type="spellStart"/>
      <w:r w:rsidRPr="00EC4CA2">
        <w:rPr>
          <w:rFonts w:hint="eastAsia"/>
          <w:b/>
          <w:bCs/>
          <w:color w:val="ED7D31" w:themeColor="accent2"/>
        </w:rPr>
        <w:t>Jackwerth</w:t>
      </w:r>
      <w:proofErr w:type="spellEnd"/>
      <w:r w:rsidRPr="00EC4CA2">
        <w:rPr>
          <w:rFonts w:hint="eastAsia"/>
          <w:b/>
          <w:bCs/>
          <w:color w:val="ED7D31" w:themeColor="accent2"/>
        </w:rPr>
        <w:t>、</w:t>
      </w:r>
      <w:proofErr w:type="gramStart"/>
      <w:r w:rsidRPr="00EC4CA2">
        <w:rPr>
          <w:rFonts w:hint="eastAsia"/>
          <w:b/>
          <w:bCs/>
          <w:color w:val="ED7D31" w:themeColor="accent2"/>
        </w:rPr>
        <w:t>韻軒學</w:t>
      </w:r>
      <w:proofErr w:type="gramEnd"/>
      <w:r w:rsidRPr="00EC4CA2">
        <w:rPr>
          <w:rFonts w:hint="eastAsia"/>
          <w:b/>
          <w:bCs/>
          <w:color w:val="ED7D31" w:themeColor="accent2"/>
        </w:rPr>
        <w:t>姐</w:t>
      </w:r>
    </w:p>
    <w:p w14:paraId="0A80140A" w14:textId="6C031A39" w:rsidR="00EC4CA2" w:rsidRDefault="00EC4CA2" w:rsidP="00404225">
      <w:pPr>
        <w:spacing w:before="180" w:after="180"/>
        <w:ind w:firstLine="480"/>
        <w:rPr>
          <w:b/>
          <w:bCs/>
          <w:color w:val="ED7D31" w:themeColor="accent2"/>
        </w:rPr>
      </w:pPr>
      <w:r>
        <w:rPr>
          <w:rFonts w:hint="eastAsia"/>
          <w:b/>
          <w:bCs/>
          <w:color w:val="ED7D31" w:themeColor="accent2"/>
        </w:rPr>
        <w:t>兩個方法有什麼異同？</w:t>
      </w:r>
    </w:p>
    <w:p w14:paraId="1E29C18E" w14:textId="5B3BF8C6" w:rsidR="00EC4CA2" w:rsidRDefault="00EC4CA2" w:rsidP="00404225">
      <w:pPr>
        <w:spacing w:before="180" w:after="180"/>
        <w:ind w:firstLine="480"/>
        <w:rPr>
          <w:b/>
          <w:bCs/>
          <w:color w:val="ED7D31" w:themeColor="accent2"/>
        </w:rPr>
      </w:pPr>
      <w:r>
        <w:rPr>
          <w:rFonts w:hint="eastAsia"/>
          <w:b/>
          <w:bCs/>
          <w:color w:val="ED7D31" w:themeColor="accent2"/>
        </w:rPr>
        <w:t>比較</w:t>
      </w:r>
      <w:r w:rsidR="00151470">
        <w:rPr>
          <w:rFonts w:hint="eastAsia"/>
          <w:b/>
          <w:bCs/>
          <w:color w:val="ED7D31" w:themeColor="accent2"/>
        </w:rPr>
        <w:t>實際買權價格</w:t>
      </w:r>
      <w:r>
        <w:rPr>
          <w:rFonts w:hint="eastAsia"/>
          <w:b/>
          <w:bCs/>
          <w:color w:val="ED7D31" w:themeColor="accent2"/>
        </w:rPr>
        <w:t>差異</w:t>
      </w:r>
    </w:p>
    <w:p w14:paraId="2336B26B" w14:textId="734E2175" w:rsidR="00A96F87" w:rsidRPr="00EC4CA2" w:rsidRDefault="00A96F87" w:rsidP="00404225">
      <w:pPr>
        <w:spacing w:before="180" w:after="180"/>
        <w:ind w:firstLine="480"/>
        <w:rPr>
          <w:rFonts w:hint="eastAsia"/>
          <w:b/>
          <w:bCs/>
          <w:color w:val="ED7D31" w:themeColor="accent2"/>
        </w:rPr>
      </w:pPr>
      <w:r>
        <w:rPr>
          <w:rFonts w:hint="eastAsia"/>
          <w:b/>
          <w:bCs/>
          <w:color w:val="ED7D31" w:themeColor="accent2"/>
        </w:rPr>
        <w:t>跑每天的</w:t>
      </w:r>
      <w:proofErr w:type="gramStart"/>
      <w:r>
        <w:rPr>
          <w:rFonts w:hint="eastAsia"/>
          <w:b/>
          <w:bCs/>
          <w:color w:val="ED7D31" w:themeColor="accent2"/>
        </w:rPr>
        <w:t>迴</w:t>
      </w:r>
      <w:proofErr w:type="gramEnd"/>
      <w:r>
        <w:rPr>
          <w:rFonts w:hint="eastAsia"/>
          <w:b/>
          <w:bCs/>
          <w:color w:val="ED7D31" w:themeColor="accent2"/>
        </w:rPr>
        <w:t>歸，找每天</w:t>
      </w:r>
      <w:r>
        <w:rPr>
          <w:rFonts w:hint="eastAsia"/>
          <w:b/>
          <w:bCs/>
          <w:color w:val="ED7D31" w:themeColor="accent2"/>
        </w:rPr>
        <w:t>RND</w:t>
      </w:r>
      <w:r>
        <w:rPr>
          <w:rFonts w:hint="eastAsia"/>
          <w:b/>
          <w:bCs/>
          <w:color w:val="ED7D31" w:themeColor="accent2"/>
        </w:rPr>
        <w:t>的</w:t>
      </w:r>
      <w:r>
        <w:rPr>
          <w:rFonts w:hint="eastAsia"/>
          <w:b/>
          <w:bCs/>
          <w:color w:val="ED7D31" w:themeColor="accent2"/>
        </w:rPr>
        <w:t>std, skewness, kurtosis</w:t>
      </w:r>
    </w:p>
    <w:p w14:paraId="3087C4F3" w14:textId="194B2A13" w:rsidR="00404225" w:rsidRDefault="00404225">
      <w:pPr>
        <w:widowControl/>
        <w:spacing w:before="180" w:after="180" w:line="240" w:lineRule="auto"/>
        <w:ind w:firstLineChars="0" w:firstLine="0"/>
        <w:jc w:val="left"/>
      </w:pPr>
      <w:r>
        <w:br w:type="page"/>
      </w:r>
    </w:p>
    <w:p w14:paraId="2C1F7C6F" w14:textId="58B9D0BA" w:rsidR="00CE12CA" w:rsidRDefault="0073610D" w:rsidP="00404225">
      <w:pPr>
        <w:pStyle w:val="1"/>
        <w:spacing w:before="180" w:after="180"/>
      </w:pPr>
      <w:bookmarkStart w:id="17" w:name="_Toc182815183"/>
      <w:r>
        <w:rPr>
          <w:rFonts w:hint="eastAsia"/>
        </w:rPr>
        <w:lastRenderedPageBreak/>
        <w:t>參考文獻</w:t>
      </w:r>
      <w:bookmarkEnd w:id="17"/>
    </w:p>
    <w:sectPr w:rsidR="00CE12CA" w:rsidSect="00764F78">
      <w:pgSz w:w="11906" w:h="16838"/>
      <w:pgMar w:top="1701" w:right="1701" w:bottom="1134" w:left="1701" w:header="624" w:footer="510"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D959C" w14:textId="77777777" w:rsidR="00407E5F" w:rsidRDefault="00407E5F" w:rsidP="001C4CCF">
      <w:pPr>
        <w:spacing w:before="120" w:after="120" w:line="240" w:lineRule="auto"/>
        <w:ind w:firstLine="480"/>
      </w:pPr>
      <w:r>
        <w:separator/>
      </w:r>
    </w:p>
  </w:endnote>
  <w:endnote w:type="continuationSeparator" w:id="0">
    <w:p w14:paraId="582092D0" w14:textId="77777777" w:rsidR="00407E5F" w:rsidRDefault="00407E5F" w:rsidP="001C4CCF">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29E74" w14:textId="77777777" w:rsidR="001C4CCF" w:rsidRDefault="001C4CCF">
    <w:pPr>
      <w:pStyle w:val="ad"/>
      <w:spacing w:before="120" w:after="120"/>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3585726"/>
      <w:docPartObj>
        <w:docPartGallery w:val="Page Numbers (Bottom of Page)"/>
        <w:docPartUnique/>
      </w:docPartObj>
    </w:sdtPr>
    <w:sdtContent>
      <w:p w14:paraId="25755CBE" w14:textId="4668D97C" w:rsidR="001C4CCF" w:rsidRDefault="00613C88" w:rsidP="00764F78">
        <w:pPr>
          <w:pStyle w:val="ad"/>
          <w:spacing w:before="120" w:after="120"/>
          <w:ind w:firstLineChars="0" w:firstLine="0"/>
          <w:jc w:val="center"/>
        </w:pPr>
        <w:r>
          <w:fldChar w:fldCharType="begin"/>
        </w:r>
        <w:r>
          <w:instrText>PAGE   \* MERGEFORMAT</w:instrText>
        </w:r>
        <w:r>
          <w:fldChar w:fldCharType="separate"/>
        </w:r>
        <w:r>
          <w:rPr>
            <w:lang w:val="zh-TW"/>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273BD" w14:textId="77777777" w:rsidR="001C4CCF" w:rsidRDefault="001C4CCF">
    <w:pPr>
      <w:pStyle w:val="ad"/>
      <w:spacing w:before="120" w:after="120"/>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E2A22" w14:textId="77777777" w:rsidR="00407E5F" w:rsidRDefault="00407E5F" w:rsidP="001C4CCF">
      <w:pPr>
        <w:spacing w:before="120" w:after="120" w:line="240" w:lineRule="auto"/>
        <w:ind w:firstLine="480"/>
      </w:pPr>
      <w:r>
        <w:separator/>
      </w:r>
    </w:p>
  </w:footnote>
  <w:footnote w:type="continuationSeparator" w:id="0">
    <w:p w14:paraId="579A5C54" w14:textId="77777777" w:rsidR="00407E5F" w:rsidRDefault="00407E5F" w:rsidP="001C4CCF">
      <w:pPr>
        <w:spacing w:before="120" w:after="120" w:line="240" w:lineRule="auto"/>
        <w:ind w:firstLine="480"/>
      </w:pPr>
      <w:r>
        <w:continuationSeparator/>
      </w:r>
    </w:p>
  </w:footnote>
  <w:footnote w:id="1">
    <w:p w14:paraId="33378461" w14:textId="02D4436A" w:rsidR="002A2A2A" w:rsidRPr="00D20BE4" w:rsidRDefault="002A2A2A" w:rsidP="00D20BE4">
      <w:pPr>
        <w:pStyle w:val="af"/>
        <w:spacing w:before="180" w:after="180"/>
        <w:ind w:firstLine="400"/>
      </w:pPr>
      <w:r>
        <w:rPr>
          <w:rStyle w:val="af1"/>
        </w:rPr>
        <w:footnoteRef/>
      </w:r>
      <w:r>
        <w:t xml:space="preserve"> </w:t>
      </w:r>
      <w:r>
        <w:rPr>
          <w:rFonts w:hint="eastAsia"/>
        </w:rPr>
        <w:t>Deribit</w:t>
      </w:r>
      <w:r>
        <w:rPr>
          <w:rFonts w:hint="eastAsia"/>
        </w:rPr>
        <w:t>交易所官方網站：</w:t>
      </w:r>
      <w:hyperlink r:id="rId1" w:history="1">
        <w:r w:rsidR="00FF392E">
          <w:rPr>
            <w:rStyle w:val="af4"/>
          </w:rPr>
          <w:t>https://www.deribit.com/</w:t>
        </w:r>
      </w:hyperlink>
    </w:p>
  </w:footnote>
  <w:footnote w:id="2">
    <w:p w14:paraId="1EDDA532" w14:textId="1F1AC866" w:rsidR="00FF392E" w:rsidRDefault="00FF392E">
      <w:pPr>
        <w:pStyle w:val="af"/>
        <w:spacing w:before="180" w:after="180"/>
        <w:ind w:firstLine="400"/>
      </w:pPr>
      <w:r>
        <w:rPr>
          <w:rStyle w:val="af1"/>
        </w:rPr>
        <w:footnoteRef/>
      </w:r>
      <w:r>
        <w:t xml:space="preserve"> </w:t>
      </w:r>
      <w:r>
        <w:rPr>
          <w:rFonts w:hint="eastAsia"/>
        </w:rPr>
        <w:t>資料來源：</w:t>
      </w:r>
      <w:hyperlink r:id="rId2" w:history="1">
        <w:r>
          <w:rPr>
            <w:rStyle w:val="af4"/>
          </w:rPr>
          <w:t>https://www.theblock.co/data/crypto-markets/options</w:t>
        </w:r>
      </w:hyperlink>
    </w:p>
  </w:footnote>
  <w:footnote w:id="3">
    <w:p w14:paraId="3751F5D9" w14:textId="31ED9626" w:rsidR="006A639C" w:rsidRDefault="006A639C">
      <w:pPr>
        <w:pStyle w:val="af"/>
        <w:spacing w:before="180" w:after="180"/>
        <w:ind w:firstLine="400"/>
      </w:pPr>
      <w:r>
        <w:rPr>
          <w:rStyle w:val="af1"/>
        </w:rPr>
        <w:footnoteRef/>
      </w:r>
      <w:r>
        <w:rPr>
          <w:rFonts w:hint="eastAsia"/>
        </w:rPr>
        <w:t xml:space="preserve"> Deribit</w:t>
      </w:r>
      <w:r>
        <w:rPr>
          <w:rFonts w:hint="eastAsia"/>
        </w:rPr>
        <w:t>選擇權合約說明：</w:t>
      </w:r>
      <w:hyperlink r:id="rId3" w:history="1">
        <w:r>
          <w:rPr>
            <w:rStyle w:val="af4"/>
          </w:rPr>
          <w:t>https://www.deribit.com/kb/options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A94D6" w14:textId="77777777" w:rsidR="001C4CCF" w:rsidRDefault="001C4CCF">
    <w:pPr>
      <w:pStyle w:val="ab"/>
      <w:spacing w:before="120" w:after="120"/>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A84F5" w14:textId="77777777" w:rsidR="001C4CCF" w:rsidRDefault="001C4CCF">
    <w:pPr>
      <w:pStyle w:val="ab"/>
      <w:spacing w:before="120" w:after="120"/>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810DB" w14:textId="77777777" w:rsidR="001C4CCF" w:rsidRDefault="001C4CCF">
    <w:pPr>
      <w:pStyle w:val="ab"/>
      <w:spacing w:before="120" w:after="120"/>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35640"/>
    <w:multiLevelType w:val="multilevel"/>
    <w:tmpl w:val="1CECCC24"/>
    <w:lvl w:ilvl="0">
      <w:start w:val="1"/>
      <w:numFmt w:val="decimal"/>
      <w:lvlText w:val="%1."/>
      <w:lvlJc w:val="left"/>
      <w:pPr>
        <w:ind w:left="480" w:hanging="480"/>
      </w:p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948785C"/>
    <w:multiLevelType w:val="hybridMultilevel"/>
    <w:tmpl w:val="723847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A0D7F14"/>
    <w:multiLevelType w:val="hybridMultilevel"/>
    <w:tmpl w:val="ABCA1726"/>
    <w:lvl w:ilvl="0" w:tplc="0409000F">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29A4855"/>
    <w:multiLevelType w:val="hybridMultilevel"/>
    <w:tmpl w:val="32789CB2"/>
    <w:lvl w:ilvl="0" w:tplc="FFFFFFFF">
      <w:start w:val="1"/>
      <w:numFmt w:val="decimal"/>
      <w:lvlText w:val="(%1)"/>
      <w:lvlJc w:val="left"/>
      <w:pPr>
        <w:ind w:left="960" w:hanging="480"/>
      </w:pPr>
      <w:rPr>
        <w:rFonts w:ascii="Times New Roman"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478321D0"/>
    <w:multiLevelType w:val="hybridMultilevel"/>
    <w:tmpl w:val="E01C23EE"/>
    <w:lvl w:ilvl="0" w:tplc="0D7E144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FF40A41"/>
    <w:multiLevelType w:val="hybridMultilevel"/>
    <w:tmpl w:val="3B72FC8A"/>
    <w:lvl w:ilvl="0" w:tplc="C0506366">
      <w:start w:val="1"/>
      <w:numFmt w:val="decimal"/>
      <w:lvlText w:val="(%1)"/>
      <w:lvlJc w:val="left"/>
      <w:pPr>
        <w:ind w:left="5442" w:hanging="480"/>
      </w:pPr>
      <w:rPr>
        <w:rFonts w:ascii="Times New Roman" w:hAnsi="Times New Roman" w:cs="Times New Roman" w:hint="default"/>
      </w:rPr>
    </w:lvl>
    <w:lvl w:ilvl="1" w:tplc="04090019" w:tentative="1">
      <w:start w:val="1"/>
      <w:numFmt w:val="ideographTraditional"/>
      <w:lvlText w:val="%2、"/>
      <w:lvlJc w:val="left"/>
      <w:pPr>
        <w:ind w:left="5922" w:hanging="480"/>
      </w:pPr>
    </w:lvl>
    <w:lvl w:ilvl="2" w:tplc="0409001B" w:tentative="1">
      <w:start w:val="1"/>
      <w:numFmt w:val="lowerRoman"/>
      <w:lvlText w:val="%3."/>
      <w:lvlJc w:val="right"/>
      <w:pPr>
        <w:ind w:left="6402" w:hanging="480"/>
      </w:pPr>
    </w:lvl>
    <w:lvl w:ilvl="3" w:tplc="0409000F" w:tentative="1">
      <w:start w:val="1"/>
      <w:numFmt w:val="decimal"/>
      <w:lvlText w:val="%4."/>
      <w:lvlJc w:val="left"/>
      <w:pPr>
        <w:ind w:left="6882" w:hanging="480"/>
      </w:pPr>
    </w:lvl>
    <w:lvl w:ilvl="4" w:tplc="04090019" w:tentative="1">
      <w:start w:val="1"/>
      <w:numFmt w:val="ideographTraditional"/>
      <w:lvlText w:val="%5、"/>
      <w:lvlJc w:val="left"/>
      <w:pPr>
        <w:ind w:left="7362" w:hanging="480"/>
      </w:pPr>
    </w:lvl>
    <w:lvl w:ilvl="5" w:tplc="0409001B" w:tentative="1">
      <w:start w:val="1"/>
      <w:numFmt w:val="lowerRoman"/>
      <w:lvlText w:val="%6."/>
      <w:lvlJc w:val="right"/>
      <w:pPr>
        <w:ind w:left="7842" w:hanging="480"/>
      </w:pPr>
    </w:lvl>
    <w:lvl w:ilvl="6" w:tplc="0409000F" w:tentative="1">
      <w:start w:val="1"/>
      <w:numFmt w:val="decimal"/>
      <w:lvlText w:val="%7."/>
      <w:lvlJc w:val="left"/>
      <w:pPr>
        <w:ind w:left="8322" w:hanging="480"/>
      </w:pPr>
    </w:lvl>
    <w:lvl w:ilvl="7" w:tplc="04090019" w:tentative="1">
      <w:start w:val="1"/>
      <w:numFmt w:val="ideographTraditional"/>
      <w:lvlText w:val="%8、"/>
      <w:lvlJc w:val="left"/>
      <w:pPr>
        <w:ind w:left="8802" w:hanging="480"/>
      </w:pPr>
    </w:lvl>
    <w:lvl w:ilvl="8" w:tplc="0409001B" w:tentative="1">
      <w:start w:val="1"/>
      <w:numFmt w:val="lowerRoman"/>
      <w:lvlText w:val="%9."/>
      <w:lvlJc w:val="right"/>
      <w:pPr>
        <w:ind w:left="9282" w:hanging="480"/>
      </w:pPr>
    </w:lvl>
  </w:abstractNum>
  <w:abstractNum w:abstractNumId="6" w15:restartNumberingAfterBreak="0">
    <w:nsid w:val="517237DF"/>
    <w:multiLevelType w:val="hybridMultilevel"/>
    <w:tmpl w:val="92C0459C"/>
    <w:lvl w:ilvl="0" w:tplc="FFFFFFFF">
      <w:start w:val="1"/>
      <w:numFmt w:val="decimal"/>
      <w:lvlText w:val="%1."/>
      <w:lvlJc w:val="left"/>
      <w:pPr>
        <w:ind w:left="960" w:hanging="480"/>
      </w:pPr>
    </w:lvl>
    <w:lvl w:ilvl="1" w:tplc="C0506366">
      <w:start w:val="1"/>
      <w:numFmt w:val="decimal"/>
      <w:lvlText w:val="(%2)"/>
      <w:lvlJc w:val="left"/>
      <w:pPr>
        <w:ind w:left="1320" w:hanging="360"/>
      </w:pPr>
      <w:rPr>
        <w:rFonts w:ascii="Times New Roman" w:hAnsi="Times New Roman" w:cs="Times New Roman"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7" w15:restartNumberingAfterBreak="0">
    <w:nsid w:val="51992DC7"/>
    <w:multiLevelType w:val="hybridMultilevel"/>
    <w:tmpl w:val="493AB67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CED4774"/>
    <w:multiLevelType w:val="hybridMultilevel"/>
    <w:tmpl w:val="F5C08FE6"/>
    <w:lvl w:ilvl="0" w:tplc="0D7E144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5D804C51"/>
    <w:multiLevelType w:val="hybridMultilevel"/>
    <w:tmpl w:val="93943A6C"/>
    <w:lvl w:ilvl="0" w:tplc="C0506366">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E757B11"/>
    <w:multiLevelType w:val="hybridMultilevel"/>
    <w:tmpl w:val="8186795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0810E3E"/>
    <w:multiLevelType w:val="hybridMultilevel"/>
    <w:tmpl w:val="5D4EFEE4"/>
    <w:lvl w:ilvl="0" w:tplc="0409000F">
      <w:start w:val="1"/>
      <w:numFmt w:val="decimal"/>
      <w:lvlText w:val="%1."/>
      <w:lvlJc w:val="left"/>
      <w:pPr>
        <w:ind w:left="960" w:hanging="480"/>
      </w:pPr>
    </w:lvl>
    <w:lvl w:ilvl="1" w:tplc="0D7E144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64CF1AE0"/>
    <w:multiLevelType w:val="hybridMultilevel"/>
    <w:tmpl w:val="93943A6C"/>
    <w:lvl w:ilvl="0" w:tplc="FFFFFFFF">
      <w:start w:val="1"/>
      <w:numFmt w:val="decimal"/>
      <w:lvlText w:val="(%1)"/>
      <w:lvlJc w:val="left"/>
      <w:pPr>
        <w:ind w:left="960" w:hanging="480"/>
      </w:pPr>
      <w:rPr>
        <w:rFonts w:ascii="Times New Roman"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3" w15:restartNumberingAfterBreak="0">
    <w:nsid w:val="6E434745"/>
    <w:multiLevelType w:val="hybridMultilevel"/>
    <w:tmpl w:val="818679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5353BC4"/>
    <w:multiLevelType w:val="hybridMultilevel"/>
    <w:tmpl w:val="86C6050E"/>
    <w:lvl w:ilvl="0" w:tplc="7A3A8F36">
      <w:start w:val="1"/>
      <w:numFmt w:val="taiwaneseCountingThousand"/>
      <w:lvlText w:val="第%1章、"/>
      <w:lvlJc w:val="left"/>
      <w:pPr>
        <w:ind w:left="1620" w:hanging="16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00714233">
    <w:abstractNumId w:val="14"/>
  </w:num>
  <w:num w:numId="2" w16cid:durableId="396368862">
    <w:abstractNumId w:val="11"/>
  </w:num>
  <w:num w:numId="3" w16cid:durableId="164177961">
    <w:abstractNumId w:val="6"/>
  </w:num>
  <w:num w:numId="4" w16cid:durableId="1695351208">
    <w:abstractNumId w:val="13"/>
  </w:num>
  <w:num w:numId="5" w16cid:durableId="1314259761">
    <w:abstractNumId w:val="9"/>
  </w:num>
  <w:num w:numId="6" w16cid:durableId="1586499273">
    <w:abstractNumId w:val="5"/>
  </w:num>
  <w:num w:numId="7" w16cid:durableId="1924871501">
    <w:abstractNumId w:val="12"/>
  </w:num>
  <w:num w:numId="8" w16cid:durableId="2020084510">
    <w:abstractNumId w:val="3"/>
  </w:num>
  <w:num w:numId="9" w16cid:durableId="84423681">
    <w:abstractNumId w:val="0"/>
  </w:num>
  <w:num w:numId="10" w16cid:durableId="833880678">
    <w:abstractNumId w:val="1"/>
  </w:num>
  <w:num w:numId="11" w16cid:durableId="1789004280">
    <w:abstractNumId w:val="7"/>
  </w:num>
  <w:num w:numId="12" w16cid:durableId="1722898519">
    <w:abstractNumId w:val="2"/>
  </w:num>
  <w:num w:numId="13" w16cid:durableId="962811505">
    <w:abstractNumId w:val="4"/>
  </w:num>
  <w:num w:numId="14" w16cid:durableId="1621257747">
    <w:abstractNumId w:val="10"/>
  </w:num>
  <w:num w:numId="15" w16cid:durableId="10699619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80"/>
  <w:drawingGridHorizontalSpacing w:val="120"/>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AC"/>
    <w:rsid w:val="0000679A"/>
    <w:rsid w:val="00010512"/>
    <w:rsid w:val="00011B2D"/>
    <w:rsid w:val="0001476B"/>
    <w:rsid w:val="00016079"/>
    <w:rsid w:val="000235ED"/>
    <w:rsid w:val="00024747"/>
    <w:rsid w:val="00030F3D"/>
    <w:rsid w:val="00031B9B"/>
    <w:rsid w:val="00032567"/>
    <w:rsid w:val="000371D9"/>
    <w:rsid w:val="00040BE8"/>
    <w:rsid w:val="00046AD7"/>
    <w:rsid w:val="000514EA"/>
    <w:rsid w:val="00052FE1"/>
    <w:rsid w:val="00053374"/>
    <w:rsid w:val="00056AB0"/>
    <w:rsid w:val="0007168F"/>
    <w:rsid w:val="00074155"/>
    <w:rsid w:val="0008389B"/>
    <w:rsid w:val="00084FEA"/>
    <w:rsid w:val="0009304E"/>
    <w:rsid w:val="000A6DD5"/>
    <w:rsid w:val="000B2681"/>
    <w:rsid w:val="000B35CE"/>
    <w:rsid w:val="000B7B11"/>
    <w:rsid w:val="000C67BD"/>
    <w:rsid w:val="000E0357"/>
    <w:rsid w:val="000E34B5"/>
    <w:rsid w:val="000E4C3D"/>
    <w:rsid w:val="000E51BD"/>
    <w:rsid w:val="000E56AA"/>
    <w:rsid w:val="000E6321"/>
    <w:rsid w:val="000F11D8"/>
    <w:rsid w:val="000F5196"/>
    <w:rsid w:val="0010376E"/>
    <w:rsid w:val="00110614"/>
    <w:rsid w:val="0011729B"/>
    <w:rsid w:val="0012177C"/>
    <w:rsid w:val="00122FA0"/>
    <w:rsid w:val="00124244"/>
    <w:rsid w:val="0012631B"/>
    <w:rsid w:val="0012721A"/>
    <w:rsid w:val="00142AC2"/>
    <w:rsid w:val="00151470"/>
    <w:rsid w:val="00162422"/>
    <w:rsid w:val="00175851"/>
    <w:rsid w:val="0017684B"/>
    <w:rsid w:val="00187B87"/>
    <w:rsid w:val="00193D2A"/>
    <w:rsid w:val="00195C95"/>
    <w:rsid w:val="001A292E"/>
    <w:rsid w:val="001B0DC3"/>
    <w:rsid w:val="001B4A7C"/>
    <w:rsid w:val="001B4D74"/>
    <w:rsid w:val="001B5A34"/>
    <w:rsid w:val="001C375F"/>
    <w:rsid w:val="001C4CCF"/>
    <w:rsid w:val="001C7481"/>
    <w:rsid w:val="001D0C18"/>
    <w:rsid w:val="001D27B3"/>
    <w:rsid w:val="001D3715"/>
    <w:rsid w:val="001E1E99"/>
    <w:rsid w:val="001F1765"/>
    <w:rsid w:val="00205D84"/>
    <w:rsid w:val="002116B3"/>
    <w:rsid w:val="00213679"/>
    <w:rsid w:val="00213E82"/>
    <w:rsid w:val="00220B8F"/>
    <w:rsid w:val="00221976"/>
    <w:rsid w:val="002241FA"/>
    <w:rsid w:val="00224FF9"/>
    <w:rsid w:val="00225C55"/>
    <w:rsid w:val="00235F9F"/>
    <w:rsid w:val="00236D2C"/>
    <w:rsid w:val="0024171A"/>
    <w:rsid w:val="002451AB"/>
    <w:rsid w:val="002549B3"/>
    <w:rsid w:val="00257875"/>
    <w:rsid w:val="0026154C"/>
    <w:rsid w:val="0026420B"/>
    <w:rsid w:val="00265CDD"/>
    <w:rsid w:val="00274E81"/>
    <w:rsid w:val="00275C2A"/>
    <w:rsid w:val="002812B7"/>
    <w:rsid w:val="0028185C"/>
    <w:rsid w:val="00283E30"/>
    <w:rsid w:val="00290B69"/>
    <w:rsid w:val="002914A5"/>
    <w:rsid w:val="002A2A2A"/>
    <w:rsid w:val="002C32E3"/>
    <w:rsid w:val="002D44E0"/>
    <w:rsid w:val="002D4E7E"/>
    <w:rsid w:val="002E7B1A"/>
    <w:rsid w:val="002F31B5"/>
    <w:rsid w:val="00305489"/>
    <w:rsid w:val="003145D8"/>
    <w:rsid w:val="00321AF4"/>
    <w:rsid w:val="0032294F"/>
    <w:rsid w:val="00323AF2"/>
    <w:rsid w:val="00346E16"/>
    <w:rsid w:val="00353420"/>
    <w:rsid w:val="00354949"/>
    <w:rsid w:val="003643C9"/>
    <w:rsid w:val="0036511B"/>
    <w:rsid w:val="0036771E"/>
    <w:rsid w:val="003819B4"/>
    <w:rsid w:val="00382A2D"/>
    <w:rsid w:val="00384265"/>
    <w:rsid w:val="0038596A"/>
    <w:rsid w:val="00387F38"/>
    <w:rsid w:val="00392A8C"/>
    <w:rsid w:val="003A010D"/>
    <w:rsid w:val="003A2FCD"/>
    <w:rsid w:val="003A7CA9"/>
    <w:rsid w:val="003B1AD5"/>
    <w:rsid w:val="003B4B4D"/>
    <w:rsid w:val="003C0819"/>
    <w:rsid w:val="003C52A1"/>
    <w:rsid w:val="003D0FC6"/>
    <w:rsid w:val="003D7C9D"/>
    <w:rsid w:val="003D7CD6"/>
    <w:rsid w:val="003E4990"/>
    <w:rsid w:val="003E53B0"/>
    <w:rsid w:val="00402578"/>
    <w:rsid w:val="00402714"/>
    <w:rsid w:val="00404225"/>
    <w:rsid w:val="00407E5F"/>
    <w:rsid w:val="0041419D"/>
    <w:rsid w:val="004142B6"/>
    <w:rsid w:val="00415057"/>
    <w:rsid w:val="0041619C"/>
    <w:rsid w:val="00423BA8"/>
    <w:rsid w:val="00427109"/>
    <w:rsid w:val="00427613"/>
    <w:rsid w:val="00435E0D"/>
    <w:rsid w:val="00461853"/>
    <w:rsid w:val="00463C12"/>
    <w:rsid w:val="00466389"/>
    <w:rsid w:val="00470204"/>
    <w:rsid w:val="00472B0B"/>
    <w:rsid w:val="00473435"/>
    <w:rsid w:val="00484866"/>
    <w:rsid w:val="00494A77"/>
    <w:rsid w:val="00496610"/>
    <w:rsid w:val="004A52F2"/>
    <w:rsid w:val="004B43D7"/>
    <w:rsid w:val="004B64B4"/>
    <w:rsid w:val="004C2212"/>
    <w:rsid w:val="004C67FB"/>
    <w:rsid w:val="004D7F17"/>
    <w:rsid w:val="004F559A"/>
    <w:rsid w:val="004F5F74"/>
    <w:rsid w:val="004F631C"/>
    <w:rsid w:val="004F7EE0"/>
    <w:rsid w:val="00514310"/>
    <w:rsid w:val="005220FD"/>
    <w:rsid w:val="00523FCE"/>
    <w:rsid w:val="0052435A"/>
    <w:rsid w:val="00527792"/>
    <w:rsid w:val="00531C6E"/>
    <w:rsid w:val="00533897"/>
    <w:rsid w:val="0054114A"/>
    <w:rsid w:val="005453E3"/>
    <w:rsid w:val="0055125C"/>
    <w:rsid w:val="00554F86"/>
    <w:rsid w:val="005568D9"/>
    <w:rsid w:val="00556A89"/>
    <w:rsid w:val="0056376C"/>
    <w:rsid w:val="005670CD"/>
    <w:rsid w:val="0057431E"/>
    <w:rsid w:val="00582167"/>
    <w:rsid w:val="005830E5"/>
    <w:rsid w:val="005855DB"/>
    <w:rsid w:val="005A1503"/>
    <w:rsid w:val="005A4D09"/>
    <w:rsid w:val="005A6321"/>
    <w:rsid w:val="005A76A0"/>
    <w:rsid w:val="005B1DEE"/>
    <w:rsid w:val="005B25EF"/>
    <w:rsid w:val="005C0960"/>
    <w:rsid w:val="005D15A4"/>
    <w:rsid w:val="005D344F"/>
    <w:rsid w:val="005E4298"/>
    <w:rsid w:val="005E5DE9"/>
    <w:rsid w:val="005E7638"/>
    <w:rsid w:val="005F66D1"/>
    <w:rsid w:val="00601FDB"/>
    <w:rsid w:val="00604130"/>
    <w:rsid w:val="00604430"/>
    <w:rsid w:val="00610A0B"/>
    <w:rsid w:val="00613C88"/>
    <w:rsid w:val="006235BB"/>
    <w:rsid w:val="0062587E"/>
    <w:rsid w:val="00626099"/>
    <w:rsid w:val="00631166"/>
    <w:rsid w:val="00645DB1"/>
    <w:rsid w:val="006467BB"/>
    <w:rsid w:val="00646BB2"/>
    <w:rsid w:val="006476CE"/>
    <w:rsid w:val="0065282E"/>
    <w:rsid w:val="00653CFB"/>
    <w:rsid w:val="00654B34"/>
    <w:rsid w:val="00657271"/>
    <w:rsid w:val="00657B1F"/>
    <w:rsid w:val="00666B54"/>
    <w:rsid w:val="006746B2"/>
    <w:rsid w:val="00676CC7"/>
    <w:rsid w:val="00681D11"/>
    <w:rsid w:val="00682CB2"/>
    <w:rsid w:val="00683DC9"/>
    <w:rsid w:val="00684849"/>
    <w:rsid w:val="006A058E"/>
    <w:rsid w:val="006A08C1"/>
    <w:rsid w:val="006A2B39"/>
    <w:rsid w:val="006A2DA5"/>
    <w:rsid w:val="006A639C"/>
    <w:rsid w:val="006B09C7"/>
    <w:rsid w:val="006B50EE"/>
    <w:rsid w:val="006B5E4E"/>
    <w:rsid w:val="006C5FDE"/>
    <w:rsid w:val="006C70DC"/>
    <w:rsid w:val="006D399C"/>
    <w:rsid w:val="006F2A22"/>
    <w:rsid w:val="00701E33"/>
    <w:rsid w:val="00705918"/>
    <w:rsid w:val="0070684E"/>
    <w:rsid w:val="00710703"/>
    <w:rsid w:val="00716605"/>
    <w:rsid w:val="00716965"/>
    <w:rsid w:val="00717A90"/>
    <w:rsid w:val="00717F46"/>
    <w:rsid w:val="00720E4C"/>
    <w:rsid w:val="00727C07"/>
    <w:rsid w:val="00731282"/>
    <w:rsid w:val="00734D49"/>
    <w:rsid w:val="0073610D"/>
    <w:rsid w:val="0074744B"/>
    <w:rsid w:val="00750A47"/>
    <w:rsid w:val="007637A9"/>
    <w:rsid w:val="00764F78"/>
    <w:rsid w:val="00765613"/>
    <w:rsid w:val="00767608"/>
    <w:rsid w:val="0077361A"/>
    <w:rsid w:val="007749D3"/>
    <w:rsid w:val="00775E82"/>
    <w:rsid w:val="00787D31"/>
    <w:rsid w:val="00791C43"/>
    <w:rsid w:val="00791EA7"/>
    <w:rsid w:val="007950D0"/>
    <w:rsid w:val="007A6E58"/>
    <w:rsid w:val="007C0373"/>
    <w:rsid w:val="007C4ECD"/>
    <w:rsid w:val="007C6E8A"/>
    <w:rsid w:val="007C6F2E"/>
    <w:rsid w:val="007D6678"/>
    <w:rsid w:val="007E1E54"/>
    <w:rsid w:val="007E66F6"/>
    <w:rsid w:val="007E75C0"/>
    <w:rsid w:val="007F292A"/>
    <w:rsid w:val="007F2CA7"/>
    <w:rsid w:val="007F74DE"/>
    <w:rsid w:val="00801AAB"/>
    <w:rsid w:val="00806122"/>
    <w:rsid w:val="00806786"/>
    <w:rsid w:val="0081184A"/>
    <w:rsid w:val="0081515F"/>
    <w:rsid w:val="00816A1B"/>
    <w:rsid w:val="00817714"/>
    <w:rsid w:val="008214E7"/>
    <w:rsid w:val="0082413A"/>
    <w:rsid w:val="00830EEC"/>
    <w:rsid w:val="008503EB"/>
    <w:rsid w:val="00853AEB"/>
    <w:rsid w:val="00865287"/>
    <w:rsid w:val="00870186"/>
    <w:rsid w:val="008751EC"/>
    <w:rsid w:val="00875BFD"/>
    <w:rsid w:val="0088017E"/>
    <w:rsid w:val="00882547"/>
    <w:rsid w:val="00886807"/>
    <w:rsid w:val="00890FE8"/>
    <w:rsid w:val="008A610B"/>
    <w:rsid w:val="008B3FDC"/>
    <w:rsid w:val="008B468E"/>
    <w:rsid w:val="008C1437"/>
    <w:rsid w:val="008C4933"/>
    <w:rsid w:val="008D031B"/>
    <w:rsid w:val="008D080D"/>
    <w:rsid w:val="008D6AEC"/>
    <w:rsid w:val="008E3193"/>
    <w:rsid w:val="008E3E9E"/>
    <w:rsid w:val="008E5DE5"/>
    <w:rsid w:val="008F14ED"/>
    <w:rsid w:val="00900D70"/>
    <w:rsid w:val="009039FA"/>
    <w:rsid w:val="00906EB0"/>
    <w:rsid w:val="00907B6B"/>
    <w:rsid w:val="00910484"/>
    <w:rsid w:val="0091402F"/>
    <w:rsid w:val="0091593D"/>
    <w:rsid w:val="00935478"/>
    <w:rsid w:val="00942A2F"/>
    <w:rsid w:val="00943B97"/>
    <w:rsid w:val="009455B8"/>
    <w:rsid w:val="00951C44"/>
    <w:rsid w:val="00955B12"/>
    <w:rsid w:val="00962EA8"/>
    <w:rsid w:val="009703DB"/>
    <w:rsid w:val="00972409"/>
    <w:rsid w:val="00973643"/>
    <w:rsid w:val="00974AD3"/>
    <w:rsid w:val="009773DB"/>
    <w:rsid w:val="00987726"/>
    <w:rsid w:val="00987819"/>
    <w:rsid w:val="00992A58"/>
    <w:rsid w:val="00994121"/>
    <w:rsid w:val="009A24CB"/>
    <w:rsid w:val="009B2DF6"/>
    <w:rsid w:val="009B46EE"/>
    <w:rsid w:val="009C0043"/>
    <w:rsid w:val="009C0B7B"/>
    <w:rsid w:val="009C2823"/>
    <w:rsid w:val="009C2E60"/>
    <w:rsid w:val="009C7EF2"/>
    <w:rsid w:val="009D1162"/>
    <w:rsid w:val="009D1950"/>
    <w:rsid w:val="009D2F6E"/>
    <w:rsid w:val="009D4D5D"/>
    <w:rsid w:val="009D524B"/>
    <w:rsid w:val="009D5494"/>
    <w:rsid w:val="009E0E77"/>
    <w:rsid w:val="009E3939"/>
    <w:rsid w:val="009E3EFF"/>
    <w:rsid w:val="009E7680"/>
    <w:rsid w:val="009F55DC"/>
    <w:rsid w:val="009F634B"/>
    <w:rsid w:val="00A00028"/>
    <w:rsid w:val="00A013CD"/>
    <w:rsid w:val="00A214DE"/>
    <w:rsid w:val="00A25A04"/>
    <w:rsid w:val="00A2663C"/>
    <w:rsid w:val="00A305AC"/>
    <w:rsid w:val="00A343E5"/>
    <w:rsid w:val="00A644AA"/>
    <w:rsid w:val="00A66B01"/>
    <w:rsid w:val="00A70A1B"/>
    <w:rsid w:val="00A710BF"/>
    <w:rsid w:val="00A8621D"/>
    <w:rsid w:val="00A92DEA"/>
    <w:rsid w:val="00A934BB"/>
    <w:rsid w:val="00A96F87"/>
    <w:rsid w:val="00AB133B"/>
    <w:rsid w:val="00AB3ACB"/>
    <w:rsid w:val="00AC23C0"/>
    <w:rsid w:val="00AC75BE"/>
    <w:rsid w:val="00AD284F"/>
    <w:rsid w:val="00AD704C"/>
    <w:rsid w:val="00AE1107"/>
    <w:rsid w:val="00AF3083"/>
    <w:rsid w:val="00AF4CB0"/>
    <w:rsid w:val="00AF5D80"/>
    <w:rsid w:val="00AF758B"/>
    <w:rsid w:val="00B11D41"/>
    <w:rsid w:val="00B14E00"/>
    <w:rsid w:val="00B162E6"/>
    <w:rsid w:val="00B20A25"/>
    <w:rsid w:val="00B21E34"/>
    <w:rsid w:val="00B3145E"/>
    <w:rsid w:val="00B348B8"/>
    <w:rsid w:val="00B377A6"/>
    <w:rsid w:val="00B40CFC"/>
    <w:rsid w:val="00B4199B"/>
    <w:rsid w:val="00B42346"/>
    <w:rsid w:val="00B47E73"/>
    <w:rsid w:val="00B519E3"/>
    <w:rsid w:val="00B5230A"/>
    <w:rsid w:val="00B53880"/>
    <w:rsid w:val="00B565B1"/>
    <w:rsid w:val="00B60CD3"/>
    <w:rsid w:val="00B61431"/>
    <w:rsid w:val="00B6390B"/>
    <w:rsid w:val="00B665F4"/>
    <w:rsid w:val="00B66B76"/>
    <w:rsid w:val="00B86AE6"/>
    <w:rsid w:val="00B9105A"/>
    <w:rsid w:val="00BA0521"/>
    <w:rsid w:val="00BA0540"/>
    <w:rsid w:val="00BA74F6"/>
    <w:rsid w:val="00BD06D2"/>
    <w:rsid w:val="00BD071F"/>
    <w:rsid w:val="00BF0B1C"/>
    <w:rsid w:val="00BF138D"/>
    <w:rsid w:val="00BF32FB"/>
    <w:rsid w:val="00C04D35"/>
    <w:rsid w:val="00C1570D"/>
    <w:rsid w:val="00C23924"/>
    <w:rsid w:val="00C276F9"/>
    <w:rsid w:val="00C40C3F"/>
    <w:rsid w:val="00C451F7"/>
    <w:rsid w:val="00C52650"/>
    <w:rsid w:val="00C605B8"/>
    <w:rsid w:val="00C61AE1"/>
    <w:rsid w:val="00C7394B"/>
    <w:rsid w:val="00C7484F"/>
    <w:rsid w:val="00C849DF"/>
    <w:rsid w:val="00C84D8E"/>
    <w:rsid w:val="00C84F89"/>
    <w:rsid w:val="00C86AA3"/>
    <w:rsid w:val="00C96DE9"/>
    <w:rsid w:val="00CA4918"/>
    <w:rsid w:val="00CB31CF"/>
    <w:rsid w:val="00CB7A0C"/>
    <w:rsid w:val="00CC1EDD"/>
    <w:rsid w:val="00CC2AA8"/>
    <w:rsid w:val="00CC4CB8"/>
    <w:rsid w:val="00CC7872"/>
    <w:rsid w:val="00CD7500"/>
    <w:rsid w:val="00CE12CA"/>
    <w:rsid w:val="00CE50A4"/>
    <w:rsid w:val="00CE7B4A"/>
    <w:rsid w:val="00CF650B"/>
    <w:rsid w:val="00D01F9A"/>
    <w:rsid w:val="00D052BF"/>
    <w:rsid w:val="00D0543D"/>
    <w:rsid w:val="00D06B02"/>
    <w:rsid w:val="00D137AD"/>
    <w:rsid w:val="00D20BE4"/>
    <w:rsid w:val="00D25173"/>
    <w:rsid w:val="00D43390"/>
    <w:rsid w:val="00D46F4D"/>
    <w:rsid w:val="00D5107F"/>
    <w:rsid w:val="00D57591"/>
    <w:rsid w:val="00D577EB"/>
    <w:rsid w:val="00D63026"/>
    <w:rsid w:val="00D638B5"/>
    <w:rsid w:val="00D64CE5"/>
    <w:rsid w:val="00D67F91"/>
    <w:rsid w:val="00D71F61"/>
    <w:rsid w:val="00D72805"/>
    <w:rsid w:val="00D72F07"/>
    <w:rsid w:val="00D75654"/>
    <w:rsid w:val="00D859BC"/>
    <w:rsid w:val="00D8601D"/>
    <w:rsid w:val="00D93BDB"/>
    <w:rsid w:val="00D960EA"/>
    <w:rsid w:val="00DA497E"/>
    <w:rsid w:val="00DA5AA9"/>
    <w:rsid w:val="00DA6A69"/>
    <w:rsid w:val="00DB10C1"/>
    <w:rsid w:val="00DB7417"/>
    <w:rsid w:val="00DC5D5F"/>
    <w:rsid w:val="00DD2DBC"/>
    <w:rsid w:val="00DD6901"/>
    <w:rsid w:val="00DE06FF"/>
    <w:rsid w:val="00DE318B"/>
    <w:rsid w:val="00DE3699"/>
    <w:rsid w:val="00DF7014"/>
    <w:rsid w:val="00E06DB1"/>
    <w:rsid w:val="00E20F97"/>
    <w:rsid w:val="00E21AD3"/>
    <w:rsid w:val="00E24A26"/>
    <w:rsid w:val="00E410D8"/>
    <w:rsid w:val="00E459AE"/>
    <w:rsid w:val="00E60DAF"/>
    <w:rsid w:val="00E6602F"/>
    <w:rsid w:val="00E67017"/>
    <w:rsid w:val="00E673AD"/>
    <w:rsid w:val="00E743A6"/>
    <w:rsid w:val="00E74967"/>
    <w:rsid w:val="00E76F46"/>
    <w:rsid w:val="00E83066"/>
    <w:rsid w:val="00E83DB1"/>
    <w:rsid w:val="00E85726"/>
    <w:rsid w:val="00E923AC"/>
    <w:rsid w:val="00E97FD8"/>
    <w:rsid w:val="00EA6491"/>
    <w:rsid w:val="00EB225D"/>
    <w:rsid w:val="00EB5CE1"/>
    <w:rsid w:val="00EC48E7"/>
    <w:rsid w:val="00EC4CA2"/>
    <w:rsid w:val="00EC5B94"/>
    <w:rsid w:val="00ED3B39"/>
    <w:rsid w:val="00ED61D0"/>
    <w:rsid w:val="00ED770A"/>
    <w:rsid w:val="00EE46F3"/>
    <w:rsid w:val="00EF4FE7"/>
    <w:rsid w:val="00F00B8D"/>
    <w:rsid w:val="00F0399E"/>
    <w:rsid w:val="00F03E10"/>
    <w:rsid w:val="00F0423B"/>
    <w:rsid w:val="00F145BE"/>
    <w:rsid w:val="00F276FE"/>
    <w:rsid w:val="00F362D1"/>
    <w:rsid w:val="00F40883"/>
    <w:rsid w:val="00F54A2B"/>
    <w:rsid w:val="00F67FB5"/>
    <w:rsid w:val="00F7013E"/>
    <w:rsid w:val="00F70BCC"/>
    <w:rsid w:val="00F8525E"/>
    <w:rsid w:val="00F86E11"/>
    <w:rsid w:val="00F909BF"/>
    <w:rsid w:val="00F97637"/>
    <w:rsid w:val="00FA17A1"/>
    <w:rsid w:val="00FA3E79"/>
    <w:rsid w:val="00FA3EA0"/>
    <w:rsid w:val="00FB218D"/>
    <w:rsid w:val="00FB35F3"/>
    <w:rsid w:val="00FC1861"/>
    <w:rsid w:val="00FC5180"/>
    <w:rsid w:val="00FC5782"/>
    <w:rsid w:val="00FD3081"/>
    <w:rsid w:val="00FD6825"/>
    <w:rsid w:val="00FE09E2"/>
    <w:rsid w:val="00FE47A7"/>
    <w:rsid w:val="00FE59E1"/>
    <w:rsid w:val="00FF392E"/>
    <w:rsid w:val="00FF4476"/>
    <w:rsid w:val="00FF549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96F61"/>
  <w15:chartTrackingRefBased/>
  <w15:docId w15:val="{C0A4895C-F5FB-4EE0-8233-B4AB3309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44AA"/>
    <w:pPr>
      <w:widowControl w:val="0"/>
      <w:spacing w:beforeLines="50" w:before="50" w:afterLines="50" w:after="50" w:line="360" w:lineRule="auto"/>
      <w:ind w:firstLineChars="200" w:firstLine="200"/>
      <w:jc w:val="both"/>
    </w:pPr>
    <w:rPr>
      <w:rFonts w:ascii="Times New Roman" w:eastAsia="標楷體" w:hAnsi="Times New Roman" w:cs="Times New Roman"/>
      <w:szCs w:val="20"/>
    </w:rPr>
  </w:style>
  <w:style w:type="paragraph" w:styleId="1">
    <w:name w:val="heading 1"/>
    <w:basedOn w:val="a"/>
    <w:next w:val="a"/>
    <w:link w:val="10"/>
    <w:uiPriority w:val="9"/>
    <w:qFormat/>
    <w:rsid w:val="00D0543D"/>
    <w:pPr>
      <w:keepNext/>
      <w:ind w:firstLineChars="0" w:firstLine="0"/>
      <w:jc w:val="center"/>
      <w:outlineLvl w:val="0"/>
    </w:pPr>
    <w:rPr>
      <w:rFonts w:cstheme="majorBidi"/>
      <w:b/>
      <w:bCs/>
      <w:kern w:val="52"/>
      <w:sz w:val="40"/>
      <w:szCs w:val="52"/>
    </w:rPr>
  </w:style>
  <w:style w:type="paragraph" w:styleId="2">
    <w:name w:val="heading 2"/>
    <w:basedOn w:val="a"/>
    <w:next w:val="a"/>
    <w:link w:val="20"/>
    <w:uiPriority w:val="9"/>
    <w:unhideWhenUsed/>
    <w:qFormat/>
    <w:rsid w:val="008E3193"/>
    <w:pPr>
      <w:keepNext/>
      <w:spacing w:beforeLines="0" w:before="0" w:afterLines="0" w:after="0" w:line="240" w:lineRule="auto"/>
      <w:ind w:firstLineChars="0" w:firstLine="0"/>
      <w:jc w:val="left"/>
      <w:outlineLvl w:val="1"/>
    </w:pPr>
    <w:rPr>
      <w:rFonts w:cstheme="majorBidi"/>
      <w:b/>
      <w:bCs/>
      <w:sz w:val="36"/>
      <w:szCs w:val="48"/>
    </w:rPr>
  </w:style>
  <w:style w:type="paragraph" w:styleId="3">
    <w:name w:val="heading 3"/>
    <w:basedOn w:val="a"/>
    <w:next w:val="a"/>
    <w:link w:val="30"/>
    <w:uiPriority w:val="9"/>
    <w:unhideWhenUsed/>
    <w:qFormat/>
    <w:rsid w:val="006B09C7"/>
    <w:pPr>
      <w:keepNext/>
      <w:spacing w:line="240" w:lineRule="auto"/>
      <w:ind w:firstLineChars="0" w:firstLine="0"/>
      <w:jc w:val="left"/>
      <w:outlineLvl w:val="2"/>
    </w:pPr>
    <w:rPr>
      <w:rFonts w:cstheme="majorBidi"/>
      <w:b/>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E923AC"/>
    <w:rPr>
      <w:b/>
      <w:bCs/>
      <w:sz w:val="40"/>
      <w:szCs w:val="28"/>
    </w:rPr>
  </w:style>
  <w:style w:type="character" w:customStyle="1" w:styleId="a4">
    <w:name w:val="本文 字元"/>
    <w:basedOn w:val="a0"/>
    <w:link w:val="a3"/>
    <w:semiHidden/>
    <w:rsid w:val="00E923AC"/>
    <w:rPr>
      <w:rFonts w:ascii="Times New Roman" w:eastAsia="標楷體" w:hAnsi="Times New Roman" w:cs="Times New Roman"/>
      <w:b/>
      <w:bCs/>
      <w:sz w:val="40"/>
      <w:szCs w:val="28"/>
    </w:rPr>
  </w:style>
  <w:style w:type="character" w:customStyle="1" w:styleId="10">
    <w:name w:val="標題 1 字元"/>
    <w:basedOn w:val="a0"/>
    <w:link w:val="1"/>
    <w:uiPriority w:val="9"/>
    <w:rsid w:val="00D0543D"/>
    <w:rPr>
      <w:rFonts w:ascii="Times New Roman" w:eastAsia="標楷體" w:hAnsi="Times New Roman" w:cstheme="majorBidi"/>
      <w:b/>
      <w:bCs/>
      <w:kern w:val="52"/>
      <w:sz w:val="40"/>
      <w:szCs w:val="52"/>
    </w:rPr>
  </w:style>
  <w:style w:type="character" w:customStyle="1" w:styleId="20">
    <w:name w:val="標題 2 字元"/>
    <w:basedOn w:val="a0"/>
    <w:link w:val="2"/>
    <w:uiPriority w:val="9"/>
    <w:rsid w:val="008E3193"/>
    <w:rPr>
      <w:rFonts w:ascii="Times New Roman" w:eastAsia="標楷體" w:hAnsi="Times New Roman" w:cstheme="majorBidi"/>
      <w:b/>
      <w:bCs/>
      <w:sz w:val="36"/>
      <w:szCs w:val="48"/>
    </w:rPr>
  </w:style>
  <w:style w:type="paragraph" w:styleId="a5">
    <w:name w:val="List Paragraph"/>
    <w:basedOn w:val="a"/>
    <w:uiPriority w:val="34"/>
    <w:qFormat/>
    <w:rsid w:val="0073610D"/>
    <w:pPr>
      <w:ind w:leftChars="200" w:left="480"/>
    </w:pPr>
  </w:style>
  <w:style w:type="table" w:styleId="a6">
    <w:name w:val="Table Grid"/>
    <w:basedOn w:val="a1"/>
    <w:uiPriority w:val="39"/>
    <w:rsid w:val="00C52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5D15A4"/>
    <w:pPr>
      <w:widowControl w:val="0"/>
      <w:jc w:val="both"/>
    </w:pPr>
    <w:rPr>
      <w:rFonts w:ascii="Times New Roman" w:eastAsia="標楷體" w:hAnsi="Times New Roman" w:cs="Times New Roman"/>
      <w:szCs w:val="20"/>
    </w:rPr>
  </w:style>
  <w:style w:type="character" w:styleId="a8">
    <w:name w:val="Placeholder Text"/>
    <w:basedOn w:val="a0"/>
    <w:uiPriority w:val="99"/>
    <w:semiHidden/>
    <w:rsid w:val="009F634B"/>
    <w:rPr>
      <w:color w:val="666666"/>
    </w:rPr>
  </w:style>
  <w:style w:type="paragraph" w:styleId="a9">
    <w:name w:val="caption"/>
    <w:basedOn w:val="a"/>
    <w:next w:val="a"/>
    <w:uiPriority w:val="35"/>
    <w:unhideWhenUsed/>
    <w:qFormat/>
    <w:rsid w:val="003A010D"/>
    <w:pPr>
      <w:spacing w:line="240" w:lineRule="auto"/>
      <w:ind w:firstLineChars="0" w:firstLine="0"/>
      <w:jc w:val="center"/>
    </w:pPr>
    <w:rPr>
      <w:sz w:val="20"/>
    </w:rPr>
  </w:style>
  <w:style w:type="paragraph" w:customStyle="1" w:styleId="aa">
    <w:name w:val="圖片"/>
    <w:qFormat/>
    <w:rsid w:val="003A010D"/>
    <w:pPr>
      <w:spacing w:beforeLines="50" w:before="50" w:afterLines="50" w:after="50"/>
      <w:jc w:val="center"/>
    </w:pPr>
    <w:rPr>
      <w:rFonts w:ascii="Times New Roman" w:eastAsia="標楷體" w:hAnsi="Times New Roman" w:cs="Times New Roman"/>
      <w:noProof/>
      <w:szCs w:val="20"/>
    </w:rPr>
  </w:style>
  <w:style w:type="paragraph" w:styleId="ab">
    <w:name w:val="header"/>
    <w:basedOn w:val="a"/>
    <w:link w:val="ac"/>
    <w:uiPriority w:val="99"/>
    <w:unhideWhenUsed/>
    <w:rsid w:val="001C4CCF"/>
    <w:pPr>
      <w:tabs>
        <w:tab w:val="center" w:pos="4153"/>
        <w:tab w:val="right" w:pos="8306"/>
      </w:tabs>
      <w:snapToGrid w:val="0"/>
    </w:pPr>
    <w:rPr>
      <w:sz w:val="20"/>
    </w:rPr>
  </w:style>
  <w:style w:type="character" w:customStyle="1" w:styleId="ac">
    <w:name w:val="頁首 字元"/>
    <w:basedOn w:val="a0"/>
    <w:link w:val="ab"/>
    <w:uiPriority w:val="99"/>
    <w:rsid w:val="001C4CCF"/>
    <w:rPr>
      <w:rFonts w:ascii="Times New Roman" w:eastAsia="標楷體" w:hAnsi="Times New Roman" w:cs="Times New Roman"/>
      <w:sz w:val="20"/>
      <w:szCs w:val="20"/>
    </w:rPr>
  </w:style>
  <w:style w:type="paragraph" w:styleId="ad">
    <w:name w:val="footer"/>
    <w:basedOn w:val="a"/>
    <w:link w:val="ae"/>
    <w:uiPriority w:val="99"/>
    <w:unhideWhenUsed/>
    <w:rsid w:val="001C4CCF"/>
    <w:pPr>
      <w:tabs>
        <w:tab w:val="center" w:pos="4153"/>
        <w:tab w:val="right" w:pos="8306"/>
      </w:tabs>
      <w:snapToGrid w:val="0"/>
    </w:pPr>
    <w:rPr>
      <w:sz w:val="20"/>
    </w:rPr>
  </w:style>
  <w:style w:type="character" w:customStyle="1" w:styleId="ae">
    <w:name w:val="頁尾 字元"/>
    <w:basedOn w:val="a0"/>
    <w:link w:val="ad"/>
    <w:uiPriority w:val="99"/>
    <w:rsid w:val="001C4CCF"/>
    <w:rPr>
      <w:rFonts w:ascii="Times New Roman" w:eastAsia="標楷體" w:hAnsi="Times New Roman" w:cs="Times New Roman"/>
      <w:sz w:val="20"/>
      <w:szCs w:val="20"/>
    </w:rPr>
  </w:style>
  <w:style w:type="character" w:customStyle="1" w:styleId="30">
    <w:name w:val="標題 3 字元"/>
    <w:basedOn w:val="a0"/>
    <w:link w:val="3"/>
    <w:uiPriority w:val="9"/>
    <w:rsid w:val="006B09C7"/>
    <w:rPr>
      <w:rFonts w:ascii="Times New Roman" w:eastAsia="標楷體" w:hAnsi="Times New Roman" w:cstheme="majorBidi"/>
      <w:b/>
      <w:bCs/>
      <w:sz w:val="32"/>
      <w:szCs w:val="36"/>
    </w:rPr>
  </w:style>
  <w:style w:type="paragraph" w:styleId="af">
    <w:name w:val="footnote text"/>
    <w:basedOn w:val="a"/>
    <w:link w:val="af0"/>
    <w:uiPriority w:val="99"/>
    <w:semiHidden/>
    <w:unhideWhenUsed/>
    <w:rsid w:val="00D20BE4"/>
    <w:pPr>
      <w:snapToGrid w:val="0"/>
      <w:spacing w:line="240" w:lineRule="auto"/>
      <w:jc w:val="left"/>
    </w:pPr>
    <w:rPr>
      <w:sz w:val="20"/>
    </w:rPr>
  </w:style>
  <w:style w:type="character" w:customStyle="1" w:styleId="af0">
    <w:name w:val="註腳文字 字元"/>
    <w:basedOn w:val="a0"/>
    <w:link w:val="af"/>
    <w:uiPriority w:val="99"/>
    <w:semiHidden/>
    <w:rsid w:val="00D20BE4"/>
    <w:rPr>
      <w:rFonts w:ascii="Times New Roman" w:eastAsia="標楷體" w:hAnsi="Times New Roman" w:cs="Times New Roman"/>
      <w:sz w:val="20"/>
      <w:szCs w:val="20"/>
    </w:rPr>
  </w:style>
  <w:style w:type="character" w:styleId="af1">
    <w:name w:val="footnote reference"/>
    <w:basedOn w:val="a0"/>
    <w:uiPriority w:val="99"/>
    <w:semiHidden/>
    <w:unhideWhenUsed/>
    <w:rsid w:val="005830E5"/>
    <w:rPr>
      <w:vertAlign w:val="superscript"/>
    </w:rPr>
  </w:style>
  <w:style w:type="paragraph" w:styleId="af2">
    <w:name w:val="Bibliography"/>
    <w:basedOn w:val="a"/>
    <w:next w:val="a"/>
    <w:uiPriority w:val="37"/>
    <w:unhideWhenUsed/>
    <w:rsid w:val="00B42346"/>
  </w:style>
  <w:style w:type="paragraph" w:styleId="af3">
    <w:name w:val="TOC Heading"/>
    <w:basedOn w:val="1"/>
    <w:next w:val="a"/>
    <w:uiPriority w:val="39"/>
    <w:unhideWhenUsed/>
    <w:qFormat/>
    <w:rsid w:val="00817714"/>
    <w:pPr>
      <w:keepLines/>
      <w:widowControl/>
      <w:spacing w:before="24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11">
    <w:name w:val="toc 1"/>
    <w:basedOn w:val="a"/>
    <w:next w:val="a"/>
    <w:autoRedefine/>
    <w:uiPriority w:val="39"/>
    <w:unhideWhenUsed/>
    <w:rsid w:val="00FF4476"/>
    <w:pPr>
      <w:tabs>
        <w:tab w:val="right" w:leader="dot" w:pos="8296"/>
      </w:tabs>
      <w:ind w:firstLineChars="0" w:firstLine="0"/>
    </w:pPr>
  </w:style>
  <w:style w:type="paragraph" w:styleId="21">
    <w:name w:val="toc 2"/>
    <w:basedOn w:val="a"/>
    <w:next w:val="a"/>
    <w:autoRedefine/>
    <w:uiPriority w:val="39"/>
    <w:unhideWhenUsed/>
    <w:rsid w:val="00992A58"/>
    <w:pPr>
      <w:tabs>
        <w:tab w:val="left" w:pos="720"/>
        <w:tab w:val="right" w:leader="dot" w:pos="8296"/>
      </w:tabs>
      <w:ind w:firstLineChars="0" w:firstLine="0"/>
    </w:pPr>
  </w:style>
  <w:style w:type="paragraph" w:styleId="31">
    <w:name w:val="toc 3"/>
    <w:basedOn w:val="a"/>
    <w:next w:val="a"/>
    <w:autoRedefine/>
    <w:uiPriority w:val="39"/>
    <w:unhideWhenUsed/>
    <w:rsid w:val="000371D9"/>
    <w:pPr>
      <w:tabs>
        <w:tab w:val="left" w:pos="780"/>
        <w:tab w:val="right" w:leader="dot" w:pos="8296"/>
      </w:tabs>
      <w:ind w:firstLineChars="0" w:firstLine="0"/>
    </w:pPr>
  </w:style>
  <w:style w:type="character" w:styleId="af4">
    <w:name w:val="Hyperlink"/>
    <w:basedOn w:val="a0"/>
    <w:uiPriority w:val="99"/>
    <w:unhideWhenUsed/>
    <w:rsid w:val="00817714"/>
    <w:rPr>
      <w:color w:val="0563C1" w:themeColor="hyperlink"/>
      <w:u w:val="single"/>
    </w:rPr>
  </w:style>
  <w:style w:type="paragraph" w:styleId="af5">
    <w:name w:val="table of figures"/>
    <w:basedOn w:val="a"/>
    <w:next w:val="a"/>
    <w:uiPriority w:val="99"/>
    <w:unhideWhenUsed/>
    <w:rsid w:val="00817714"/>
    <w:pPr>
      <w:ind w:left="480" w:hanging="480"/>
      <w:jc w:val="left"/>
    </w:pPr>
    <w:rPr>
      <w:rFonts w:asciiTheme="minorHAnsi" w:hAnsiTheme="minorHAnsi" w:cstheme="minorHAnsi"/>
      <w:smallCaps/>
      <w:sz w:val="20"/>
      <w:szCs w:val="24"/>
    </w:rPr>
  </w:style>
  <w:style w:type="paragraph" w:styleId="af6">
    <w:name w:val="Date"/>
    <w:basedOn w:val="a"/>
    <w:next w:val="a"/>
    <w:link w:val="af7"/>
    <w:uiPriority w:val="99"/>
    <w:semiHidden/>
    <w:unhideWhenUsed/>
    <w:rsid w:val="00B14E00"/>
    <w:pPr>
      <w:jc w:val="right"/>
    </w:pPr>
  </w:style>
  <w:style w:type="character" w:customStyle="1" w:styleId="af7">
    <w:name w:val="日期 字元"/>
    <w:basedOn w:val="a0"/>
    <w:link w:val="af6"/>
    <w:uiPriority w:val="99"/>
    <w:semiHidden/>
    <w:rsid w:val="00B14E00"/>
    <w:rPr>
      <w:rFonts w:ascii="Times New Roman" w:eastAsia="標楷體" w:hAnsi="Times New Roman" w:cs="Times New Roman"/>
      <w:szCs w:val="20"/>
    </w:rPr>
  </w:style>
  <w:style w:type="character" w:styleId="af8">
    <w:name w:val="Unresolved Mention"/>
    <w:basedOn w:val="a0"/>
    <w:uiPriority w:val="99"/>
    <w:semiHidden/>
    <w:unhideWhenUsed/>
    <w:rsid w:val="00FF3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4755">
      <w:bodyDiv w:val="1"/>
      <w:marLeft w:val="0"/>
      <w:marRight w:val="0"/>
      <w:marTop w:val="0"/>
      <w:marBottom w:val="0"/>
      <w:divBdr>
        <w:top w:val="none" w:sz="0" w:space="0" w:color="auto"/>
        <w:left w:val="none" w:sz="0" w:space="0" w:color="auto"/>
        <w:bottom w:val="none" w:sz="0" w:space="0" w:color="auto"/>
        <w:right w:val="none" w:sz="0" w:space="0" w:color="auto"/>
      </w:divBdr>
    </w:div>
    <w:div w:id="96870780">
      <w:bodyDiv w:val="1"/>
      <w:marLeft w:val="0"/>
      <w:marRight w:val="0"/>
      <w:marTop w:val="0"/>
      <w:marBottom w:val="0"/>
      <w:divBdr>
        <w:top w:val="none" w:sz="0" w:space="0" w:color="auto"/>
        <w:left w:val="none" w:sz="0" w:space="0" w:color="auto"/>
        <w:bottom w:val="none" w:sz="0" w:space="0" w:color="auto"/>
        <w:right w:val="none" w:sz="0" w:space="0" w:color="auto"/>
      </w:divBdr>
    </w:div>
    <w:div w:id="140732342">
      <w:bodyDiv w:val="1"/>
      <w:marLeft w:val="0"/>
      <w:marRight w:val="0"/>
      <w:marTop w:val="0"/>
      <w:marBottom w:val="0"/>
      <w:divBdr>
        <w:top w:val="none" w:sz="0" w:space="0" w:color="auto"/>
        <w:left w:val="none" w:sz="0" w:space="0" w:color="auto"/>
        <w:bottom w:val="none" w:sz="0" w:space="0" w:color="auto"/>
        <w:right w:val="none" w:sz="0" w:space="0" w:color="auto"/>
      </w:divBdr>
    </w:div>
    <w:div w:id="152453649">
      <w:bodyDiv w:val="1"/>
      <w:marLeft w:val="0"/>
      <w:marRight w:val="0"/>
      <w:marTop w:val="0"/>
      <w:marBottom w:val="0"/>
      <w:divBdr>
        <w:top w:val="none" w:sz="0" w:space="0" w:color="auto"/>
        <w:left w:val="none" w:sz="0" w:space="0" w:color="auto"/>
        <w:bottom w:val="none" w:sz="0" w:space="0" w:color="auto"/>
        <w:right w:val="none" w:sz="0" w:space="0" w:color="auto"/>
      </w:divBdr>
    </w:div>
    <w:div w:id="198864295">
      <w:bodyDiv w:val="1"/>
      <w:marLeft w:val="0"/>
      <w:marRight w:val="0"/>
      <w:marTop w:val="0"/>
      <w:marBottom w:val="0"/>
      <w:divBdr>
        <w:top w:val="none" w:sz="0" w:space="0" w:color="auto"/>
        <w:left w:val="none" w:sz="0" w:space="0" w:color="auto"/>
        <w:bottom w:val="none" w:sz="0" w:space="0" w:color="auto"/>
        <w:right w:val="none" w:sz="0" w:space="0" w:color="auto"/>
      </w:divBdr>
    </w:div>
    <w:div w:id="220873065">
      <w:bodyDiv w:val="1"/>
      <w:marLeft w:val="0"/>
      <w:marRight w:val="0"/>
      <w:marTop w:val="0"/>
      <w:marBottom w:val="0"/>
      <w:divBdr>
        <w:top w:val="none" w:sz="0" w:space="0" w:color="auto"/>
        <w:left w:val="none" w:sz="0" w:space="0" w:color="auto"/>
        <w:bottom w:val="none" w:sz="0" w:space="0" w:color="auto"/>
        <w:right w:val="none" w:sz="0" w:space="0" w:color="auto"/>
      </w:divBdr>
    </w:div>
    <w:div w:id="262148925">
      <w:bodyDiv w:val="1"/>
      <w:marLeft w:val="0"/>
      <w:marRight w:val="0"/>
      <w:marTop w:val="0"/>
      <w:marBottom w:val="0"/>
      <w:divBdr>
        <w:top w:val="none" w:sz="0" w:space="0" w:color="auto"/>
        <w:left w:val="none" w:sz="0" w:space="0" w:color="auto"/>
        <w:bottom w:val="none" w:sz="0" w:space="0" w:color="auto"/>
        <w:right w:val="none" w:sz="0" w:space="0" w:color="auto"/>
      </w:divBdr>
    </w:div>
    <w:div w:id="267591864">
      <w:bodyDiv w:val="1"/>
      <w:marLeft w:val="0"/>
      <w:marRight w:val="0"/>
      <w:marTop w:val="0"/>
      <w:marBottom w:val="0"/>
      <w:divBdr>
        <w:top w:val="none" w:sz="0" w:space="0" w:color="auto"/>
        <w:left w:val="none" w:sz="0" w:space="0" w:color="auto"/>
        <w:bottom w:val="none" w:sz="0" w:space="0" w:color="auto"/>
        <w:right w:val="none" w:sz="0" w:space="0" w:color="auto"/>
      </w:divBdr>
    </w:div>
    <w:div w:id="269170575">
      <w:bodyDiv w:val="1"/>
      <w:marLeft w:val="0"/>
      <w:marRight w:val="0"/>
      <w:marTop w:val="0"/>
      <w:marBottom w:val="0"/>
      <w:divBdr>
        <w:top w:val="none" w:sz="0" w:space="0" w:color="auto"/>
        <w:left w:val="none" w:sz="0" w:space="0" w:color="auto"/>
        <w:bottom w:val="none" w:sz="0" w:space="0" w:color="auto"/>
        <w:right w:val="none" w:sz="0" w:space="0" w:color="auto"/>
      </w:divBdr>
    </w:div>
    <w:div w:id="300893002">
      <w:bodyDiv w:val="1"/>
      <w:marLeft w:val="0"/>
      <w:marRight w:val="0"/>
      <w:marTop w:val="0"/>
      <w:marBottom w:val="0"/>
      <w:divBdr>
        <w:top w:val="none" w:sz="0" w:space="0" w:color="auto"/>
        <w:left w:val="none" w:sz="0" w:space="0" w:color="auto"/>
        <w:bottom w:val="none" w:sz="0" w:space="0" w:color="auto"/>
        <w:right w:val="none" w:sz="0" w:space="0" w:color="auto"/>
      </w:divBdr>
    </w:div>
    <w:div w:id="317804828">
      <w:bodyDiv w:val="1"/>
      <w:marLeft w:val="0"/>
      <w:marRight w:val="0"/>
      <w:marTop w:val="0"/>
      <w:marBottom w:val="0"/>
      <w:divBdr>
        <w:top w:val="none" w:sz="0" w:space="0" w:color="auto"/>
        <w:left w:val="none" w:sz="0" w:space="0" w:color="auto"/>
        <w:bottom w:val="none" w:sz="0" w:space="0" w:color="auto"/>
        <w:right w:val="none" w:sz="0" w:space="0" w:color="auto"/>
      </w:divBdr>
    </w:div>
    <w:div w:id="404763518">
      <w:bodyDiv w:val="1"/>
      <w:marLeft w:val="0"/>
      <w:marRight w:val="0"/>
      <w:marTop w:val="0"/>
      <w:marBottom w:val="0"/>
      <w:divBdr>
        <w:top w:val="none" w:sz="0" w:space="0" w:color="auto"/>
        <w:left w:val="none" w:sz="0" w:space="0" w:color="auto"/>
        <w:bottom w:val="none" w:sz="0" w:space="0" w:color="auto"/>
        <w:right w:val="none" w:sz="0" w:space="0" w:color="auto"/>
      </w:divBdr>
    </w:div>
    <w:div w:id="417601209">
      <w:bodyDiv w:val="1"/>
      <w:marLeft w:val="0"/>
      <w:marRight w:val="0"/>
      <w:marTop w:val="0"/>
      <w:marBottom w:val="0"/>
      <w:divBdr>
        <w:top w:val="none" w:sz="0" w:space="0" w:color="auto"/>
        <w:left w:val="none" w:sz="0" w:space="0" w:color="auto"/>
        <w:bottom w:val="none" w:sz="0" w:space="0" w:color="auto"/>
        <w:right w:val="none" w:sz="0" w:space="0" w:color="auto"/>
      </w:divBdr>
    </w:div>
    <w:div w:id="660548611">
      <w:bodyDiv w:val="1"/>
      <w:marLeft w:val="0"/>
      <w:marRight w:val="0"/>
      <w:marTop w:val="0"/>
      <w:marBottom w:val="0"/>
      <w:divBdr>
        <w:top w:val="none" w:sz="0" w:space="0" w:color="auto"/>
        <w:left w:val="none" w:sz="0" w:space="0" w:color="auto"/>
        <w:bottom w:val="none" w:sz="0" w:space="0" w:color="auto"/>
        <w:right w:val="none" w:sz="0" w:space="0" w:color="auto"/>
      </w:divBdr>
    </w:div>
    <w:div w:id="687221514">
      <w:bodyDiv w:val="1"/>
      <w:marLeft w:val="0"/>
      <w:marRight w:val="0"/>
      <w:marTop w:val="0"/>
      <w:marBottom w:val="0"/>
      <w:divBdr>
        <w:top w:val="none" w:sz="0" w:space="0" w:color="auto"/>
        <w:left w:val="none" w:sz="0" w:space="0" w:color="auto"/>
        <w:bottom w:val="none" w:sz="0" w:space="0" w:color="auto"/>
        <w:right w:val="none" w:sz="0" w:space="0" w:color="auto"/>
      </w:divBdr>
    </w:div>
    <w:div w:id="694695087">
      <w:bodyDiv w:val="1"/>
      <w:marLeft w:val="0"/>
      <w:marRight w:val="0"/>
      <w:marTop w:val="0"/>
      <w:marBottom w:val="0"/>
      <w:divBdr>
        <w:top w:val="none" w:sz="0" w:space="0" w:color="auto"/>
        <w:left w:val="none" w:sz="0" w:space="0" w:color="auto"/>
        <w:bottom w:val="none" w:sz="0" w:space="0" w:color="auto"/>
        <w:right w:val="none" w:sz="0" w:space="0" w:color="auto"/>
      </w:divBdr>
    </w:div>
    <w:div w:id="699668285">
      <w:bodyDiv w:val="1"/>
      <w:marLeft w:val="0"/>
      <w:marRight w:val="0"/>
      <w:marTop w:val="0"/>
      <w:marBottom w:val="0"/>
      <w:divBdr>
        <w:top w:val="none" w:sz="0" w:space="0" w:color="auto"/>
        <w:left w:val="none" w:sz="0" w:space="0" w:color="auto"/>
        <w:bottom w:val="none" w:sz="0" w:space="0" w:color="auto"/>
        <w:right w:val="none" w:sz="0" w:space="0" w:color="auto"/>
      </w:divBdr>
    </w:div>
    <w:div w:id="762453569">
      <w:bodyDiv w:val="1"/>
      <w:marLeft w:val="0"/>
      <w:marRight w:val="0"/>
      <w:marTop w:val="0"/>
      <w:marBottom w:val="0"/>
      <w:divBdr>
        <w:top w:val="none" w:sz="0" w:space="0" w:color="auto"/>
        <w:left w:val="none" w:sz="0" w:space="0" w:color="auto"/>
        <w:bottom w:val="none" w:sz="0" w:space="0" w:color="auto"/>
        <w:right w:val="none" w:sz="0" w:space="0" w:color="auto"/>
      </w:divBdr>
    </w:div>
    <w:div w:id="791940491">
      <w:bodyDiv w:val="1"/>
      <w:marLeft w:val="0"/>
      <w:marRight w:val="0"/>
      <w:marTop w:val="0"/>
      <w:marBottom w:val="0"/>
      <w:divBdr>
        <w:top w:val="none" w:sz="0" w:space="0" w:color="auto"/>
        <w:left w:val="none" w:sz="0" w:space="0" w:color="auto"/>
        <w:bottom w:val="none" w:sz="0" w:space="0" w:color="auto"/>
        <w:right w:val="none" w:sz="0" w:space="0" w:color="auto"/>
      </w:divBdr>
    </w:div>
    <w:div w:id="819074099">
      <w:bodyDiv w:val="1"/>
      <w:marLeft w:val="0"/>
      <w:marRight w:val="0"/>
      <w:marTop w:val="0"/>
      <w:marBottom w:val="0"/>
      <w:divBdr>
        <w:top w:val="none" w:sz="0" w:space="0" w:color="auto"/>
        <w:left w:val="none" w:sz="0" w:space="0" w:color="auto"/>
        <w:bottom w:val="none" w:sz="0" w:space="0" w:color="auto"/>
        <w:right w:val="none" w:sz="0" w:space="0" w:color="auto"/>
      </w:divBdr>
    </w:div>
    <w:div w:id="862672567">
      <w:bodyDiv w:val="1"/>
      <w:marLeft w:val="0"/>
      <w:marRight w:val="0"/>
      <w:marTop w:val="0"/>
      <w:marBottom w:val="0"/>
      <w:divBdr>
        <w:top w:val="none" w:sz="0" w:space="0" w:color="auto"/>
        <w:left w:val="none" w:sz="0" w:space="0" w:color="auto"/>
        <w:bottom w:val="none" w:sz="0" w:space="0" w:color="auto"/>
        <w:right w:val="none" w:sz="0" w:space="0" w:color="auto"/>
      </w:divBdr>
    </w:div>
    <w:div w:id="876896209">
      <w:bodyDiv w:val="1"/>
      <w:marLeft w:val="0"/>
      <w:marRight w:val="0"/>
      <w:marTop w:val="0"/>
      <w:marBottom w:val="0"/>
      <w:divBdr>
        <w:top w:val="none" w:sz="0" w:space="0" w:color="auto"/>
        <w:left w:val="none" w:sz="0" w:space="0" w:color="auto"/>
        <w:bottom w:val="none" w:sz="0" w:space="0" w:color="auto"/>
        <w:right w:val="none" w:sz="0" w:space="0" w:color="auto"/>
      </w:divBdr>
    </w:div>
    <w:div w:id="915820924">
      <w:bodyDiv w:val="1"/>
      <w:marLeft w:val="0"/>
      <w:marRight w:val="0"/>
      <w:marTop w:val="0"/>
      <w:marBottom w:val="0"/>
      <w:divBdr>
        <w:top w:val="none" w:sz="0" w:space="0" w:color="auto"/>
        <w:left w:val="none" w:sz="0" w:space="0" w:color="auto"/>
        <w:bottom w:val="none" w:sz="0" w:space="0" w:color="auto"/>
        <w:right w:val="none" w:sz="0" w:space="0" w:color="auto"/>
      </w:divBdr>
    </w:div>
    <w:div w:id="979459333">
      <w:bodyDiv w:val="1"/>
      <w:marLeft w:val="0"/>
      <w:marRight w:val="0"/>
      <w:marTop w:val="0"/>
      <w:marBottom w:val="0"/>
      <w:divBdr>
        <w:top w:val="none" w:sz="0" w:space="0" w:color="auto"/>
        <w:left w:val="none" w:sz="0" w:space="0" w:color="auto"/>
        <w:bottom w:val="none" w:sz="0" w:space="0" w:color="auto"/>
        <w:right w:val="none" w:sz="0" w:space="0" w:color="auto"/>
      </w:divBdr>
    </w:div>
    <w:div w:id="986856424">
      <w:bodyDiv w:val="1"/>
      <w:marLeft w:val="0"/>
      <w:marRight w:val="0"/>
      <w:marTop w:val="0"/>
      <w:marBottom w:val="0"/>
      <w:divBdr>
        <w:top w:val="none" w:sz="0" w:space="0" w:color="auto"/>
        <w:left w:val="none" w:sz="0" w:space="0" w:color="auto"/>
        <w:bottom w:val="none" w:sz="0" w:space="0" w:color="auto"/>
        <w:right w:val="none" w:sz="0" w:space="0" w:color="auto"/>
      </w:divBdr>
    </w:div>
    <w:div w:id="993800511">
      <w:bodyDiv w:val="1"/>
      <w:marLeft w:val="0"/>
      <w:marRight w:val="0"/>
      <w:marTop w:val="0"/>
      <w:marBottom w:val="0"/>
      <w:divBdr>
        <w:top w:val="none" w:sz="0" w:space="0" w:color="auto"/>
        <w:left w:val="none" w:sz="0" w:space="0" w:color="auto"/>
        <w:bottom w:val="none" w:sz="0" w:space="0" w:color="auto"/>
        <w:right w:val="none" w:sz="0" w:space="0" w:color="auto"/>
      </w:divBdr>
    </w:div>
    <w:div w:id="1039431918">
      <w:bodyDiv w:val="1"/>
      <w:marLeft w:val="0"/>
      <w:marRight w:val="0"/>
      <w:marTop w:val="0"/>
      <w:marBottom w:val="0"/>
      <w:divBdr>
        <w:top w:val="none" w:sz="0" w:space="0" w:color="auto"/>
        <w:left w:val="none" w:sz="0" w:space="0" w:color="auto"/>
        <w:bottom w:val="none" w:sz="0" w:space="0" w:color="auto"/>
        <w:right w:val="none" w:sz="0" w:space="0" w:color="auto"/>
      </w:divBdr>
    </w:div>
    <w:div w:id="1049382844">
      <w:bodyDiv w:val="1"/>
      <w:marLeft w:val="0"/>
      <w:marRight w:val="0"/>
      <w:marTop w:val="0"/>
      <w:marBottom w:val="0"/>
      <w:divBdr>
        <w:top w:val="none" w:sz="0" w:space="0" w:color="auto"/>
        <w:left w:val="none" w:sz="0" w:space="0" w:color="auto"/>
        <w:bottom w:val="none" w:sz="0" w:space="0" w:color="auto"/>
        <w:right w:val="none" w:sz="0" w:space="0" w:color="auto"/>
      </w:divBdr>
    </w:div>
    <w:div w:id="1073042125">
      <w:bodyDiv w:val="1"/>
      <w:marLeft w:val="0"/>
      <w:marRight w:val="0"/>
      <w:marTop w:val="0"/>
      <w:marBottom w:val="0"/>
      <w:divBdr>
        <w:top w:val="none" w:sz="0" w:space="0" w:color="auto"/>
        <w:left w:val="none" w:sz="0" w:space="0" w:color="auto"/>
        <w:bottom w:val="none" w:sz="0" w:space="0" w:color="auto"/>
        <w:right w:val="none" w:sz="0" w:space="0" w:color="auto"/>
      </w:divBdr>
    </w:div>
    <w:div w:id="1086149859">
      <w:bodyDiv w:val="1"/>
      <w:marLeft w:val="0"/>
      <w:marRight w:val="0"/>
      <w:marTop w:val="0"/>
      <w:marBottom w:val="0"/>
      <w:divBdr>
        <w:top w:val="none" w:sz="0" w:space="0" w:color="auto"/>
        <w:left w:val="none" w:sz="0" w:space="0" w:color="auto"/>
        <w:bottom w:val="none" w:sz="0" w:space="0" w:color="auto"/>
        <w:right w:val="none" w:sz="0" w:space="0" w:color="auto"/>
      </w:divBdr>
    </w:div>
    <w:div w:id="1098990426">
      <w:bodyDiv w:val="1"/>
      <w:marLeft w:val="0"/>
      <w:marRight w:val="0"/>
      <w:marTop w:val="0"/>
      <w:marBottom w:val="0"/>
      <w:divBdr>
        <w:top w:val="none" w:sz="0" w:space="0" w:color="auto"/>
        <w:left w:val="none" w:sz="0" w:space="0" w:color="auto"/>
        <w:bottom w:val="none" w:sz="0" w:space="0" w:color="auto"/>
        <w:right w:val="none" w:sz="0" w:space="0" w:color="auto"/>
      </w:divBdr>
    </w:div>
    <w:div w:id="1100760179">
      <w:bodyDiv w:val="1"/>
      <w:marLeft w:val="0"/>
      <w:marRight w:val="0"/>
      <w:marTop w:val="0"/>
      <w:marBottom w:val="0"/>
      <w:divBdr>
        <w:top w:val="none" w:sz="0" w:space="0" w:color="auto"/>
        <w:left w:val="none" w:sz="0" w:space="0" w:color="auto"/>
        <w:bottom w:val="none" w:sz="0" w:space="0" w:color="auto"/>
        <w:right w:val="none" w:sz="0" w:space="0" w:color="auto"/>
      </w:divBdr>
    </w:div>
    <w:div w:id="1120032041">
      <w:bodyDiv w:val="1"/>
      <w:marLeft w:val="0"/>
      <w:marRight w:val="0"/>
      <w:marTop w:val="0"/>
      <w:marBottom w:val="0"/>
      <w:divBdr>
        <w:top w:val="none" w:sz="0" w:space="0" w:color="auto"/>
        <w:left w:val="none" w:sz="0" w:space="0" w:color="auto"/>
        <w:bottom w:val="none" w:sz="0" w:space="0" w:color="auto"/>
        <w:right w:val="none" w:sz="0" w:space="0" w:color="auto"/>
      </w:divBdr>
    </w:div>
    <w:div w:id="1163470298">
      <w:bodyDiv w:val="1"/>
      <w:marLeft w:val="0"/>
      <w:marRight w:val="0"/>
      <w:marTop w:val="0"/>
      <w:marBottom w:val="0"/>
      <w:divBdr>
        <w:top w:val="none" w:sz="0" w:space="0" w:color="auto"/>
        <w:left w:val="none" w:sz="0" w:space="0" w:color="auto"/>
        <w:bottom w:val="none" w:sz="0" w:space="0" w:color="auto"/>
        <w:right w:val="none" w:sz="0" w:space="0" w:color="auto"/>
      </w:divBdr>
    </w:div>
    <w:div w:id="1190725785">
      <w:bodyDiv w:val="1"/>
      <w:marLeft w:val="0"/>
      <w:marRight w:val="0"/>
      <w:marTop w:val="0"/>
      <w:marBottom w:val="0"/>
      <w:divBdr>
        <w:top w:val="none" w:sz="0" w:space="0" w:color="auto"/>
        <w:left w:val="none" w:sz="0" w:space="0" w:color="auto"/>
        <w:bottom w:val="none" w:sz="0" w:space="0" w:color="auto"/>
        <w:right w:val="none" w:sz="0" w:space="0" w:color="auto"/>
      </w:divBdr>
    </w:div>
    <w:div w:id="1212694690">
      <w:bodyDiv w:val="1"/>
      <w:marLeft w:val="0"/>
      <w:marRight w:val="0"/>
      <w:marTop w:val="0"/>
      <w:marBottom w:val="0"/>
      <w:divBdr>
        <w:top w:val="none" w:sz="0" w:space="0" w:color="auto"/>
        <w:left w:val="none" w:sz="0" w:space="0" w:color="auto"/>
        <w:bottom w:val="none" w:sz="0" w:space="0" w:color="auto"/>
        <w:right w:val="none" w:sz="0" w:space="0" w:color="auto"/>
      </w:divBdr>
    </w:div>
    <w:div w:id="1296839752">
      <w:bodyDiv w:val="1"/>
      <w:marLeft w:val="0"/>
      <w:marRight w:val="0"/>
      <w:marTop w:val="0"/>
      <w:marBottom w:val="0"/>
      <w:divBdr>
        <w:top w:val="none" w:sz="0" w:space="0" w:color="auto"/>
        <w:left w:val="none" w:sz="0" w:space="0" w:color="auto"/>
        <w:bottom w:val="none" w:sz="0" w:space="0" w:color="auto"/>
        <w:right w:val="none" w:sz="0" w:space="0" w:color="auto"/>
      </w:divBdr>
    </w:div>
    <w:div w:id="1311396845">
      <w:bodyDiv w:val="1"/>
      <w:marLeft w:val="0"/>
      <w:marRight w:val="0"/>
      <w:marTop w:val="0"/>
      <w:marBottom w:val="0"/>
      <w:divBdr>
        <w:top w:val="none" w:sz="0" w:space="0" w:color="auto"/>
        <w:left w:val="none" w:sz="0" w:space="0" w:color="auto"/>
        <w:bottom w:val="none" w:sz="0" w:space="0" w:color="auto"/>
        <w:right w:val="none" w:sz="0" w:space="0" w:color="auto"/>
      </w:divBdr>
    </w:div>
    <w:div w:id="1324968277">
      <w:bodyDiv w:val="1"/>
      <w:marLeft w:val="0"/>
      <w:marRight w:val="0"/>
      <w:marTop w:val="0"/>
      <w:marBottom w:val="0"/>
      <w:divBdr>
        <w:top w:val="none" w:sz="0" w:space="0" w:color="auto"/>
        <w:left w:val="none" w:sz="0" w:space="0" w:color="auto"/>
        <w:bottom w:val="none" w:sz="0" w:space="0" w:color="auto"/>
        <w:right w:val="none" w:sz="0" w:space="0" w:color="auto"/>
      </w:divBdr>
    </w:div>
    <w:div w:id="1341198565">
      <w:bodyDiv w:val="1"/>
      <w:marLeft w:val="0"/>
      <w:marRight w:val="0"/>
      <w:marTop w:val="0"/>
      <w:marBottom w:val="0"/>
      <w:divBdr>
        <w:top w:val="none" w:sz="0" w:space="0" w:color="auto"/>
        <w:left w:val="none" w:sz="0" w:space="0" w:color="auto"/>
        <w:bottom w:val="none" w:sz="0" w:space="0" w:color="auto"/>
        <w:right w:val="none" w:sz="0" w:space="0" w:color="auto"/>
      </w:divBdr>
    </w:div>
    <w:div w:id="1361708910">
      <w:bodyDiv w:val="1"/>
      <w:marLeft w:val="0"/>
      <w:marRight w:val="0"/>
      <w:marTop w:val="0"/>
      <w:marBottom w:val="0"/>
      <w:divBdr>
        <w:top w:val="none" w:sz="0" w:space="0" w:color="auto"/>
        <w:left w:val="none" w:sz="0" w:space="0" w:color="auto"/>
        <w:bottom w:val="none" w:sz="0" w:space="0" w:color="auto"/>
        <w:right w:val="none" w:sz="0" w:space="0" w:color="auto"/>
      </w:divBdr>
    </w:div>
    <w:div w:id="1387873840">
      <w:bodyDiv w:val="1"/>
      <w:marLeft w:val="0"/>
      <w:marRight w:val="0"/>
      <w:marTop w:val="0"/>
      <w:marBottom w:val="0"/>
      <w:divBdr>
        <w:top w:val="none" w:sz="0" w:space="0" w:color="auto"/>
        <w:left w:val="none" w:sz="0" w:space="0" w:color="auto"/>
        <w:bottom w:val="none" w:sz="0" w:space="0" w:color="auto"/>
        <w:right w:val="none" w:sz="0" w:space="0" w:color="auto"/>
      </w:divBdr>
    </w:div>
    <w:div w:id="1428304505">
      <w:bodyDiv w:val="1"/>
      <w:marLeft w:val="0"/>
      <w:marRight w:val="0"/>
      <w:marTop w:val="0"/>
      <w:marBottom w:val="0"/>
      <w:divBdr>
        <w:top w:val="none" w:sz="0" w:space="0" w:color="auto"/>
        <w:left w:val="none" w:sz="0" w:space="0" w:color="auto"/>
        <w:bottom w:val="none" w:sz="0" w:space="0" w:color="auto"/>
        <w:right w:val="none" w:sz="0" w:space="0" w:color="auto"/>
      </w:divBdr>
    </w:div>
    <w:div w:id="1500578248">
      <w:bodyDiv w:val="1"/>
      <w:marLeft w:val="0"/>
      <w:marRight w:val="0"/>
      <w:marTop w:val="0"/>
      <w:marBottom w:val="0"/>
      <w:divBdr>
        <w:top w:val="none" w:sz="0" w:space="0" w:color="auto"/>
        <w:left w:val="none" w:sz="0" w:space="0" w:color="auto"/>
        <w:bottom w:val="none" w:sz="0" w:space="0" w:color="auto"/>
        <w:right w:val="none" w:sz="0" w:space="0" w:color="auto"/>
      </w:divBdr>
    </w:div>
    <w:div w:id="1548755998">
      <w:bodyDiv w:val="1"/>
      <w:marLeft w:val="0"/>
      <w:marRight w:val="0"/>
      <w:marTop w:val="0"/>
      <w:marBottom w:val="0"/>
      <w:divBdr>
        <w:top w:val="none" w:sz="0" w:space="0" w:color="auto"/>
        <w:left w:val="none" w:sz="0" w:space="0" w:color="auto"/>
        <w:bottom w:val="none" w:sz="0" w:space="0" w:color="auto"/>
        <w:right w:val="none" w:sz="0" w:space="0" w:color="auto"/>
      </w:divBdr>
    </w:div>
    <w:div w:id="1558667357">
      <w:bodyDiv w:val="1"/>
      <w:marLeft w:val="0"/>
      <w:marRight w:val="0"/>
      <w:marTop w:val="0"/>
      <w:marBottom w:val="0"/>
      <w:divBdr>
        <w:top w:val="none" w:sz="0" w:space="0" w:color="auto"/>
        <w:left w:val="none" w:sz="0" w:space="0" w:color="auto"/>
        <w:bottom w:val="none" w:sz="0" w:space="0" w:color="auto"/>
        <w:right w:val="none" w:sz="0" w:space="0" w:color="auto"/>
      </w:divBdr>
    </w:div>
    <w:div w:id="1564293319">
      <w:bodyDiv w:val="1"/>
      <w:marLeft w:val="0"/>
      <w:marRight w:val="0"/>
      <w:marTop w:val="0"/>
      <w:marBottom w:val="0"/>
      <w:divBdr>
        <w:top w:val="none" w:sz="0" w:space="0" w:color="auto"/>
        <w:left w:val="none" w:sz="0" w:space="0" w:color="auto"/>
        <w:bottom w:val="none" w:sz="0" w:space="0" w:color="auto"/>
        <w:right w:val="none" w:sz="0" w:space="0" w:color="auto"/>
      </w:divBdr>
    </w:div>
    <w:div w:id="1565992348">
      <w:bodyDiv w:val="1"/>
      <w:marLeft w:val="0"/>
      <w:marRight w:val="0"/>
      <w:marTop w:val="0"/>
      <w:marBottom w:val="0"/>
      <w:divBdr>
        <w:top w:val="none" w:sz="0" w:space="0" w:color="auto"/>
        <w:left w:val="none" w:sz="0" w:space="0" w:color="auto"/>
        <w:bottom w:val="none" w:sz="0" w:space="0" w:color="auto"/>
        <w:right w:val="none" w:sz="0" w:space="0" w:color="auto"/>
      </w:divBdr>
    </w:div>
    <w:div w:id="1589659596">
      <w:bodyDiv w:val="1"/>
      <w:marLeft w:val="0"/>
      <w:marRight w:val="0"/>
      <w:marTop w:val="0"/>
      <w:marBottom w:val="0"/>
      <w:divBdr>
        <w:top w:val="none" w:sz="0" w:space="0" w:color="auto"/>
        <w:left w:val="none" w:sz="0" w:space="0" w:color="auto"/>
        <w:bottom w:val="none" w:sz="0" w:space="0" w:color="auto"/>
        <w:right w:val="none" w:sz="0" w:space="0" w:color="auto"/>
      </w:divBdr>
    </w:div>
    <w:div w:id="1593855902">
      <w:bodyDiv w:val="1"/>
      <w:marLeft w:val="0"/>
      <w:marRight w:val="0"/>
      <w:marTop w:val="0"/>
      <w:marBottom w:val="0"/>
      <w:divBdr>
        <w:top w:val="none" w:sz="0" w:space="0" w:color="auto"/>
        <w:left w:val="none" w:sz="0" w:space="0" w:color="auto"/>
        <w:bottom w:val="none" w:sz="0" w:space="0" w:color="auto"/>
        <w:right w:val="none" w:sz="0" w:space="0" w:color="auto"/>
      </w:divBdr>
    </w:div>
    <w:div w:id="1614091645">
      <w:bodyDiv w:val="1"/>
      <w:marLeft w:val="0"/>
      <w:marRight w:val="0"/>
      <w:marTop w:val="0"/>
      <w:marBottom w:val="0"/>
      <w:divBdr>
        <w:top w:val="none" w:sz="0" w:space="0" w:color="auto"/>
        <w:left w:val="none" w:sz="0" w:space="0" w:color="auto"/>
        <w:bottom w:val="none" w:sz="0" w:space="0" w:color="auto"/>
        <w:right w:val="none" w:sz="0" w:space="0" w:color="auto"/>
      </w:divBdr>
    </w:div>
    <w:div w:id="1723400984">
      <w:bodyDiv w:val="1"/>
      <w:marLeft w:val="0"/>
      <w:marRight w:val="0"/>
      <w:marTop w:val="0"/>
      <w:marBottom w:val="0"/>
      <w:divBdr>
        <w:top w:val="none" w:sz="0" w:space="0" w:color="auto"/>
        <w:left w:val="none" w:sz="0" w:space="0" w:color="auto"/>
        <w:bottom w:val="none" w:sz="0" w:space="0" w:color="auto"/>
        <w:right w:val="none" w:sz="0" w:space="0" w:color="auto"/>
      </w:divBdr>
    </w:div>
    <w:div w:id="1737706966">
      <w:bodyDiv w:val="1"/>
      <w:marLeft w:val="0"/>
      <w:marRight w:val="0"/>
      <w:marTop w:val="0"/>
      <w:marBottom w:val="0"/>
      <w:divBdr>
        <w:top w:val="none" w:sz="0" w:space="0" w:color="auto"/>
        <w:left w:val="none" w:sz="0" w:space="0" w:color="auto"/>
        <w:bottom w:val="none" w:sz="0" w:space="0" w:color="auto"/>
        <w:right w:val="none" w:sz="0" w:space="0" w:color="auto"/>
      </w:divBdr>
    </w:div>
    <w:div w:id="1777481848">
      <w:bodyDiv w:val="1"/>
      <w:marLeft w:val="0"/>
      <w:marRight w:val="0"/>
      <w:marTop w:val="0"/>
      <w:marBottom w:val="0"/>
      <w:divBdr>
        <w:top w:val="none" w:sz="0" w:space="0" w:color="auto"/>
        <w:left w:val="none" w:sz="0" w:space="0" w:color="auto"/>
        <w:bottom w:val="none" w:sz="0" w:space="0" w:color="auto"/>
        <w:right w:val="none" w:sz="0" w:space="0" w:color="auto"/>
      </w:divBdr>
    </w:div>
    <w:div w:id="1785152935">
      <w:bodyDiv w:val="1"/>
      <w:marLeft w:val="0"/>
      <w:marRight w:val="0"/>
      <w:marTop w:val="0"/>
      <w:marBottom w:val="0"/>
      <w:divBdr>
        <w:top w:val="none" w:sz="0" w:space="0" w:color="auto"/>
        <w:left w:val="none" w:sz="0" w:space="0" w:color="auto"/>
        <w:bottom w:val="none" w:sz="0" w:space="0" w:color="auto"/>
        <w:right w:val="none" w:sz="0" w:space="0" w:color="auto"/>
      </w:divBdr>
    </w:div>
    <w:div w:id="1815222585">
      <w:bodyDiv w:val="1"/>
      <w:marLeft w:val="0"/>
      <w:marRight w:val="0"/>
      <w:marTop w:val="0"/>
      <w:marBottom w:val="0"/>
      <w:divBdr>
        <w:top w:val="none" w:sz="0" w:space="0" w:color="auto"/>
        <w:left w:val="none" w:sz="0" w:space="0" w:color="auto"/>
        <w:bottom w:val="none" w:sz="0" w:space="0" w:color="auto"/>
        <w:right w:val="none" w:sz="0" w:space="0" w:color="auto"/>
      </w:divBdr>
      <w:divsChild>
        <w:div w:id="380713761">
          <w:marLeft w:val="0"/>
          <w:marRight w:val="0"/>
          <w:marTop w:val="0"/>
          <w:marBottom w:val="0"/>
          <w:divBdr>
            <w:top w:val="none" w:sz="0" w:space="0" w:color="auto"/>
            <w:left w:val="none" w:sz="0" w:space="0" w:color="auto"/>
            <w:bottom w:val="none" w:sz="0" w:space="0" w:color="auto"/>
            <w:right w:val="none" w:sz="0" w:space="0" w:color="auto"/>
          </w:divBdr>
          <w:divsChild>
            <w:div w:id="1260258784">
              <w:marLeft w:val="0"/>
              <w:marRight w:val="0"/>
              <w:marTop w:val="0"/>
              <w:marBottom w:val="0"/>
              <w:divBdr>
                <w:top w:val="none" w:sz="0" w:space="0" w:color="auto"/>
                <w:left w:val="none" w:sz="0" w:space="0" w:color="auto"/>
                <w:bottom w:val="none" w:sz="0" w:space="0" w:color="auto"/>
                <w:right w:val="none" w:sz="0" w:space="0" w:color="auto"/>
              </w:divBdr>
            </w:div>
            <w:div w:id="2084447766">
              <w:marLeft w:val="0"/>
              <w:marRight w:val="0"/>
              <w:marTop w:val="0"/>
              <w:marBottom w:val="0"/>
              <w:divBdr>
                <w:top w:val="none" w:sz="0" w:space="0" w:color="auto"/>
                <w:left w:val="none" w:sz="0" w:space="0" w:color="auto"/>
                <w:bottom w:val="none" w:sz="0" w:space="0" w:color="auto"/>
                <w:right w:val="none" w:sz="0" w:space="0" w:color="auto"/>
              </w:divBdr>
            </w:div>
            <w:div w:id="714158296">
              <w:marLeft w:val="0"/>
              <w:marRight w:val="0"/>
              <w:marTop w:val="0"/>
              <w:marBottom w:val="0"/>
              <w:divBdr>
                <w:top w:val="none" w:sz="0" w:space="0" w:color="auto"/>
                <w:left w:val="none" w:sz="0" w:space="0" w:color="auto"/>
                <w:bottom w:val="none" w:sz="0" w:space="0" w:color="auto"/>
                <w:right w:val="none" w:sz="0" w:space="0" w:color="auto"/>
              </w:divBdr>
            </w:div>
            <w:div w:id="1514370328">
              <w:marLeft w:val="0"/>
              <w:marRight w:val="0"/>
              <w:marTop w:val="0"/>
              <w:marBottom w:val="0"/>
              <w:divBdr>
                <w:top w:val="none" w:sz="0" w:space="0" w:color="auto"/>
                <w:left w:val="none" w:sz="0" w:space="0" w:color="auto"/>
                <w:bottom w:val="none" w:sz="0" w:space="0" w:color="auto"/>
                <w:right w:val="none" w:sz="0" w:space="0" w:color="auto"/>
              </w:divBdr>
            </w:div>
            <w:div w:id="1377047137">
              <w:marLeft w:val="0"/>
              <w:marRight w:val="0"/>
              <w:marTop w:val="0"/>
              <w:marBottom w:val="0"/>
              <w:divBdr>
                <w:top w:val="none" w:sz="0" w:space="0" w:color="auto"/>
                <w:left w:val="none" w:sz="0" w:space="0" w:color="auto"/>
                <w:bottom w:val="none" w:sz="0" w:space="0" w:color="auto"/>
                <w:right w:val="none" w:sz="0" w:space="0" w:color="auto"/>
              </w:divBdr>
            </w:div>
            <w:div w:id="710883906">
              <w:marLeft w:val="0"/>
              <w:marRight w:val="0"/>
              <w:marTop w:val="0"/>
              <w:marBottom w:val="0"/>
              <w:divBdr>
                <w:top w:val="none" w:sz="0" w:space="0" w:color="auto"/>
                <w:left w:val="none" w:sz="0" w:space="0" w:color="auto"/>
                <w:bottom w:val="none" w:sz="0" w:space="0" w:color="auto"/>
                <w:right w:val="none" w:sz="0" w:space="0" w:color="auto"/>
              </w:divBdr>
            </w:div>
            <w:div w:id="247159026">
              <w:marLeft w:val="0"/>
              <w:marRight w:val="0"/>
              <w:marTop w:val="0"/>
              <w:marBottom w:val="0"/>
              <w:divBdr>
                <w:top w:val="none" w:sz="0" w:space="0" w:color="auto"/>
                <w:left w:val="none" w:sz="0" w:space="0" w:color="auto"/>
                <w:bottom w:val="none" w:sz="0" w:space="0" w:color="auto"/>
                <w:right w:val="none" w:sz="0" w:space="0" w:color="auto"/>
              </w:divBdr>
            </w:div>
            <w:div w:id="16810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2971">
      <w:bodyDiv w:val="1"/>
      <w:marLeft w:val="0"/>
      <w:marRight w:val="0"/>
      <w:marTop w:val="0"/>
      <w:marBottom w:val="0"/>
      <w:divBdr>
        <w:top w:val="none" w:sz="0" w:space="0" w:color="auto"/>
        <w:left w:val="none" w:sz="0" w:space="0" w:color="auto"/>
        <w:bottom w:val="none" w:sz="0" w:space="0" w:color="auto"/>
        <w:right w:val="none" w:sz="0" w:space="0" w:color="auto"/>
      </w:divBdr>
    </w:div>
    <w:div w:id="1887327383">
      <w:bodyDiv w:val="1"/>
      <w:marLeft w:val="0"/>
      <w:marRight w:val="0"/>
      <w:marTop w:val="0"/>
      <w:marBottom w:val="0"/>
      <w:divBdr>
        <w:top w:val="none" w:sz="0" w:space="0" w:color="auto"/>
        <w:left w:val="none" w:sz="0" w:space="0" w:color="auto"/>
        <w:bottom w:val="none" w:sz="0" w:space="0" w:color="auto"/>
        <w:right w:val="none" w:sz="0" w:space="0" w:color="auto"/>
      </w:divBdr>
    </w:div>
    <w:div w:id="1909725061">
      <w:bodyDiv w:val="1"/>
      <w:marLeft w:val="0"/>
      <w:marRight w:val="0"/>
      <w:marTop w:val="0"/>
      <w:marBottom w:val="0"/>
      <w:divBdr>
        <w:top w:val="none" w:sz="0" w:space="0" w:color="auto"/>
        <w:left w:val="none" w:sz="0" w:space="0" w:color="auto"/>
        <w:bottom w:val="none" w:sz="0" w:space="0" w:color="auto"/>
        <w:right w:val="none" w:sz="0" w:space="0" w:color="auto"/>
      </w:divBdr>
    </w:div>
    <w:div w:id="1909728782">
      <w:bodyDiv w:val="1"/>
      <w:marLeft w:val="0"/>
      <w:marRight w:val="0"/>
      <w:marTop w:val="0"/>
      <w:marBottom w:val="0"/>
      <w:divBdr>
        <w:top w:val="none" w:sz="0" w:space="0" w:color="auto"/>
        <w:left w:val="none" w:sz="0" w:space="0" w:color="auto"/>
        <w:bottom w:val="none" w:sz="0" w:space="0" w:color="auto"/>
        <w:right w:val="none" w:sz="0" w:space="0" w:color="auto"/>
      </w:divBdr>
    </w:div>
    <w:div w:id="1922980945">
      <w:bodyDiv w:val="1"/>
      <w:marLeft w:val="0"/>
      <w:marRight w:val="0"/>
      <w:marTop w:val="0"/>
      <w:marBottom w:val="0"/>
      <w:divBdr>
        <w:top w:val="none" w:sz="0" w:space="0" w:color="auto"/>
        <w:left w:val="none" w:sz="0" w:space="0" w:color="auto"/>
        <w:bottom w:val="none" w:sz="0" w:space="0" w:color="auto"/>
        <w:right w:val="none" w:sz="0" w:space="0" w:color="auto"/>
      </w:divBdr>
    </w:div>
    <w:div w:id="1954096471">
      <w:bodyDiv w:val="1"/>
      <w:marLeft w:val="0"/>
      <w:marRight w:val="0"/>
      <w:marTop w:val="0"/>
      <w:marBottom w:val="0"/>
      <w:divBdr>
        <w:top w:val="none" w:sz="0" w:space="0" w:color="auto"/>
        <w:left w:val="none" w:sz="0" w:space="0" w:color="auto"/>
        <w:bottom w:val="none" w:sz="0" w:space="0" w:color="auto"/>
        <w:right w:val="none" w:sz="0" w:space="0" w:color="auto"/>
      </w:divBdr>
    </w:div>
    <w:div w:id="2011369724">
      <w:bodyDiv w:val="1"/>
      <w:marLeft w:val="0"/>
      <w:marRight w:val="0"/>
      <w:marTop w:val="0"/>
      <w:marBottom w:val="0"/>
      <w:divBdr>
        <w:top w:val="none" w:sz="0" w:space="0" w:color="auto"/>
        <w:left w:val="none" w:sz="0" w:space="0" w:color="auto"/>
        <w:bottom w:val="none" w:sz="0" w:space="0" w:color="auto"/>
        <w:right w:val="none" w:sz="0" w:space="0" w:color="auto"/>
      </w:divBdr>
    </w:div>
    <w:div w:id="2033411643">
      <w:bodyDiv w:val="1"/>
      <w:marLeft w:val="0"/>
      <w:marRight w:val="0"/>
      <w:marTop w:val="0"/>
      <w:marBottom w:val="0"/>
      <w:divBdr>
        <w:top w:val="none" w:sz="0" w:space="0" w:color="auto"/>
        <w:left w:val="none" w:sz="0" w:space="0" w:color="auto"/>
        <w:bottom w:val="none" w:sz="0" w:space="0" w:color="auto"/>
        <w:right w:val="none" w:sz="0" w:space="0" w:color="auto"/>
      </w:divBdr>
    </w:div>
    <w:div w:id="2069188485">
      <w:bodyDiv w:val="1"/>
      <w:marLeft w:val="0"/>
      <w:marRight w:val="0"/>
      <w:marTop w:val="0"/>
      <w:marBottom w:val="0"/>
      <w:divBdr>
        <w:top w:val="none" w:sz="0" w:space="0" w:color="auto"/>
        <w:left w:val="none" w:sz="0" w:space="0" w:color="auto"/>
        <w:bottom w:val="none" w:sz="0" w:space="0" w:color="auto"/>
        <w:right w:val="none" w:sz="0" w:space="0" w:color="auto"/>
      </w:divBdr>
    </w:div>
    <w:div w:id="2104111484">
      <w:bodyDiv w:val="1"/>
      <w:marLeft w:val="0"/>
      <w:marRight w:val="0"/>
      <w:marTop w:val="0"/>
      <w:marBottom w:val="0"/>
      <w:divBdr>
        <w:top w:val="none" w:sz="0" w:space="0" w:color="auto"/>
        <w:left w:val="none" w:sz="0" w:space="0" w:color="auto"/>
        <w:bottom w:val="none" w:sz="0" w:space="0" w:color="auto"/>
        <w:right w:val="none" w:sz="0" w:space="0" w:color="auto"/>
      </w:divBdr>
    </w:div>
    <w:div w:id="214206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s://www.deribit.com/kb/options" TargetMode="External"/><Relationship Id="rId2" Type="http://schemas.openxmlformats.org/officeDocument/2006/relationships/hyperlink" Target="https://www.theblock.co/data/crypto-markets/options" TargetMode="External"/><Relationship Id="rId1" Type="http://schemas.openxmlformats.org/officeDocument/2006/relationships/hyperlink" Target="https://www.deribit.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潘秋梅07</b:Tag>
    <b:SourceType>Book</b:SourceType>
    <b:Guid>{EAF60EE5-791E-4EC4-8984-0C344072ABA6}</b:Guid>
    <b:Author>
      <b:Author>
        <b:NameList>
          <b:Person>
            <b:Last>潘秋梅</b:Last>
          </b:Person>
        </b:NameList>
      </b:Author>
    </b:Author>
    <b:Title>企業違約機率預測－使用羅吉斯迴歸模型</b:Title>
    <b:Year>2007</b:Year>
    <b:LCID>zh-TW</b:LCID>
    <b:RefOrder>1</b:RefOrder>
  </b:Source>
  <b:Source>
    <b:Tag>蘇佳翎17</b:Tag>
    <b:SourceType>Book</b:SourceType>
    <b:Guid>{F5571F94-49F5-4584-8C0D-D84EAFD90C62}</b:Guid>
    <b:Author>
      <b:Author>
        <b:NameList>
          <b:Person>
            <b:Last>蘇佳翎</b:Last>
          </b:Person>
        </b:NameList>
      </b:Author>
    </b:Author>
    <b:Title>台灣上市櫃電子製造業財務危機預警模型之實證研究-Logistic模型與KMV模型之比較</b:Title>
    <b:Year>2017</b:Year>
    <b:LCID>zh-TW</b:LCID>
    <b:RefOrder>3</b:RefOrder>
  </b:Source>
  <b:Source>
    <b:Tag>Ebr22</b:Tag>
    <b:SourceType>JournalArticle</b:SourceType>
    <b:Guid>{C6CAEE43-A499-43A3-9CCA-FD422C765A3B}</b:Guid>
    <b:LCID>en-US</b:LCID>
    <b:Author>
      <b:Author>
        <b:NameList>
          <b:Person>
            <b:Last>Saygili</b:Last>
            <b:First>Ebru</b:First>
          </b:Person>
          <b:Person>
            <b:Last>Arslan</b:Last>
            <b:First>Serafettin</b:First>
          </b:Person>
          <b:Person>
            <b:Last>Birkan</b:Last>
            <b:First>Ayse</b:First>
            <b:Middle>Ozden</b:Middle>
          </b:Person>
        </b:NameList>
      </b:Author>
    </b:Author>
    <b:Title>ESG practices and corporate financial performance: Evidence from Borsa Istanbul</b:Title>
    <b:JournalName>Borsa Istanbul Review</b:JournalName>
    <b:Year>2022</b:Year>
    <b:Pages>525-533</b:Pages>
    <b:Issue>22-3</b:Issue>
    <b:RefOrder>2</b:RefOrder>
  </b:Source>
</b:Sources>
</file>

<file path=customXml/itemProps1.xml><?xml version="1.0" encoding="utf-8"?>
<ds:datastoreItem xmlns:ds="http://schemas.openxmlformats.org/officeDocument/2006/customXml" ds:itemID="{44AFD90A-2F5C-4165-9443-30C0C5A2E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20</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M11218014</dc:creator>
  <cp:keywords/>
  <dc:description/>
  <cp:lastModifiedBy>M11218014</cp:lastModifiedBy>
  <cp:revision>9</cp:revision>
  <cp:lastPrinted>2024-06-06T13:25:00Z</cp:lastPrinted>
  <dcterms:created xsi:type="dcterms:W3CDTF">2024-12-08T07:53:00Z</dcterms:created>
  <dcterms:modified xsi:type="dcterms:W3CDTF">2024-12-11T06:22:00Z</dcterms:modified>
</cp:coreProperties>
</file>