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875BFD">
        <w:rPr>
          <w:rFonts w:hint="eastAsia"/>
          <w:b/>
          <w:bCs/>
          <w:spacing w:val="90"/>
          <w:kern w:val="0"/>
          <w:sz w:val="36"/>
          <w:fitText w:val="1440" w:id="-879588608"/>
        </w:rPr>
        <w:t>研究</w:t>
      </w:r>
      <w:r w:rsidRPr="00875BFD">
        <w:rPr>
          <w:rFonts w:hint="eastAsia"/>
          <w:b/>
          <w:bCs/>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r>
        <w:rPr>
          <w:rFonts w:hint="eastAsia"/>
        </w:rPr>
        <w:lastRenderedPageBreak/>
        <w:t>誌謝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r>
        <w:rPr>
          <w:rFonts w:hint="eastAsia"/>
        </w:rPr>
        <w:t>Deribit</w:t>
      </w:r>
      <w:r>
        <w:rPr>
          <w:rFonts w:hint="eastAsia"/>
        </w:rPr>
        <w:t>交易所</w:t>
      </w:r>
      <w:r w:rsidR="002A2A2A">
        <w:rPr>
          <w:rStyle w:val="af1"/>
        </w:rPr>
        <w:footnoteReference w:id="1"/>
      </w:r>
      <w:r w:rsidR="00900D70">
        <w:rPr>
          <w:rFonts w:hint="eastAsia"/>
        </w:rPr>
        <w:t>提供之</w:t>
      </w:r>
      <w:r w:rsidR="00F145BE">
        <w:rPr>
          <w:rFonts w:hint="eastAsia"/>
        </w:rPr>
        <w:t>比特幣歐式現金結算選擇權歷史交易數據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59D1AC49"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r w:rsidR="00084FEA">
        <w:rPr>
          <w:rFonts w:hint="eastAsia"/>
        </w:rPr>
        <w:t>Deribit</w:t>
      </w:r>
      <w:r w:rsidR="00084FEA">
        <w:rPr>
          <w:rFonts w:hint="eastAsia"/>
        </w:rPr>
        <w:t>交易所之比特幣選擇權交易量為三大平台－</w:t>
      </w:r>
      <w:r w:rsidR="00084FEA">
        <w:rPr>
          <w:rFonts w:hint="eastAsia"/>
        </w:rPr>
        <w:t>Deribit</w:t>
      </w:r>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25CCC">
        <w:rPr>
          <w:rFonts w:hint="eastAsia"/>
        </w:rPr>
        <w:t>圖</w:t>
      </w:r>
      <w:r w:rsidR="00E25CCC">
        <w:rPr>
          <w:rFonts w:hint="eastAsia"/>
        </w:rPr>
        <w:t>3-</w:t>
      </w:r>
      <w:r w:rsidR="00E25CCC">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5ECA0CAF"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1</w:t>
      </w:r>
      <w:r>
        <w:fldChar w:fldCharType="end"/>
      </w:r>
      <w:bookmarkEnd w:id="3"/>
      <w:r>
        <w:rPr>
          <w:rFonts w:hint="eastAsia"/>
        </w:rPr>
        <w:t>：比特幣選擇權市場交易量與未平倉量數據統計</w:t>
      </w:r>
      <w:r>
        <w:br/>
      </w:r>
      <w:r>
        <w:rPr>
          <w:rFonts w:hint="eastAsia"/>
        </w:rPr>
        <w:t>（資料來源：</w:t>
      </w:r>
      <w:r>
        <w:rPr>
          <w:rFonts w:hint="eastAsia"/>
        </w:rPr>
        <w:t>The Block</w:t>
      </w:r>
      <w:r w:rsidR="00387F38">
        <w:rPr>
          <w:rFonts w:hint="eastAsia"/>
        </w:rPr>
        <w:t>官方網站）</w:t>
      </w:r>
    </w:p>
    <w:p w14:paraId="5B7C6EAE" w14:textId="1E3D78DA" w:rsidR="00720E4C" w:rsidRDefault="00720E4C" w:rsidP="00720E4C">
      <w:pPr>
        <w:spacing w:before="180" w:after="180"/>
        <w:ind w:firstLine="480"/>
      </w:pPr>
      <w:r>
        <w:rPr>
          <w:rFonts w:hint="eastAsia"/>
        </w:rPr>
        <w:t>Deribit</w:t>
      </w:r>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r>
        <w:rPr>
          <w:rFonts w:hint="eastAsia"/>
        </w:rPr>
        <w:t>Deribit</w:t>
      </w:r>
      <w:r>
        <w:rPr>
          <w:rFonts w:hint="eastAsia"/>
        </w:rPr>
        <w:t>已成為全球最大的比特幣選擇權交易平台。</w:t>
      </w:r>
      <w:r w:rsidR="00024747">
        <w:rPr>
          <w:rFonts w:hint="eastAsia"/>
        </w:rPr>
        <w:t>其提供之比特幣歐式現金結算選擇權合約全天候皆可交易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r w:rsidR="002A2A2A">
        <w:rPr>
          <w:rFonts w:hint="eastAsia"/>
        </w:rPr>
        <w:t>週、</w:t>
      </w:r>
      <w:r w:rsidR="002A2A2A">
        <w:rPr>
          <w:rFonts w:hint="eastAsia"/>
        </w:rPr>
        <w:t>2</w:t>
      </w:r>
      <w:r w:rsidR="002A2A2A">
        <w:rPr>
          <w:rFonts w:hint="eastAsia"/>
        </w:rPr>
        <w:t>週、</w:t>
      </w:r>
      <w:r w:rsidR="002A2A2A">
        <w:rPr>
          <w:rFonts w:hint="eastAsia"/>
        </w:rPr>
        <w:t>3</w:t>
      </w:r>
      <w:r w:rsidR="002A2A2A">
        <w:rPr>
          <w:rFonts w:hint="eastAsia"/>
        </w:rPr>
        <w:t>週後，以及每月月底（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比特幣選擇權交易市場概況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39EF493" w:rsidR="007E75C0" w:rsidRPr="00FB35F3" w:rsidRDefault="007E75C0" w:rsidP="00FB35F3">
      <w:pPr>
        <w:spacing w:before="180" w:after="180"/>
        <w:ind w:firstLine="480"/>
      </w:pPr>
      <w:r>
        <w:rPr>
          <w:rFonts w:hint="eastAsia"/>
        </w:rPr>
        <w:t>本研究透過對</w:t>
      </w:r>
      <w:r>
        <w:rPr>
          <w:rFonts w:hint="eastAsia"/>
        </w:rPr>
        <w:t>Deribit</w:t>
      </w:r>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E25CCC">
        <w:rPr>
          <w:rFonts w:hint="eastAsia"/>
        </w:rPr>
        <w:t>圖</w:t>
      </w:r>
      <w:r w:rsidR="00E25CCC">
        <w:rPr>
          <w:rFonts w:hint="eastAsia"/>
        </w:rPr>
        <w:t>3-</w:t>
      </w:r>
      <w:r w:rsidR="00E25CCC">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r>
        <w:rPr>
          <w:rFonts w:hint="eastAsia"/>
        </w:rPr>
        <w:t>Deribit</w:t>
      </w:r>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月，交易量再次大幅增長，主因為受到比特幣現貨價格大幅上漲之影響，買權交易量更於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顯示出市場對比特幣價格上漲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期間內，交易量存在明顯波動，反映了市場活躍度的變化，尤其在比特幣價格劇烈波動時更為明顯。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比特幣選擇權交易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71DB97C7"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53A90EE4" w:rsidR="003643C9" w:rsidRDefault="003643C9" w:rsidP="00646BB2">
            <w:pPr>
              <w:pStyle w:val="a9"/>
              <w:spacing w:before="180" w:after="180"/>
              <w:jc w:val="right"/>
            </w:pPr>
            <w:bookmarkStart w:id="6" w:name="_Ref183666859"/>
            <w:r>
              <w:t>(</w:t>
            </w:r>
            <w:r w:rsidR="00803D78">
              <w:fldChar w:fldCharType="begin"/>
            </w:r>
            <w:r w:rsidR="00803D78">
              <w:instrText xml:space="preserve"> SEQ ( \* ARABIC </w:instrText>
            </w:r>
            <w:r w:rsidR="00803D78">
              <w:fldChar w:fldCharType="separate"/>
            </w:r>
            <w:r w:rsidR="00E25CCC">
              <w:rPr>
                <w:noProof/>
              </w:rPr>
              <w:t>1</w:t>
            </w:r>
            <w:r w:rsidR="00803D78">
              <w:rPr>
                <w:noProof/>
              </w:rPr>
              <w:fldChar w:fldCharType="end"/>
            </w:r>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C61853F" w:rsidR="00764F78" w:rsidRPr="00764F78" w:rsidRDefault="00646BB2" w:rsidP="00764F78">
            <w:pPr>
              <w:pStyle w:val="a9"/>
              <w:spacing w:before="180" w:after="180"/>
              <w:jc w:val="right"/>
            </w:pPr>
            <w:bookmarkStart w:id="7" w:name="_Ref183663957"/>
            <w:bookmarkStart w:id="8" w:name="_Ref183663960"/>
            <w:r>
              <w:t>(</w:t>
            </w:r>
            <w:r w:rsidR="00803D78">
              <w:fldChar w:fldCharType="begin"/>
            </w:r>
            <w:r w:rsidR="00803D78">
              <w:instrText xml:space="preserve"> SEQ ( \* ARABIC </w:instrText>
            </w:r>
            <w:r w:rsidR="00803D78">
              <w:fldChar w:fldCharType="separate"/>
            </w:r>
            <w:r w:rsidR="00E25CCC">
              <w:rPr>
                <w:noProof/>
              </w:rPr>
              <w:t>2</w:t>
            </w:r>
            <w:r w:rsidR="00803D78">
              <w:rPr>
                <w:noProof/>
              </w:rPr>
              <w:fldChar w:fldCharType="end"/>
            </w:r>
            <w:bookmarkEnd w:id="7"/>
            <w:r>
              <w:rPr>
                <w:rFonts w:hint="eastAsia"/>
              </w:rPr>
              <w:t>)</w:t>
            </w:r>
            <w:bookmarkEnd w:id="8"/>
          </w:p>
        </w:tc>
      </w:tr>
    </w:tbl>
    <w:p w14:paraId="7ACA79FE" w14:textId="78F81B85"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25CCC">
        <w:t>(</w:t>
      </w:r>
      <w:r w:rsidR="00E25CCC">
        <w:rPr>
          <w:noProof/>
        </w:rPr>
        <w:t>2</w:t>
      </w:r>
      <w:r w:rsidR="00E25CCC">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E5547A" w:rsidR="00C451F7" w:rsidRPr="00764F78" w:rsidRDefault="00C451F7" w:rsidP="009703DB">
            <w:pPr>
              <w:pStyle w:val="a9"/>
              <w:spacing w:before="180" w:after="180"/>
              <w:jc w:val="right"/>
            </w:pPr>
            <w:bookmarkStart w:id="9" w:name="_Ref183665445"/>
            <w:r>
              <w:t>(</w:t>
            </w:r>
            <w:r w:rsidR="00803D78">
              <w:fldChar w:fldCharType="begin"/>
            </w:r>
            <w:r w:rsidR="00803D78">
              <w:instrText xml:space="preserve"> SEQ ( \* ARABIC </w:instrText>
            </w:r>
            <w:r w:rsidR="00803D78">
              <w:fldChar w:fldCharType="separate"/>
            </w:r>
            <w:r w:rsidR="00E25CCC">
              <w:rPr>
                <w:noProof/>
              </w:rPr>
              <w:t>3</w:t>
            </w:r>
            <w:r w:rsidR="00803D78">
              <w:rPr>
                <w:noProof/>
              </w:rPr>
              <w:fldChar w:fldCharType="end"/>
            </w:r>
            <w:r>
              <w:rPr>
                <w:rFonts w:hint="eastAsia"/>
              </w:rPr>
              <w:t>)</w:t>
            </w:r>
            <w:bookmarkEnd w:id="9"/>
          </w:p>
        </w:tc>
      </w:tr>
    </w:tbl>
    <w:p w14:paraId="072B8C89" w14:textId="6EF95D4D"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25CCC">
        <w:t>(</w:t>
      </w:r>
      <w:r w:rsidR="00E25CCC">
        <w:rPr>
          <w:noProof/>
        </w:rPr>
        <w:t>2</w:t>
      </w:r>
      <w:r w:rsidR="00E25CCC">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25CCC">
        <w:t>(</w:t>
      </w:r>
      <w:r w:rsidR="00E25CCC">
        <w:rPr>
          <w:noProof/>
        </w:rPr>
        <w:t>3</w:t>
      </w:r>
      <w:r w:rsidR="00E25CCC">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71CC9F5" w:rsidR="006A2DA5" w:rsidRPr="00764F78" w:rsidRDefault="006A2DA5" w:rsidP="00495049">
            <w:pPr>
              <w:pStyle w:val="a9"/>
              <w:spacing w:before="180" w:after="180"/>
              <w:ind w:firstLine="480"/>
              <w:jc w:val="right"/>
            </w:pPr>
            <w:bookmarkStart w:id="10" w:name="_Ref189214718"/>
            <w:r>
              <w:t>(</w:t>
            </w:r>
            <w:r w:rsidR="00803D78">
              <w:fldChar w:fldCharType="begin"/>
            </w:r>
            <w:r w:rsidR="00803D78">
              <w:instrText xml:space="preserve"> SEQ ( \* ARABIC </w:instrText>
            </w:r>
            <w:r w:rsidR="00803D78">
              <w:fldChar w:fldCharType="separate"/>
            </w:r>
            <w:r w:rsidR="00E25CCC">
              <w:rPr>
                <w:noProof/>
              </w:rPr>
              <w:t>4</w:t>
            </w:r>
            <w:r w:rsidR="00803D78">
              <w:rPr>
                <w:noProof/>
              </w:rPr>
              <w:fldChar w:fldCharType="end"/>
            </w:r>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B1BAA59" w:rsidR="006A2DA5" w:rsidRDefault="006A2DA5" w:rsidP="00495049">
            <w:pPr>
              <w:pStyle w:val="a9"/>
              <w:spacing w:before="180" w:after="180"/>
              <w:ind w:firstLine="480"/>
              <w:jc w:val="right"/>
            </w:pPr>
            <w:bookmarkStart w:id="11" w:name="_Ref183666874"/>
            <w:r>
              <w:t>(</w:t>
            </w:r>
            <w:r w:rsidR="00803D78">
              <w:fldChar w:fldCharType="begin"/>
            </w:r>
            <w:r w:rsidR="00803D78">
              <w:instrText xml:space="preserve"> SEQ ( \* ARABIC </w:instrText>
            </w:r>
            <w:r w:rsidR="00803D78">
              <w:fldChar w:fldCharType="separate"/>
            </w:r>
            <w:r w:rsidR="00E25CCC">
              <w:rPr>
                <w:noProof/>
              </w:rPr>
              <w:t>5</w:t>
            </w:r>
            <w:r w:rsidR="00803D78">
              <w:rPr>
                <w:noProof/>
              </w:rPr>
              <w:fldChar w:fldCharType="end"/>
            </w:r>
            <w:r>
              <w:rPr>
                <w:rFonts w:hint="eastAsia"/>
              </w:rPr>
              <w:t>)</w:t>
            </w:r>
            <w:bookmarkEnd w:id="11"/>
          </w:p>
        </w:tc>
      </w:tr>
    </w:tbl>
    <w:p w14:paraId="41486D5F" w14:textId="4393F179"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25CCC">
        <w:t>(</w:t>
      </w:r>
      <w:r w:rsidR="00E25CCC">
        <w:rPr>
          <w:noProof/>
        </w:rPr>
        <w:t>1</w:t>
      </w:r>
      <w:r w:rsidR="00E25CCC">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25CCC">
        <w:t>(</w:t>
      </w:r>
      <w:r w:rsidR="00E25CCC">
        <w:rPr>
          <w:noProof/>
        </w:rPr>
        <w:t>2</w:t>
      </w:r>
      <w:r w:rsidR="00E25CCC">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7BC3771" w:rsidR="007C0373" w:rsidRPr="007C0373" w:rsidRDefault="004F631C" w:rsidP="007C0373">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6</w:t>
            </w:r>
            <w:r w:rsidR="00803D78">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404C412" w:rsidR="004F631C" w:rsidRDefault="004F631C" w:rsidP="00495049">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7</w:t>
            </w:r>
            <w:r w:rsidR="00803D78">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B72CB14" w:rsidR="004F631C" w:rsidRDefault="00415057" w:rsidP="004F631C">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8</w:t>
            </w:r>
            <w:r w:rsidR="00803D78">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03B4DCA" w:rsidR="004F631C" w:rsidRDefault="00415057" w:rsidP="004F631C">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9</w:t>
            </w:r>
            <w:r w:rsidR="00803D78">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2027A8C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25CCC">
        <w:t>(</w:t>
      </w:r>
      <w:r w:rsidR="00E25CCC">
        <w:rPr>
          <w:noProof/>
        </w:rPr>
        <w:t>1</w:t>
      </w:r>
      <w:r w:rsidR="00E25CCC">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無風險利率量化，進一步限制了無風險利率在比特幣選擇權定價中的適用性。</w:t>
      </w:r>
    </w:p>
    <w:p w14:paraId="2CF80AA0" w14:textId="55C87B04" w:rsidR="00BA0521" w:rsidRDefault="009F55DC" w:rsidP="00DE3699">
      <w:pPr>
        <w:spacing w:before="180" w:after="180"/>
        <w:ind w:firstLine="480"/>
      </w:pPr>
      <w:r>
        <w:rPr>
          <w:rFonts w:hint="eastAsia"/>
        </w:rPr>
        <w:lastRenderedPageBreak/>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25CCC">
        <w:t>(</w:t>
      </w:r>
      <w:r w:rsidR="00E25CCC">
        <w:rPr>
          <w:noProof/>
        </w:rPr>
        <w:t>10</w:t>
      </w:r>
      <w:r w:rsidR="00E25CCC">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25CCC">
        <w:t>(</w:t>
      </w:r>
      <w:r w:rsidR="00E25CCC">
        <w:rPr>
          <w:noProof/>
        </w:rPr>
        <w:t>11</w:t>
      </w:r>
      <w:r w:rsidR="00E25CCC">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613FB66" w:rsidR="00C96DE9" w:rsidRDefault="00C96DE9" w:rsidP="00C96DE9">
            <w:pPr>
              <w:pStyle w:val="a9"/>
              <w:spacing w:before="180" w:after="180"/>
              <w:jc w:val="right"/>
            </w:pPr>
            <w:bookmarkStart w:id="12" w:name="_Ref184140393"/>
            <w:r>
              <w:t>(</w:t>
            </w:r>
            <w:r w:rsidR="00803D78">
              <w:fldChar w:fldCharType="begin"/>
            </w:r>
            <w:r w:rsidR="00803D78">
              <w:instrText xml:space="preserve"> SEQ ( \* ARABIC </w:instrText>
            </w:r>
            <w:r w:rsidR="00803D78">
              <w:fldChar w:fldCharType="separate"/>
            </w:r>
            <w:r w:rsidR="00E25CCC">
              <w:rPr>
                <w:noProof/>
              </w:rPr>
              <w:t>10</w:t>
            </w:r>
            <w:r w:rsidR="00803D78">
              <w:rPr>
                <w:noProof/>
              </w:rPr>
              <w:fldChar w:fldCharType="end"/>
            </w:r>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E6759E8" w:rsidR="002116B3" w:rsidRDefault="002116B3" w:rsidP="002116B3">
            <w:pPr>
              <w:pStyle w:val="a9"/>
              <w:spacing w:before="180" w:after="180"/>
              <w:jc w:val="right"/>
            </w:pPr>
            <w:bookmarkStart w:id="13" w:name="_Ref184140413"/>
            <w:r>
              <w:t>(</w:t>
            </w:r>
            <w:r w:rsidR="00803D78">
              <w:fldChar w:fldCharType="begin"/>
            </w:r>
            <w:r w:rsidR="00803D78">
              <w:instrText xml:space="preserve"> SEQ ( \* ARABIC </w:instrText>
            </w:r>
            <w:r w:rsidR="00803D78">
              <w:fldChar w:fldCharType="separate"/>
            </w:r>
            <w:r w:rsidR="00E25CCC">
              <w:rPr>
                <w:noProof/>
              </w:rPr>
              <w:t>11</w:t>
            </w:r>
            <w:r w:rsidR="00803D78">
              <w:rPr>
                <w:noProof/>
              </w:rPr>
              <w:fldChar w:fldCharType="end"/>
            </w:r>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）後進行插值</w:t>
      </w:r>
      <w:r>
        <w:rPr>
          <w:rFonts w:hint="eastAsia"/>
        </w:rPr>
        <w:t>（</w:t>
      </w:r>
      <w:r>
        <w:rPr>
          <w:rFonts w:hint="eastAsia"/>
        </w:rPr>
        <w:t>Interpolation</w:t>
      </w:r>
      <w:r>
        <w:rPr>
          <w:rFonts w:hint="eastAsia"/>
        </w:rPr>
        <w:t>）</w:t>
      </w:r>
      <w:r w:rsidRPr="00653CFB">
        <w:rPr>
          <w:rFonts w:hint="eastAsia"/>
        </w:rPr>
        <w:t>，因為隱含波動率曲線通常比價格數據更平滑且連續，適合進行插值與平滑處理</w:t>
      </w:r>
      <w:r>
        <w:rPr>
          <w:rFonts w:hint="eastAsia"/>
        </w:rPr>
        <w:t>，</w:t>
      </w:r>
      <w:r w:rsidRPr="00653CFB">
        <w:rPr>
          <w:rFonts w:hint="eastAsia"/>
        </w:rPr>
        <w:t>再將插值後的曲線重新轉換回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r w:rsidRPr="003E53B0">
        <w:rPr>
          <w:rFonts w:hint="eastAsia"/>
        </w:rPr>
        <w:t>Figlewski</w:t>
      </w:r>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F5A7A48"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25CCC">
        <w:rPr>
          <w:rFonts w:hint="eastAsia"/>
        </w:rPr>
        <w:t>圖</w:t>
      </w:r>
      <w:r w:rsidR="00E25CCC">
        <w:rPr>
          <w:rFonts w:hint="eastAsia"/>
        </w:rPr>
        <w:t>4-</w:t>
      </w:r>
      <w:r w:rsidR="00E25CCC">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25CCC">
        <w:rPr>
          <w:rFonts w:hint="eastAsia"/>
        </w:rPr>
        <w:t>圖</w:t>
      </w:r>
      <w:r w:rsidR="00E25CCC">
        <w:rPr>
          <w:rFonts w:hint="eastAsia"/>
        </w:rPr>
        <w:t>4-</w:t>
      </w:r>
      <w:r w:rsidR="00E25CCC">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25CCC">
        <w:rPr>
          <w:rFonts w:hint="eastAsia"/>
        </w:rPr>
        <w:t>圖</w:t>
      </w:r>
      <w:r w:rsidR="00E25CCC">
        <w:rPr>
          <w:rFonts w:hint="eastAsia"/>
        </w:rPr>
        <w:t>4-</w:t>
      </w:r>
      <w:r w:rsidR="00E25CCC">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59B75575"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5E2CEF74"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46E77EAC"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002C818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25CCC">
        <w:rPr>
          <w:rFonts w:hint="eastAsia"/>
        </w:rPr>
        <w:t>圖</w:t>
      </w:r>
      <w:r w:rsidR="00E25CCC">
        <w:rPr>
          <w:rFonts w:hint="eastAsia"/>
        </w:rPr>
        <w:t>4-</w:t>
      </w:r>
      <w:r w:rsidR="00E25CCC">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7D97C8AD"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436B57D8" w:rsidR="00FE59E1" w:rsidRDefault="00852AA5" w:rsidP="00852AA5">
      <w:pPr>
        <w:spacing w:before="180" w:after="180"/>
        <w:ind w:firstLine="480"/>
        <w:rPr>
          <w:rFonts w:hint="eastAsia"/>
        </w:rPr>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E25CCC">
        <w:t>(</w:t>
      </w:r>
      <w:r w:rsidR="00E25CCC">
        <w:rPr>
          <w:noProof/>
        </w:rPr>
        <w:t>11</w:t>
      </w:r>
      <w:r w:rsidR="00E25CCC">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25CCC">
        <w:rPr>
          <w:rFonts w:hint="eastAsia"/>
        </w:rPr>
        <w:t>圖</w:t>
      </w:r>
      <w:r w:rsidR="00E25CCC">
        <w:rPr>
          <w:rFonts w:hint="eastAsia"/>
        </w:rPr>
        <w:t>4-</w:t>
      </w:r>
      <w:r w:rsidR="00E25CCC">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09F5E4C4" w:rsidR="00601A99" w:rsidRDefault="00601A99" w:rsidP="00601A99">
      <w:pPr>
        <w:pStyle w:val="a9"/>
        <w:spacing w:before="180" w:after="180"/>
        <w:rPr>
          <w:rFonts w:hint="eastAsia"/>
        </w:rPr>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Pr>
          <w:rFonts w:hint="eastAsia"/>
        </w:rPr>
        <w:t>理論買權價格</w:t>
      </w:r>
      <w:r>
        <w:rPr>
          <w:rFonts w:hint="eastAsia"/>
        </w:rPr>
        <w:t>（</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264E25DD"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25CCC">
        <w:t>(</w:t>
      </w:r>
      <w:r w:rsidR="00E25CCC">
        <w:rPr>
          <w:noProof/>
        </w:rPr>
        <w:t>4</w:t>
      </w:r>
      <w:r w:rsidR="00E25CCC">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25CCC">
        <w:t>(</w:t>
      </w:r>
      <w:r w:rsidR="00E25CCC">
        <w:rPr>
          <w:noProof/>
        </w:rPr>
        <w:t>5</w:t>
      </w:r>
      <w:r w:rsidR="00E25CCC">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26DC4611" w14:textId="72EC8BCC" w:rsidR="00506C97" w:rsidRDefault="00506C97" w:rsidP="00506C97">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重點著重於累積分配函數（</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檢驗方面，本研究首先確保累積分配函數值與右尾累積機率值皆不存在缺失值，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r>
        <w:rPr>
          <w:rFonts w:hint="eastAsia"/>
        </w:rPr>
        <w:t>檢驗</w:t>
      </w:r>
      <w:r w:rsidRPr="00506C97">
        <w:t>標準</w:t>
      </w:r>
      <w:r>
        <w:rPr>
          <w:rFonts w:hint="eastAsia"/>
        </w:rPr>
        <w:t>之</w:t>
      </w:r>
      <w:r w:rsidRPr="00506C97">
        <w:t>設定主要基於三個面向的考量。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544B129A" w:rsidR="00506C97" w:rsidRPr="00506C97" w:rsidRDefault="00506C97" w:rsidP="00506C97">
      <w:pPr>
        <w:spacing w:before="180" w:after="180"/>
        <w:ind w:firstLine="480"/>
        <w:rPr>
          <w:rFonts w:hint="eastAsia"/>
        </w:rPr>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25CCC">
        <w:rPr>
          <w:rFonts w:hint="eastAsia"/>
        </w:rPr>
        <w:t>圖</w:t>
      </w:r>
      <w:r w:rsidR="00E25CCC">
        <w:rPr>
          <w:rFonts w:hint="eastAsia"/>
        </w:rPr>
        <w:t>4-</w:t>
      </w:r>
      <w:r w:rsidR="00E25CCC">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25CCC">
        <w:rPr>
          <w:rFonts w:hint="eastAsia"/>
        </w:rPr>
        <w:t>圖</w:t>
      </w:r>
      <w:r w:rsidR="00E25CCC">
        <w:rPr>
          <w:rFonts w:hint="eastAsia"/>
        </w:rPr>
        <w:t>4-</w:t>
      </w:r>
      <w:r w:rsidR="00E25CCC">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rPr>
          <w:rFonts w:hint="eastAsia"/>
        </w:rPr>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58979D6D" w:rsidR="00506C97" w:rsidRDefault="00F36D4C" w:rsidP="00F36D4C">
      <w:pPr>
        <w:pStyle w:val="a9"/>
        <w:spacing w:before="180" w:after="180"/>
        <w:ind w:firstLine="480"/>
        <w:rPr>
          <w:rFonts w:hint="eastAsia"/>
        </w:rPr>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Pr>
          <w:rFonts w:hint="eastAsia"/>
        </w:rPr>
        <w:t>風險中立機率密度函數</w:t>
      </w:r>
      <w:r>
        <w:rPr>
          <w:rFonts w:hint="eastAsia"/>
        </w:rPr>
        <w:t>（</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rPr>
          <w:rFonts w:hint="eastAsia"/>
        </w:rPr>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0839E2B5" w:rsidR="00F36D4C" w:rsidRPr="00506C97" w:rsidRDefault="00F36D4C" w:rsidP="00F36D4C">
      <w:pPr>
        <w:pStyle w:val="a9"/>
        <w:spacing w:before="180" w:after="180"/>
        <w:rPr>
          <w:rFonts w:hint="eastAsia"/>
        </w:rPr>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w:t>
      </w:r>
      <w:r>
        <w:rPr>
          <w:rFonts w:hint="eastAsia"/>
        </w:rPr>
        <w:t>累積分布</w:t>
      </w:r>
      <w:r>
        <w:rPr>
          <w:rFonts w:hint="eastAsia"/>
        </w:rPr>
        <w:t>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r w:rsidR="00224FF9">
        <w:rPr>
          <w:rFonts w:hint="eastAsia"/>
        </w:rPr>
        <w:t>配適風險中立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1F7F8D30"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Pr="001A6EE8">
        <w:t>Figlewski</w:t>
      </w:r>
      <w:r w:rsidR="00E25CCC">
        <w:rPr>
          <w:rFonts w:hint="eastAsia"/>
        </w:rPr>
        <w:t>(</w:t>
      </w:r>
      <w:r w:rsidRPr="001A6EE8">
        <w:t>2008</w:t>
      </w:r>
      <w:r w:rsidR="00E25CCC">
        <w:rPr>
          <w:rFonts w:hint="eastAsia"/>
        </w:rPr>
        <w:t xml:space="preserve">) </w:t>
      </w:r>
      <w:r w:rsidRPr="001A6EE8">
        <w:t>提出使用廣義極值分配（</w:t>
      </w:r>
      <w:r w:rsidRPr="001A6EE8">
        <w:t xml:space="preserve">Generalized Extreme Value Distribution, </w:t>
      </w:r>
      <w:r w:rsidRPr="001A6EE8">
        <w:lastRenderedPageBreak/>
        <w:t>GEV</w:t>
      </w:r>
      <w:r w:rsidRPr="001A6EE8">
        <w:t>）來配適</w:t>
      </w:r>
      <w:r w:rsidRPr="001A6EE8">
        <w:t>RND</w:t>
      </w:r>
      <w:r w:rsidRPr="001A6EE8">
        <w:t>的尾部，其方法需要設定三個條件以確保尾部配適的連續性：</w:t>
      </w:r>
    </w:p>
    <w:p w14:paraId="758D5BE3" w14:textId="481BBBE2"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r>
        <w:rPr>
          <w:rFonts w:hint="eastAsia"/>
        </w:rPr>
        <w:t>。</w:t>
      </w:r>
    </w:p>
    <w:p w14:paraId="35F70B3C" w14:textId="77777777"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密度函數值必須等於</w:t>
      </w:r>
      <w:r w:rsidRPr="001A6EE8">
        <w:t>RND</w:t>
      </w:r>
      <w:r w:rsidRPr="001A6EE8">
        <w:t>的密度函數值</w:t>
      </w:r>
    </w:p>
    <w:p w14:paraId="6920C801" w14:textId="77777777" w:rsidR="001A6EE8" w:rsidRDefault="001A6EE8" w:rsidP="00985E70">
      <w:pPr>
        <w:pStyle w:val="a5"/>
        <w:numPr>
          <w:ilvl w:val="0"/>
          <w:numId w:val="18"/>
        </w:numPr>
        <w:spacing w:before="180" w:after="180"/>
        <w:ind w:leftChars="0" w:firstLineChars="0"/>
        <w:jc w:val="left"/>
      </w:pPr>
      <w:r w:rsidRPr="001A6EE8">
        <w:t>在第二個接合點處，</w:t>
      </w:r>
      <w:r w:rsidRPr="001A6EE8">
        <w:t>GEV</w:t>
      </w:r>
      <w:r w:rsidRPr="001A6EE8">
        <w:t>密度函數值也必須等於</w:t>
      </w:r>
      <w:r w:rsidRPr="001A6EE8">
        <w:t>RND</w:t>
      </w:r>
      <w:r w:rsidRPr="001A6EE8">
        <w:t>的密度函數值。</w:t>
      </w:r>
    </w:p>
    <w:p w14:paraId="2A6AA699" w14:textId="6C7C9DA0" w:rsidR="00FB3472" w:rsidRPr="00FB3472" w:rsidRDefault="00560A40" w:rsidP="00560A40">
      <w:pPr>
        <w:spacing w:before="180" w:after="180"/>
        <w:ind w:firstLine="480"/>
      </w:pPr>
      <w:r>
        <w:rPr>
          <w:rFonts w:hint="eastAsia"/>
        </w:rPr>
        <w:t>而</w:t>
      </w:r>
      <w:r w:rsidR="00FB3472" w:rsidRPr="00FB3472">
        <w:t>本研究採用廣義柏拉圖分配（</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僅需設定兩個參數（尺度參數</w:t>
      </w:r>
      <w:r w:rsidR="00FB3472" w:rsidRPr="00FB3472">
        <w:t>σ</w:t>
      </w:r>
      <w:r w:rsidR="00FB3472" w:rsidRPr="00FB3472">
        <w:t>與形狀參數</w:t>
      </w:r>
      <w:r w:rsidR="00FB3472" w:rsidRPr="00FB3472">
        <w:t>ξ</w:t>
      </w:r>
      <w:r w:rsidR="00FB3472" w:rsidRPr="00FB3472">
        <w:t>），相較於</w:t>
      </w:r>
      <w:r w:rsidR="00FB3472" w:rsidRPr="00FB3472">
        <w:t>GEV</w:t>
      </w:r>
      <w:r w:rsidR="00FB3472" w:rsidRPr="00FB3472">
        <w:t>需要三個參數（位置參數</w:t>
      </w:r>
      <w:r w:rsidR="00FB3472" w:rsidRPr="00FB3472">
        <w:t>μ</w:t>
      </w:r>
      <w:r w:rsidR="00FB3472" w:rsidRPr="00FB3472">
        <w:t>、尺度參數</w:t>
      </w:r>
      <w:r w:rsidR="00FB3472" w:rsidRPr="00FB3472">
        <w:t>σ</w:t>
      </w:r>
      <w:r w:rsidR="00FB3472" w:rsidRPr="00FB3472">
        <w:t>及形狀參數</w:t>
      </w:r>
      <w:r w:rsidR="00FB3472" w:rsidRPr="00FB3472">
        <w:t>ξ</w:t>
      </w:r>
      <w:r w:rsidR="00FB3472" w:rsidRPr="00FB3472">
        <w:t>）更為簡潔。這種簡潔的參數結構不僅能提升運算效率，也能降低過度配適（</w:t>
      </w:r>
      <w:r w:rsidR="00FB3472" w:rsidRPr="00FB3472">
        <w:t>over-fitting</w:t>
      </w:r>
      <w:r w:rsidR="00FB3472" w:rsidRPr="00FB3472">
        <w:t>）的風險。此外，</w:t>
      </w:r>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w:t>
      </w:r>
      <w:r w:rsidR="00FB3472" w:rsidRPr="00FB3472">
        <w:t>ξ</w:t>
      </w:r>
      <w:r w:rsidR="00FB3472" w:rsidRPr="00FB3472">
        <w:t>，意味著兩種分配在描述極端事件時具有相同的漸近性質。然而，</w:t>
      </w:r>
      <w:r w:rsidR="00FB3472" w:rsidRPr="00FB3472">
        <w:t>GPD</w:t>
      </w:r>
      <w:r w:rsidR="00FB3472" w:rsidRPr="00FB3472">
        <w:t>在實務應用上更為直觀，特別是在金融風險管理領域，如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Figlewski (2012)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在尾部配適的表現相當接近，且皆優於對數常態分配。這些特性使得</w:t>
      </w:r>
      <w:r w:rsidR="00FB3472" w:rsidRPr="00FB3472">
        <w:t>GPD</w:t>
      </w:r>
      <w:r w:rsidR="00FB3472" w:rsidRPr="00FB3472">
        <w:t>成為門檻超越模型中不可或缺的工具，特別是在需要精確描述超過特定門檻值的極端事件時。</w:t>
      </w:r>
    </w:p>
    <w:p w14:paraId="1DD11ECA" w14:textId="77777777" w:rsidR="00560A40" w:rsidRDefault="001A6EE8" w:rsidP="001A6EE8">
      <w:pPr>
        <w:spacing w:before="180" w:after="180"/>
        <w:ind w:firstLine="480"/>
      </w:pPr>
      <w:r w:rsidRPr="001A6EE8">
        <w:t>本研究提出兩種不同的</w:t>
      </w:r>
      <w:r w:rsidRPr="001A6EE8">
        <w:t>GPD</w:t>
      </w:r>
      <w:r w:rsidRPr="001A6EE8">
        <w:t>配適方法。第一種方法使用單一接合點，並結合斜率與累積分布函數（</w:t>
      </w:r>
      <w:r w:rsidRPr="001A6EE8">
        <w:t>CDF</w:t>
      </w:r>
      <w:r w:rsidRPr="001A6EE8">
        <w:t>）作為配適條件：</w:t>
      </w:r>
    </w:p>
    <w:p w14:paraId="1042511A"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C7208AE"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6C8A9CB4" w14:textId="77777777" w:rsidR="00985E70" w:rsidRDefault="001A6EE8" w:rsidP="00985E70">
      <w:pPr>
        <w:spacing w:before="180" w:after="180"/>
        <w:ind w:firstLine="480"/>
      </w:pPr>
      <w:r w:rsidRPr="001A6EE8">
        <w:t>第二種方法則採用兩個接合點，直接比較密度函數值：</w:t>
      </w:r>
    </w:p>
    <w:p w14:paraId="430DCA4B" w14:textId="1B60EC3D" w:rsidR="00985E70" w:rsidRDefault="001A6EE8" w:rsidP="00985E70">
      <w:pPr>
        <w:pStyle w:val="a5"/>
        <w:numPr>
          <w:ilvl w:val="0"/>
          <w:numId w:val="20"/>
        </w:numPr>
        <w:spacing w:before="180" w:after="180"/>
        <w:ind w:leftChars="0" w:firstLineChars="0"/>
      </w:pPr>
      <w:r w:rsidRPr="001A6EE8">
        <w:lastRenderedPageBreak/>
        <w:t>在第一個接合點處，</w:t>
      </w:r>
      <w:r w:rsidRPr="001A6EE8">
        <w:t>GPD</w:t>
      </w:r>
      <w:r w:rsidRPr="001A6EE8">
        <w:t>的密度函數值必須等於</w:t>
      </w:r>
      <w:r w:rsidRPr="001A6EE8">
        <w:t>RND</w:t>
      </w:r>
      <w:r w:rsidRPr="001A6EE8">
        <w:t>的密度函數值</w:t>
      </w:r>
    </w:p>
    <w:p w14:paraId="51EB8AD9" w14:textId="18244018" w:rsidR="001A6EE8" w:rsidRPr="001A6EE8" w:rsidRDefault="001A6EE8" w:rsidP="00985E70">
      <w:pPr>
        <w:pStyle w:val="a5"/>
        <w:numPr>
          <w:ilvl w:val="0"/>
          <w:numId w:val="20"/>
        </w:numPr>
        <w:spacing w:before="180" w:after="180"/>
        <w:ind w:leftChars="0" w:firstLineChars="0"/>
      </w:pPr>
      <w:r w:rsidRPr="001A6EE8">
        <w:t>在第二個接合點處，</w:t>
      </w:r>
      <w:r w:rsidRPr="001A6EE8">
        <w:t>GPD</w:t>
      </w:r>
      <w:r w:rsidRPr="001A6EE8">
        <w:t>的密度函數值必須等於</w:t>
      </w:r>
      <w:r w:rsidRPr="001A6EE8">
        <w:t>RND</w:t>
      </w:r>
      <w:r w:rsidRPr="001A6EE8">
        <w:t>的密度函數值。</w:t>
      </w:r>
    </w:p>
    <w:p w14:paraId="3EF30373" w14:textId="5E873871"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的點作為第一接合點，</w:t>
      </w:r>
      <w:r w:rsidRPr="001A6EE8">
        <w:t>2%</w:t>
      </w:r>
      <w:r w:rsidRPr="001A6EE8">
        <w:t>作為第二接合點；對於右尾，則選擇累積機率為</w:t>
      </w:r>
      <w:r w:rsidRPr="001A6EE8">
        <w:t>95%</w:t>
      </w:r>
      <w:r w:rsidRPr="001A6EE8">
        <w:t>的點作為第一接合點，</w:t>
      </w:r>
      <w:r w:rsidRPr="001A6EE8">
        <w:t>98%</w:t>
      </w:r>
      <w:r w:rsidRPr="001A6EE8">
        <w:t>作為第二接合點。此設計能確保尾部配適的平滑性，同時保持整體分布的連續性。為了最小化配適誤差，本研究採用最小平方法進行參數估計，透過數值優化方法求解</w:t>
      </w:r>
      <w:r w:rsidRPr="001A6EE8">
        <w:t>GPD</w:t>
      </w:r>
      <w:r w:rsidRPr="001A6EE8">
        <w:t>的形狀參數（</w:t>
      </w:r>
      <w:r w:rsidRPr="001A6EE8">
        <w:t>ξ</w:t>
      </w:r>
      <w:r w:rsidRPr="001A6EE8">
        <w:t>）與尺度參數（</w:t>
      </w:r>
      <w:r w:rsidRPr="001A6EE8">
        <w:t>σ</w:t>
      </w:r>
      <w:r w:rsidRPr="001A6EE8">
        <w:t>）。此方法不僅能確保配適結果的準確性，也能維持整體分布的連續性與平滑性。</w:t>
      </w:r>
    </w:p>
    <w:p w14:paraId="3D53A646" w14:textId="6AAA85B0" w:rsidR="00A70ECC" w:rsidRDefault="00A70ECC" w:rsidP="00A70ECC">
      <w:pPr>
        <w:pStyle w:val="aa"/>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12C9ECA9" w14:textId="080AA1D6" w:rsidR="00A70ECC" w:rsidRDefault="00A70ECC" w:rsidP="00A70ECC">
      <w:pPr>
        <w:pStyle w:val="aa"/>
        <w:spacing w:before="180" w:after="180"/>
        <w:rPr>
          <w:rFonts w:hint="eastAsia"/>
        </w:rPr>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16B932D4" w14:textId="742605C3" w:rsidR="00A70ECC" w:rsidRDefault="00A70ECC" w:rsidP="00A70ECC">
      <w:pPr>
        <w:pStyle w:val="aa"/>
        <w:spacing w:before="180" w:after="180"/>
      </w:pPr>
      <w:r w:rsidRPr="00A70ECC">
        <w:drawing>
          <wp:inline distT="0" distB="0" distL="0" distR="0" wp14:anchorId="71B807CB" wp14:editId="755DE315">
            <wp:extent cx="4680000" cy="3154487"/>
            <wp:effectExtent l="0" t="0" r="6350" b="8255"/>
            <wp:docPr id="179913735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7356" name="圖片 1" descr="一張含有 文字, 螢幕擷取畫面, 行, 繪圖 的圖片&#10;&#10;自動產生的描述"/>
                    <pic:cNvPicPr/>
                  </pic:nvPicPr>
                  <pic:blipFill>
                    <a:blip r:embed="rId27"/>
                    <a:stretch>
                      <a:fillRect/>
                    </a:stretch>
                  </pic:blipFill>
                  <pic:spPr>
                    <a:xfrm>
                      <a:off x="0" y="0"/>
                      <a:ext cx="4680000" cy="3154487"/>
                    </a:xfrm>
                    <a:prstGeom prst="rect">
                      <a:avLst/>
                    </a:prstGeom>
                  </pic:spPr>
                </pic:pic>
              </a:graphicData>
            </a:graphic>
          </wp:inline>
        </w:drawing>
      </w:r>
    </w:p>
    <w:p w14:paraId="29C809D9" w14:textId="382E70CE" w:rsidR="00A70ECC" w:rsidRPr="001A6EE8" w:rsidRDefault="00A70ECC" w:rsidP="00A70ECC">
      <w:pPr>
        <w:pStyle w:val="aa"/>
        <w:spacing w:before="180" w:after="180"/>
        <w:rPr>
          <w:rFonts w:hint="eastAsia"/>
        </w:rPr>
      </w:pPr>
      <w:r w:rsidRPr="00A70ECC">
        <w:lastRenderedPageBreak/>
        <w:drawing>
          <wp:inline distT="0" distB="0" distL="0" distR="0" wp14:anchorId="68AA6946" wp14:editId="5EE0E6EE">
            <wp:extent cx="4680000" cy="3022959"/>
            <wp:effectExtent l="0" t="0" r="6350" b="6350"/>
            <wp:docPr id="103684534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5340"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1" w:name="_Toc182815181"/>
      <w:r>
        <w:rPr>
          <w:rFonts w:hint="eastAsia"/>
        </w:rPr>
        <w:lastRenderedPageBreak/>
        <w:t>第五章、</w:t>
      </w:r>
      <w:bookmarkEnd w:id="21"/>
      <w:r w:rsidR="00404225">
        <w:rPr>
          <w:rFonts w:hint="eastAsia"/>
        </w:rPr>
        <w:t>實證結果分析</w:t>
      </w:r>
    </w:p>
    <w:p w14:paraId="001FD9AD" w14:textId="40CACEDD" w:rsidR="0012721A" w:rsidRDefault="00EC4CA2" w:rsidP="00404225">
      <w:pPr>
        <w:spacing w:before="180" w:after="180"/>
        <w:ind w:firstLine="480"/>
        <w:rPr>
          <w:b/>
          <w:bCs/>
          <w:color w:val="ED7D31" w:themeColor="accent2"/>
        </w:rPr>
      </w:pPr>
      <w:r w:rsidRPr="00EC4CA2">
        <w:rPr>
          <w:rFonts w:hint="eastAsia"/>
          <w:b/>
          <w:bCs/>
          <w:color w:val="ED7D31" w:themeColor="accent2"/>
        </w:rPr>
        <w:t>參考</w:t>
      </w:r>
      <w:r w:rsidRPr="00EC4CA2">
        <w:rPr>
          <w:rFonts w:hint="eastAsia"/>
          <w:b/>
          <w:bCs/>
          <w:color w:val="ED7D31" w:themeColor="accent2"/>
        </w:rPr>
        <w:t>GPD</w:t>
      </w:r>
      <w:r w:rsidRPr="00EC4CA2">
        <w:rPr>
          <w:rFonts w:hint="eastAsia"/>
          <w:b/>
          <w:bCs/>
          <w:color w:val="ED7D31" w:themeColor="accent2"/>
        </w:rPr>
        <w:t>那篇論文、</w:t>
      </w:r>
      <w:r w:rsidRPr="00EC4CA2">
        <w:rPr>
          <w:rFonts w:hint="eastAsia"/>
          <w:b/>
          <w:bCs/>
          <w:color w:val="ED7D31" w:themeColor="accent2"/>
        </w:rPr>
        <w:t>Jackwerth</w:t>
      </w:r>
      <w:r w:rsidRPr="00EC4CA2">
        <w:rPr>
          <w:rFonts w:hint="eastAsia"/>
          <w:b/>
          <w:bCs/>
          <w:color w:val="ED7D31" w:themeColor="accent2"/>
        </w:rPr>
        <w:t>、韻軒學姐</w:t>
      </w:r>
    </w:p>
    <w:p w14:paraId="0A80140A" w14:textId="6C031A39" w:rsidR="00EC4CA2" w:rsidRDefault="00EC4CA2" w:rsidP="00404225">
      <w:pPr>
        <w:spacing w:before="180" w:after="180"/>
        <w:ind w:firstLine="480"/>
        <w:rPr>
          <w:b/>
          <w:bCs/>
          <w:color w:val="ED7D31" w:themeColor="accent2"/>
        </w:rPr>
      </w:pPr>
      <w:r>
        <w:rPr>
          <w:rFonts w:hint="eastAsia"/>
          <w:b/>
          <w:bCs/>
          <w:color w:val="ED7D31" w:themeColor="accent2"/>
        </w:rPr>
        <w:t>兩個方法有什麼異同？</w:t>
      </w:r>
    </w:p>
    <w:p w14:paraId="1E29C18E" w14:textId="5B3BF8C6" w:rsidR="00EC4CA2" w:rsidRDefault="00EC4CA2" w:rsidP="00404225">
      <w:pPr>
        <w:spacing w:before="180" w:after="180"/>
        <w:ind w:firstLine="480"/>
        <w:rPr>
          <w:b/>
          <w:bCs/>
          <w:color w:val="ED7D31" w:themeColor="accent2"/>
        </w:rPr>
      </w:pPr>
      <w:r>
        <w:rPr>
          <w:rFonts w:hint="eastAsia"/>
          <w:b/>
          <w:bCs/>
          <w:color w:val="ED7D31" w:themeColor="accent2"/>
        </w:rPr>
        <w:t>比較</w:t>
      </w:r>
      <w:r w:rsidR="00151470">
        <w:rPr>
          <w:rFonts w:hint="eastAsia"/>
          <w:b/>
          <w:bCs/>
          <w:color w:val="ED7D31" w:themeColor="accent2"/>
        </w:rPr>
        <w:t>實際買權價格</w:t>
      </w:r>
      <w:r>
        <w:rPr>
          <w:rFonts w:hint="eastAsia"/>
          <w:b/>
          <w:bCs/>
          <w:color w:val="ED7D31" w:themeColor="accent2"/>
        </w:rPr>
        <w:t>差異</w:t>
      </w:r>
    </w:p>
    <w:p w14:paraId="2336B26B" w14:textId="734E2175" w:rsidR="00A96F87" w:rsidRPr="00EC4CA2" w:rsidRDefault="00A96F87" w:rsidP="00404225">
      <w:pPr>
        <w:spacing w:before="180" w:after="180"/>
        <w:ind w:firstLine="480"/>
        <w:rPr>
          <w:b/>
          <w:bCs/>
          <w:color w:val="ED7D31" w:themeColor="accent2"/>
        </w:rPr>
      </w:pPr>
      <w:r>
        <w:rPr>
          <w:rFonts w:hint="eastAsia"/>
          <w:b/>
          <w:bCs/>
          <w:color w:val="ED7D31" w:themeColor="accent2"/>
        </w:rPr>
        <w:t>跑每天的迴歸，找每天</w:t>
      </w:r>
      <w:r>
        <w:rPr>
          <w:rFonts w:hint="eastAsia"/>
          <w:b/>
          <w:bCs/>
          <w:color w:val="ED7D31" w:themeColor="accent2"/>
        </w:rPr>
        <w:t>RND</w:t>
      </w:r>
      <w:r>
        <w:rPr>
          <w:rFonts w:hint="eastAsia"/>
          <w:b/>
          <w:bCs/>
          <w:color w:val="ED7D31" w:themeColor="accent2"/>
        </w:rPr>
        <w:t>的</w:t>
      </w:r>
      <w:r>
        <w:rPr>
          <w:rFonts w:hint="eastAsia"/>
          <w:b/>
          <w:bCs/>
          <w:color w:val="ED7D31" w:themeColor="accent2"/>
        </w:rPr>
        <w:t>std, skewness, kurtosis</w:t>
      </w:r>
    </w:p>
    <w:p w14:paraId="3087C4F3" w14:textId="194B2A13" w:rsidR="00404225" w:rsidRDefault="00404225">
      <w:pPr>
        <w:widowControl/>
        <w:spacing w:before="180" w:after="180" w:line="240" w:lineRule="auto"/>
        <w:ind w:firstLineChars="0" w:firstLine="0"/>
        <w:jc w:val="left"/>
      </w:pPr>
      <w:r>
        <w:br w:type="page"/>
      </w:r>
    </w:p>
    <w:p w14:paraId="2C1F7C6F" w14:textId="58B9D0BA" w:rsidR="00CE12CA" w:rsidRDefault="0073610D" w:rsidP="00404225">
      <w:pPr>
        <w:pStyle w:val="1"/>
        <w:spacing w:before="180" w:after="180"/>
      </w:pPr>
      <w:bookmarkStart w:id="22" w:name="_Toc182815183"/>
      <w:r>
        <w:rPr>
          <w:rFonts w:hint="eastAsia"/>
        </w:rPr>
        <w:lastRenderedPageBreak/>
        <w:t>參考文獻</w:t>
      </w:r>
      <w:bookmarkEnd w:id="22"/>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61637" w14:textId="77777777" w:rsidR="002A396E" w:rsidRDefault="002A396E" w:rsidP="001C4CCF">
      <w:pPr>
        <w:spacing w:before="120" w:after="120" w:line="240" w:lineRule="auto"/>
        <w:ind w:firstLine="480"/>
      </w:pPr>
      <w:r>
        <w:separator/>
      </w:r>
    </w:p>
  </w:endnote>
  <w:endnote w:type="continuationSeparator" w:id="0">
    <w:p w14:paraId="38BCED3D" w14:textId="77777777" w:rsidR="002A396E" w:rsidRDefault="002A396E"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6A63B" w14:textId="77777777" w:rsidR="002A396E" w:rsidRDefault="002A396E" w:rsidP="001C4CCF">
      <w:pPr>
        <w:spacing w:before="120" w:after="120" w:line="240" w:lineRule="auto"/>
        <w:ind w:firstLine="480"/>
      </w:pPr>
      <w:r>
        <w:separator/>
      </w:r>
    </w:p>
  </w:footnote>
  <w:footnote w:type="continuationSeparator" w:id="0">
    <w:p w14:paraId="25D76A67" w14:textId="77777777" w:rsidR="002A396E" w:rsidRDefault="002A396E"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sidR="00FF392E">
          <w:rPr>
            <w:rStyle w:val="af4"/>
          </w:rPr>
          <w:t>https://www.deribit.com/</w:t>
        </w:r>
      </w:hyperlink>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3751F5D9" w14:textId="31ED9626" w:rsidR="006A639C" w:rsidRDefault="006A639C">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19"/>
  </w:num>
  <w:num w:numId="2" w16cid:durableId="396368862">
    <w:abstractNumId w:val="16"/>
  </w:num>
  <w:num w:numId="3" w16cid:durableId="164177961">
    <w:abstractNumId w:val="11"/>
  </w:num>
  <w:num w:numId="4" w16cid:durableId="1695351208">
    <w:abstractNumId w:val="18"/>
  </w:num>
  <w:num w:numId="5" w16cid:durableId="1314259761">
    <w:abstractNumId w:val="14"/>
  </w:num>
  <w:num w:numId="6" w16cid:durableId="1586499273">
    <w:abstractNumId w:val="10"/>
  </w:num>
  <w:num w:numId="7" w16cid:durableId="1924871501">
    <w:abstractNumId w:val="17"/>
  </w:num>
  <w:num w:numId="8" w16cid:durableId="2020084510">
    <w:abstractNumId w:val="8"/>
  </w:num>
  <w:num w:numId="9" w16cid:durableId="84423681">
    <w:abstractNumId w:val="2"/>
  </w:num>
  <w:num w:numId="10" w16cid:durableId="833880678">
    <w:abstractNumId w:val="5"/>
  </w:num>
  <w:num w:numId="11" w16cid:durableId="1789004280">
    <w:abstractNumId w:val="12"/>
  </w:num>
  <w:num w:numId="12" w16cid:durableId="1722898519">
    <w:abstractNumId w:val="6"/>
  </w:num>
  <w:num w:numId="13" w16cid:durableId="962811505">
    <w:abstractNumId w:val="9"/>
  </w:num>
  <w:num w:numId="14" w16cid:durableId="1621257747">
    <w:abstractNumId w:val="15"/>
  </w:num>
  <w:num w:numId="15" w16cid:durableId="1069961925">
    <w:abstractNumId w:val="13"/>
  </w:num>
  <w:num w:numId="16" w16cid:durableId="1538084520">
    <w:abstractNumId w:val="1"/>
  </w:num>
  <w:num w:numId="17" w16cid:durableId="1553735742">
    <w:abstractNumId w:val="0"/>
  </w:num>
  <w:num w:numId="18" w16cid:durableId="865992748">
    <w:abstractNumId w:val="7"/>
  </w:num>
  <w:num w:numId="19" w16cid:durableId="1331524736">
    <w:abstractNumId w:val="3"/>
  </w:num>
  <w:num w:numId="20" w16cid:durableId="2005157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30F3D"/>
    <w:rsid w:val="00031B9B"/>
    <w:rsid w:val="00032567"/>
    <w:rsid w:val="000371D9"/>
    <w:rsid w:val="00040BE8"/>
    <w:rsid w:val="00044F9A"/>
    <w:rsid w:val="00046AD7"/>
    <w:rsid w:val="000514EA"/>
    <w:rsid w:val="00052FE1"/>
    <w:rsid w:val="00053374"/>
    <w:rsid w:val="00056AB0"/>
    <w:rsid w:val="0007168F"/>
    <w:rsid w:val="00074155"/>
    <w:rsid w:val="0008389B"/>
    <w:rsid w:val="00084FEA"/>
    <w:rsid w:val="0009304E"/>
    <w:rsid w:val="000A6DD5"/>
    <w:rsid w:val="000B2681"/>
    <w:rsid w:val="000B35CE"/>
    <w:rsid w:val="000B7B11"/>
    <w:rsid w:val="000C67BD"/>
    <w:rsid w:val="000E0357"/>
    <w:rsid w:val="000E34B5"/>
    <w:rsid w:val="000E4C3D"/>
    <w:rsid w:val="000E51BD"/>
    <w:rsid w:val="000E56AA"/>
    <w:rsid w:val="000E6321"/>
    <w:rsid w:val="000F11D8"/>
    <w:rsid w:val="000F5196"/>
    <w:rsid w:val="0010376E"/>
    <w:rsid w:val="00110614"/>
    <w:rsid w:val="0011729B"/>
    <w:rsid w:val="0012177C"/>
    <w:rsid w:val="00122FA0"/>
    <w:rsid w:val="00124244"/>
    <w:rsid w:val="0012601A"/>
    <w:rsid w:val="0012631B"/>
    <w:rsid w:val="0012721A"/>
    <w:rsid w:val="00142AC2"/>
    <w:rsid w:val="001435BB"/>
    <w:rsid w:val="00151470"/>
    <w:rsid w:val="00162422"/>
    <w:rsid w:val="00175851"/>
    <w:rsid w:val="0017684B"/>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E1E99"/>
    <w:rsid w:val="001F069E"/>
    <w:rsid w:val="001F1765"/>
    <w:rsid w:val="00205D84"/>
    <w:rsid w:val="00206F16"/>
    <w:rsid w:val="002116B3"/>
    <w:rsid w:val="00213679"/>
    <w:rsid w:val="00213E82"/>
    <w:rsid w:val="00220B8F"/>
    <w:rsid w:val="00221976"/>
    <w:rsid w:val="002241FA"/>
    <w:rsid w:val="00224FF9"/>
    <w:rsid w:val="00225C55"/>
    <w:rsid w:val="00235F9F"/>
    <w:rsid w:val="00236D2C"/>
    <w:rsid w:val="0024171A"/>
    <w:rsid w:val="002451AB"/>
    <w:rsid w:val="00250604"/>
    <w:rsid w:val="002549B3"/>
    <w:rsid w:val="00257875"/>
    <w:rsid w:val="0026154C"/>
    <w:rsid w:val="0026420B"/>
    <w:rsid w:val="00265CDD"/>
    <w:rsid w:val="0027238B"/>
    <w:rsid w:val="00274E81"/>
    <w:rsid w:val="00275C2A"/>
    <w:rsid w:val="002812B7"/>
    <w:rsid w:val="0028185C"/>
    <w:rsid w:val="00283E30"/>
    <w:rsid w:val="00290B69"/>
    <w:rsid w:val="002914A5"/>
    <w:rsid w:val="002A2A2A"/>
    <w:rsid w:val="002A396E"/>
    <w:rsid w:val="002C02EC"/>
    <w:rsid w:val="002C32E3"/>
    <w:rsid w:val="002D44E0"/>
    <w:rsid w:val="002D4E7E"/>
    <w:rsid w:val="002E7B1A"/>
    <w:rsid w:val="002F31B5"/>
    <w:rsid w:val="00305489"/>
    <w:rsid w:val="003145D8"/>
    <w:rsid w:val="00321AF4"/>
    <w:rsid w:val="0032294F"/>
    <w:rsid w:val="00323AF2"/>
    <w:rsid w:val="00346E16"/>
    <w:rsid w:val="00353420"/>
    <w:rsid w:val="00354949"/>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89"/>
    <w:rsid w:val="00560A40"/>
    <w:rsid w:val="0056376C"/>
    <w:rsid w:val="005670CD"/>
    <w:rsid w:val="0057431E"/>
    <w:rsid w:val="00582167"/>
    <w:rsid w:val="005830E5"/>
    <w:rsid w:val="005855DB"/>
    <w:rsid w:val="005A1503"/>
    <w:rsid w:val="005A4D09"/>
    <w:rsid w:val="005A6321"/>
    <w:rsid w:val="005A76A0"/>
    <w:rsid w:val="005B1DEE"/>
    <w:rsid w:val="005B25EF"/>
    <w:rsid w:val="005C0960"/>
    <w:rsid w:val="005D15A4"/>
    <w:rsid w:val="005D344F"/>
    <w:rsid w:val="005E059C"/>
    <w:rsid w:val="005E4298"/>
    <w:rsid w:val="005E5DE9"/>
    <w:rsid w:val="005E7638"/>
    <w:rsid w:val="005F66D1"/>
    <w:rsid w:val="00601A99"/>
    <w:rsid w:val="00601FDB"/>
    <w:rsid w:val="00604130"/>
    <w:rsid w:val="00604430"/>
    <w:rsid w:val="00610A0B"/>
    <w:rsid w:val="00613C88"/>
    <w:rsid w:val="006235BB"/>
    <w:rsid w:val="0062587E"/>
    <w:rsid w:val="00626099"/>
    <w:rsid w:val="00631166"/>
    <w:rsid w:val="00645DB1"/>
    <w:rsid w:val="006467BB"/>
    <w:rsid w:val="00646BB2"/>
    <w:rsid w:val="006476CE"/>
    <w:rsid w:val="006527EC"/>
    <w:rsid w:val="0065282E"/>
    <w:rsid w:val="00653CFB"/>
    <w:rsid w:val="00654B34"/>
    <w:rsid w:val="00657271"/>
    <w:rsid w:val="00657B1F"/>
    <w:rsid w:val="00666B54"/>
    <w:rsid w:val="006746B2"/>
    <w:rsid w:val="00676CC7"/>
    <w:rsid w:val="00681D11"/>
    <w:rsid w:val="00682CB2"/>
    <w:rsid w:val="00683DC9"/>
    <w:rsid w:val="00684849"/>
    <w:rsid w:val="006A058E"/>
    <w:rsid w:val="006A08C1"/>
    <w:rsid w:val="006A2B39"/>
    <w:rsid w:val="006A2DA5"/>
    <w:rsid w:val="006A639C"/>
    <w:rsid w:val="006B09C7"/>
    <w:rsid w:val="006B50EE"/>
    <w:rsid w:val="006B5E4E"/>
    <w:rsid w:val="006C5FDE"/>
    <w:rsid w:val="006C70DC"/>
    <w:rsid w:val="006D399C"/>
    <w:rsid w:val="006E13A6"/>
    <w:rsid w:val="006F2A22"/>
    <w:rsid w:val="00701E33"/>
    <w:rsid w:val="00705918"/>
    <w:rsid w:val="0070684E"/>
    <w:rsid w:val="00710703"/>
    <w:rsid w:val="00716605"/>
    <w:rsid w:val="00716965"/>
    <w:rsid w:val="00717A90"/>
    <w:rsid w:val="00717F46"/>
    <w:rsid w:val="00720E4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7D31"/>
    <w:rsid w:val="00791C43"/>
    <w:rsid w:val="00791EA7"/>
    <w:rsid w:val="007950D0"/>
    <w:rsid w:val="007A6E58"/>
    <w:rsid w:val="007C0373"/>
    <w:rsid w:val="007C4ECD"/>
    <w:rsid w:val="007C6E8A"/>
    <w:rsid w:val="007C6F2E"/>
    <w:rsid w:val="007D6678"/>
    <w:rsid w:val="007E1E54"/>
    <w:rsid w:val="007E66F6"/>
    <w:rsid w:val="007E75C0"/>
    <w:rsid w:val="007F292A"/>
    <w:rsid w:val="007F2CA7"/>
    <w:rsid w:val="007F37F0"/>
    <w:rsid w:val="007F74DE"/>
    <w:rsid w:val="00801AAB"/>
    <w:rsid w:val="00803D78"/>
    <w:rsid w:val="00804DA0"/>
    <w:rsid w:val="00806122"/>
    <w:rsid w:val="00806786"/>
    <w:rsid w:val="0081184A"/>
    <w:rsid w:val="0081515F"/>
    <w:rsid w:val="00816A1B"/>
    <w:rsid w:val="00817714"/>
    <w:rsid w:val="008214E7"/>
    <w:rsid w:val="0082413A"/>
    <w:rsid w:val="00830EEC"/>
    <w:rsid w:val="008503EB"/>
    <w:rsid w:val="00852AA5"/>
    <w:rsid w:val="00853AEB"/>
    <w:rsid w:val="00865287"/>
    <w:rsid w:val="00870186"/>
    <w:rsid w:val="008751EC"/>
    <w:rsid w:val="00875BFD"/>
    <w:rsid w:val="0088017E"/>
    <w:rsid w:val="00882547"/>
    <w:rsid w:val="00886807"/>
    <w:rsid w:val="00890FE8"/>
    <w:rsid w:val="008A610B"/>
    <w:rsid w:val="008B3FDC"/>
    <w:rsid w:val="008B468E"/>
    <w:rsid w:val="008C1437"/>
    <w:rsid w:val="008C4933"/>
    <w:rsid w:val="008D031B"/>
    <w:rsid w:val="008D080D"/>
    <w:rsid w:val="008D6AEC"/>
    <w:rsid w:val="008E1AF4"/>
    <w:rsid w:val="008E3193"/>
    <w:rsid w:val="008E3E9E"/>
    <w:rsid w:val="008E5DE5"/>
    <w:rsid w:val="008F14ED"/>
    <w:rsid w:val="00900D70"/>
    <w:rsid w:val="009039FA"/>
    <w:rsid w:val="00906EB0"/>
    <w:rsid w:val="00907B6B"/>
    <w:rsid w:val="00910484"/>
    <w:rsid w:val="0091402F"/>
    <w:rsid w:val="0091593D"/>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92A58"/>
    <w:rsid w:val="00994121"/>
    <w:rsid w:val="009A24CB"/>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50D4D"/>
    <w:rsid w:val="00A644AA"/>
    <w:rsid w:val="00A66B01"/>
    <w:rsid w:val="00A70A1B"/>
    <w:rsid w:val="00A70ECC"/>
    <w:rsid w:val="00A710BF"/>
    <w:rsid w:val="00A8621D"/>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11D41"/>
    <w:rsid w:val="00B14E00"/>
    <w:rsid w:val="00B162E6"/>
    <w:rsid w:val="00B20A25"/>
    <w:rsid w:val="00B21E34"/>
    <w:rsid w:val="00B3145E"/>
    <w:rsid w:val="00B348B8"/>
    <w:rsid w:val="00B377A6"/>
    <w:rsid w:val="00B40CFC"/>
    <w:rsid w:val="00B4199B"/>
    <w:rsid w:val="00B42346"/>
    <w:rsid w:val="00B47E73"/>
    <w:rsid w:val="00B519E3"/>
    <w:rsid w:val="00B5230A"/>
    <w:rsid w:val="00B53880"/>
    <w:rsid w:val="00B565B1"/>
    <w:rsid w:val="00B60CD3"/>
    <w:rsid w:val="00B61431"/>
    <w:rsid w:val="00B6390B"/>
    <w:rsid w:val="00B665F4"/>
    <w:rsid w:val="00B66B76"/>
    <w:rsid w:val="00B86AE6"/>
    <w:rsid w:val="00B9105A"/>
    <w:rsid w:val="00BA0521"/>
    <w:rsid w:val="00BA0540"/>
    <w:rsid w:val="00BA4DE9"/>
    <w:rsid w:val="00BA74F6"/>
    <w:rsid w:val="00BA7CF4"/>
    <w:rsid w:val="00BC378B"/>
    <w:rsid w:val="00BD06D2"/>
    <w:rsid w:val="00BD071F"/>
    <w:rsid w:val="00BF0B1C"/>
    <w:rsid w:val="00BF138D"/>
    <w:rsid w:val="00BF32FB"/>
    <w:rsid w:val="00BF4AA0"/>
    <w:rsid w:val="00C04D35"/>
    <w:rsid w:val="00C1570D"/>
    <w:rsid w:val="00C23924"/>
    <w:rsid w:val="00C276F9"/>
    <w:rsid w:val="00C30021"/>
    <w:rsid w:val="00C34BB2"/>
    <w:rsid w:val="00C40C3F"/>
    <w:rsid w:val="00C451F7"/>
    <w:rsid w:val="00C52650"/>
    <w:rsid w:val="00C54885"/>
    <w:rsid w:val="00C605B8"/>
    <w:rsid w:val="00C61AE1"/>
    <w:rsid w:val="00C7394B"/>
    <w:rsid w:val="00C7484F"/>
    <w:rsid w:val="00C849DF"/>
    <w:rsid w:val="00C84D8E"/>
    <w:rsid w:val="00C84F89"/>
    <w:rsid w:val="00C86AA3"/>
    <w:rsid w:val="00C873F8"/>
    <w:rsid w:val="00C96DE9"/>
    <w:rsid w:val="00CA36F0"/>
    <w:rsid w:val="00CA4918"/>
    <w:rsid w:val="00CB31CF"/>
    <w:rsid w:val="00CB7A0C"/>
    <w:rsid w:val="00CC1EDD"/>
    <w:rsid w:val="00CC2AA8"/>
    <w:rsid w:val="00CC4CB8"/>
    <w:rsid w:val="00CC7872"/>
    <w:rsid w:val="00CD7500"/>
    <w:rsid w:val="00CE12CA"/>
    <w:rsid w:val="00CE50A4"/>
    <w:rsid w:val="00CE7B4A"/>
    <w:rsid w:val="00CF650B"/>
    <w:rsid w:val="00CF65C5"/>
    <w:rsid w:val="00D01F9A"/>
    <w:rsid w:val="00D052BF"/>
    <w:rsid w:val="00D0543D"/>
    <w:rsid w:val="00D06B02"/>
    <w:rsid w:val="00D137AD"/>
    <w:rsid w:val="00D20BE4"/>
    <w:rsid w:val="00D25173"/>
    <w:rsid w:val="00D43390"/>
    <w:rsid w:val="00D46F4D"/>
    <w:rsid w:val="00D5107F"/>
    <w:rsid w:val="00D53CDB"/>
    <w:rsid w:val="00D57591"/>
    <w:rsid w:val="00D577EB"/>
    <w:rsid w:val="00D63026"/>
    <w:rsid w:val="00D638B5"/>
    <w:rsid w:val="00D64CE5"/>
    <w:rsid w:val="00D67F91"/>
    <w:rsid w:val="00D71F61"/>
    <w:rsid w:val="00D72805"/>
    <w:rsid w:val="00D72F07"/>
    <w:rsid w:val="00D75654"/>
    <w:rsid w:val="00D859BC"/>
    <w:rsid w:val="00D8601D"/>
    <w:rsid w:val="00D93BDB"/>
    <w:rsid w:val="00D960EA"/>
    <w:rsid w:val="00DA497E"/>
    <w:rsid w:val="00DA5AA9"/>
    <w:rsid w:val="00DA6A69"/>
    <w:rsid w:val="00DB10C1"/>
    <w:rsid w:val="00DB7417"/>
    <w:rsid w:val="00DC5D5F"/>
    <w:rsid w:val="00DD2DBC"/>
    <w:rsid w:val="00DD6901"/>
    <w:rsid w:val="00DE06FF"/>
    <w:rsid w:val="00DE318B"/>
    <w:rsid w:val="00DE3699"/>
    <w:rsid w:val="00DF7014"/>
    <w:rsid w:val="00E06DB1"/>
    <w:rsid w:val="00E20F97"/>
    <w:rsid w:val="00E21AD3"/>
    <w:rsid w:val="00E24A26"/>
    <w:rsid w:val="00E25CCC"/>
    <w:rsid w:val="00E410D8"/>
    <w:rsid w:val="00E453C8"/>
    <w:rsid w:val="00E459AE"/>
    <w:rsid w:val="00E52D5F"/>
    <w:rsid w:val="00E5598D"/>
    <w:rsid w:val="00E60DAF"/>
    <w:rsid w:val="00E6602F"/>
    <w:rsid w:val="00E67017"/>
    <w:rsid w:val="00E673AD"/>
    <w:rsid w:val="00E743A6"/>
    <w:rsid w:val="00E74967"/>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B8D"/>
    <w:rsid w:val="00F0399E"/>
    <w:rsid w:val="00F03E10"/>
    <w:rsid w:val="00F0423B"/>
    <w:rsid w:val="00F145BE"/>
    <w:rsid w:val="00F276FE"/>
    <w:rsid w:val="00F362D1"/>
    <w:rsid w:val="00F36D4C"/>
    <w:rsid w:val="00F40883"/>
    <w:rsid w:val="00F4379F"/>
    <w:rsid w:val="00F54A2B"/>
    <w:rsid w:val="00F564B1"/>
    <w:rsid w:val="00F67FB5"/>
    <w:rsid w:val="00F7013E"/>
    <w:rsid w:val="00F70BCC"/>
    <w:rsid w:val="00F8525E"/>
    <w:rsid w:val="00F86E11"/>
    <w:rsid w:val="00F909BF"/>
    <w:rsid w:val="00F97637"/>
    <w:rsid w:val="00FA17A1"/>
    <w:rsid w:val="00FA3E79"/>
    <w:rsid w:val="00FA3EA0"/>
    <w:rsid w:val="00FA4B71"/>
    <w:rsid w:val="00FB218D"/>
    <w:rsid w:val="00FB3472"/>
    <w:rsid w:val="00FB35F3"/>
    <w:rsid w:val="00FC1861"/>
    <w:rsid w:val="00FC5180"/>
    <w:rsid w:val="00FC5782"/>
    <w:rsid w:val="00FD3081"/>
    <w:rsid w:val="00FD6825"/>
    <w:rsid w:val="00FE09E2"/>
    <w:rsid w:val="00FE47A7"/>
    <w:rsid w:val="00FE59E1"/>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26</Pages>
  <Words>1487</Words>
  <Characters>8478</Characters>
  <Application>Microsoft Office Word</Application>
  <DocSecurity>0</DocSecurity>
  <Lines>70</Lines>
  <Paragraphs>19</Paragraphs>
  <ScaleCrop>false</ScaleCrop>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21</cp:revision>
  <cp:lastPrinted>2025-01-31T04:44:00Z</cp:lastPrinted>
  <dcterms:created xsi:type="dcterms:W3CDTF">2025-01-30T11:14:00Z</dcterms:created>
  <dcterms:modified xsi:type="dcterms:W3CDTF">2025-01-31T09:24:00Z</dcterms:modified>
</cp:coreProperties>
</file>