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0B4F8" w14:textId="77777777" w:rsidR="00875BFD" w:rsidRDefault="00875BFD" w:rsidP="001435BB">
      <w:pPr>
        <w:spacing w:before="180" w:after="180" w:line="240" w:lineRule="auto"/>
        <w:ind w:firstLine="961"/>
        <w:jc w:val="center"/>
        <w:rPr>
          <w:b/>
          <w:sz w:val="48"/>
        </w:rPr>
      </w:pPr>
    </w:p>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2B7CE"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2A3BBA1E" w14:textId="77777777" w:rsidR="00E923AC" w:rsidRDefault="00E923AC" w:rsidP="00E24A26">
      <w:pPr>
        <w:spacing w:beforeLines="0" w:before="0" w:afterLines="0" w:after="0"/>
        <w:ind w:firstLine="480"/>
      </w:pPr>
    </w:p>
    <w:p w14:paraId="76A8CBEC" w14:textId="77777777" w:rsidR="00E923AC" w:rsidRPr="00653CFB" w:rsidRDefault="00E923AC" w:rsidP="00E24A26">
      <w:pPr>
        <w:spacing w:beforeLines="0" w:before="0" w:afterLines="0" w:after="0"/>
        <w:ind w:firstLine="480"/>
      </w:pPr>
    </w:p>
    <w:p w14:paraId="793B9674" w14:textId="77777777" w:rsidR="00B565B1" w:rsidRDefault="00B565B1" w:rsidP="00E24A26">
      <w:pPr>
        <w:spacing w:beforeLines="0" w:before="0" w:afterLines="0" w:after="0"/>
        <w:ind w:firstLine="480"/>
      </w:pPr>
    </w:p>
    <w:p w14:paraId="66D4767C" w14:textId="2D4210E2" w:rsidR="00E923AC" w:rsidRPr="00B565B1" w:rsidRDefault="005568D9" w:rsidP="00E24A26">
      <w:pPr>
        <w:spacing w:beforeLines="0" w:before="0" w:afterLines="0" w:after="0" w:line="600" w:lineRule="auto"/>
        <w:ind w:firstLineChars="0" w:firstLine="0"/>
        <w:jc w:val="center"/>
        <w:rPr>
          <w:b/>
          <w:bCs/>
          <w:sz w:val="40"/>
        </w:rPr>
      </w:pPr>
      <w:r>
        <w:rPr>
          <w:rFonts w:hint="eastAsia"/>
          <w:b/>
          <w:bCs/>
          <w:sz w:val="40"/>
        </w:rPr>
        <w:t>XXXX</w:t>
      </w:r>
    </w:p>
    <w:p w14:paraId="7FD25E7E" w14:textId="77777777" w:rsidR="00E923AC" w:rsidRPr="005568D9" w:rsidRDefault="00E923AC" w:rsidP="00E24A26">
      <w:pPr>
        <w:spacing w:beforeLines="0" w:before="0" w:afterLines="0" w:after="0"/>
        <w:ind w:firstLineChars="0" w:firstLine="0"/>
        <w:rPr>
          <w:b/>
          <w:bCs/>
        </w:rPr>
      </w:pPr>
    </w:p>
    <w:p w14:paraId="7BB6B67B" w14:textId="77777777" w:rsidR="00E923AC" w:rsidRPr="00B565B1" w:rsidRDefault="00E923AC" w:rsidP="00E24A26">
      <w:pPr>
        <w:spacing w:beforeLines="0" w:before="0" w:afterLines="0" w:after="0"/>
        <w:ind w:firstLineChars="0" w:firstLine="0"/>
        <w:rPr>
          <w:b/>
          <w:bCs/>
        </w:rPr>
      </w:pPr>
    </w:p>
    <w:p w14:paraId="2B83938E" w14:textId="77777777" w:rsidR="00E923AC" w:rsidRPr="00B565B1" w:rsidRDefault="00E923AC" w:rsidP="00E24A26">
      <w:pPr>
        <w:spacing w:beforeLines="0" w:before="0" w:afterLines="0" w:after="0"/>
        <w:ind w:firstLineChars="0" w:firstLine="0"/>
        <w:rPr>
          <w:b/>
          <w:bCs/>
        </w:rPr>
      </w:pPr>
    </w:p>
    <w:p w14:paraId="18F75DDB" w14:textId="77777777" w:rsidR="00B14E00" w:rsidRPr="00B565B1" w:rsidRDefault="00B14E00" w:rsidP="00E24A26">
      <w:pPr>
        <w:spacing w:beforeLines="0" w:before="0" w:afterLines="0" w:after="0"/>
        <w:ind w:firstLineChars="0" w:firstLine="0"/>
        <w:rPr>
          <w:b/>
          <w:bCs/>
        </w:rPr>
      </w:pPr>
    </w:p>
    <w:p w14:paraId="71C086A0" w14:textId="01FAAFF0" w:rsidR="00E923AC" w:rsidRPr="00B565B1" w:rsidRDefault="00E923AC" w:rsidP="00E24A26">
      <w:pPr>
        <w:spacing w:beforeLines="0" w:before="0" w:afterLines="0" w:after="0" w:line="276" w:lineRule="auto"/>
        <w:ind w:leftChars="1100" w:left="2640" w:firstLineChars="0" w:firstLine="0"/>
        <w:jc w:val="left"/>
        <w:rPr>
          <w:b/>
          <w:bCs/>
          <w:sz w:val="36"/>
        </w:rPr>
      </w:pPr>
      <w:r w:rsidRPr="00875BFD">
        <w:rPr>
          <w:rFonts w:hint="eastAsia"/>
          <w:b/>
          <w:bCs/>
          <w:spacing w:val="90"/>
          <w:kern w:val="0"/>
          <w:sz w:val="36"/>
          <w:fitText w:val="1440" w:id="-879588608"/>
        </w:rPr>
        <w:t>研究</w:t>
      </w:r>
      <w:r w:rsidRPr="00875BFD">
        <w:rPr>
          <w:rFonts w:hint="eastAsia"/>
          <w:b/>
          <w:bCs/>
          <w:kern w:val="0"/>
          <w:sz w:val="36"/>
          <w:fitText w:val="1440" w:id="-879588608"/>
        </w:rPr>
        <w:t>生</w:t>
      </w:r>
      <w:r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7DC4A4B9" w14:textId="5EB23B55" w:rsidR="005568D9" w:rsidRPr="00B565B1" w:rsidRDefault="005568D9" w:rsidP="00E24A26">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0AA74F01" w14:textId="77777777" w:rsidR="00B14E00" w:rsidRDefault="00B14E00" w:rsidP="00E24A26">
      <w:pPr>
        <w:spacing w:beforeLines="0" w:before="0" w:afterLines="0" w:after="0"/>
        <w:ind w:firstLineChars="0" w:firstLine="0"/>
      </w:pPr>
    </w:p>
    <w:p w14:paraId="41B224CC" w14:textId="77777777" w:rsidR="00B14E00" w:rsidRDefault="00B14E00"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proofErr w:type="gramStart"/>
      <w:r>
        <w:rPr>
          <w:rFonts w:hint="eastAsia"/>
        </w:rPr>
        <w:lastRenderedPageBreak/>
        <w:t>誌</w:t>
      </w:r>
      <w:proofErr w:type="gramEnd"/>
      <w:r>
        <w:rPr>
          <w:rFonts w:hint="eastAsia"/>
        </w:rPr>
        <w:t>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0259F1A" w14:textId="1493679E" w:rsidR="0073610D" w:rsidRDefault="0073610D" w:rsidP="00404225">
      <w:pPr>
        <w:spacing w:before="180" w:after="180"/>
        <w:ind w:firstLine="480"/>
      </w:pP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3D3251D3" w:rsidR="0073610D" w:rsidRDefault="0073610D" w:rsidP="0073610D">
      <w:pPr>
        <w:pStyle w:val="1"/>
        <w:spacing w:before="180" w:after="180"/>
      </w:pPr>
      <w:bookmarkStart w:id="1" w:name="_Toc182815173"/>
      <w:r>
        <w:rPr>
          <w:rFonts w:hint="eastAsia"/>
        </w:rPr>
        <w:lastRenderedPageBreak/>
        <w:t>第二章、文獻探討</w:t>
      </w:r>
      <w:bookmarkEnd w:id="1"/>
    </w:p>
    <w:p w14:paraId="01199615" w14:textId="77777777" w:rsidR="00404225" w:rsidRDefault="00404225" w:rsidP="004F7EE0">
      <w:pPr>
        <w:spacing w:before="180" w:after="180"/>
        <w:ind w:firstLine="480"/>
      </w:pP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2" w:name="_Toc182815177"/>
      <w:r>
        <w:rPr>
          <w:rFonts w:hint="eastAsia"/>
        </w:rPr>
        <w:lastRenderedPageBreak/>
        <w:t>第三章、</w:t>
      </w:r>
      <w:bookmarkEnd w:id="2"/>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32D3CCD6" w14:textId="32EDDE7C" w:rsidR="00466389" w:rsidRDefault="00720E4C" w:rsidP="00720E4C">
      <w:pPr>
        <w:spacing w:before="180" w:after="180"/>
        <w:ind w:firstLine="480"/>
      </w:pPr>
      <w:r>
        <w:rPr>
          <w:rFonts w:hint="eastAsia"/>
        </w:rPr>
        <w:t>本</w:t>
      </w:r>
      <w:r w:rsidR="00B47E73">
        <w:rPr>
          <w:rFonts w:hint="eastAsia"/>
        </w:rPr>
        <w:t>研究</w:t>
      </w:r>
      <w:r w:rsidR="00496610">
        <w:rPr>
          <w:rFonts w:hint="eastAsia"/>
        </w:rPr>
        <w:t>之</w:t>
      </w:r>
      <w:r w:rsidR="000E51BD">
        <w:rPr>
          <w:rFonts w:hint="eastAsia"/>
        </w:rPr>
        <w:t>樣本採用</w:t>
      </w:r>
      <w:proofErr w:type="spellStart"/>
      <w:r>
        <w:rPr>
          <w:rFonts w:hint="eastAsia"/>
        </w:rPr>
        <w:t>Deribit</w:t>
      </w:r>
      <w:proofErr w:type="spellEnd"/>
      <w:r>
        <w:rPr>
          <w:rFonts w:hint="eastAsia"/>
        </w:rPr>
        <w:t>交易所</w:t>
      </w:r>
      <w:r w:rsidR="002A2A2A">
        <w:rPr>
          <w:rStyle w:val="af1"/>
        </w:rPr>
        <w:footnoteReference w:id="1"/>
      </w:r>
      <w:r w:rsidR="00900D70">
        <w:rPr>
          <w:rFonts w:hint="eastAsia"/>
        </w:rPr>
        <w:t>提供之</w:t>
      </w:r>
      <w:r w:rsidR="00F145BE">
        <w:rPr>
          <w:rFonts w:hint="eastAsia"/>
        </w:rPr>
        <w:t>比</w:t>
      </w:r>
      <w:proofErr w:type="gramStart"/>
      <w:r w:rsidR="00F145BE">
        <w:rPr>
          <w:rFonts w:hint="eastAsia"/>
        </w:rPr>
        <w:t>特</w:t>
      </w:r>
      <w:proofErr w:type="gramEnd"/>
      <w:r w:rsidR="00F145BE">
        <w:rPr>
          <w:rFonts w:hint="eastAsia"/>
        </w:rPr>
        <w:t>幣歐式現金結算選擇權歷史交易數據</w:t>
      </w:r>
      <w:r>
        <w:rPr>
          <w:rFonts w:hint="eastAsia"/>
        </w:rPr>
        <w:t>，</w:t>
      </w:r>
      <w:r w:rsidR="00387F38">
        <w:rPr>
          <w:rFonts w:hint="eastAsia"/>
        </w:rPr>
        <w:t>包含每日交易量、收盤價</w:t>
      </w:r>
      <w:r w:rsidR="00CB31CF">
        <w:rPr>
          <w:rFonts w:hint="eastAsia"/>
        </w:rPr>
        <w:t>、</w:t>
      </w:r>
      <w:r w:rsidR="00387F38">
        <w:rPr>
          <w:rFonts w:hint="eastAsia"/>
        </w:rPr>
        <w:t>隱含波動率</w:t>
      </w:r>
      <w:r w:rsidR="00CB31CF">
        <w:rPr>
          <w:rFonts w:hint="eastAsia"/>
        </w:rPr>
        <w:t>、現貨價及期貨價，</w:t>
      </w:r>
      <w:r w:rsidR="00F145BE">
        <w:rPr>
          <w:rFonts w:hint="eastAsia"/>
        </w:rPr>
        <w:t>期間涵蓋</w:t>
      </w:r>
      <w:r w:rsidR="00F145BE">
        <w:rPr>
          <w:rFonts w:hint="eastAsia"/>
        </w:rPr>
        <w:t>2020</w:t>
      </w:r>
      <w:r w:rsidR="00F145BE">
        <w:rPr>
          <w:rFonts w:hint="eastAsia"/>
        </w:rPr>
        <w:t>年</w:t>
      </w:r>
      <w:r w:rsidR="00F145BE">
        <w:rPr>
          <w:rFonts w:hint="eastAsia"/>
        </w:rPr>
        <w:t>1</w:t>
      </w:r>
      <w:r w:rsidR="00F145BE">
        <w:rPr>
          <w:rFonts w:hint="eastAsia"/>
        </w:rPr>
        <w:t>月至</w:t>
      </w:r>
      <w:r w:rsidR="00F145BE">
        <w:rPr>
          <w:rFonts w:hint="eastAsia"/>
        </w:rPr>
        <w:t>2024</w:t>
      </w:r>
      <w:r w:rsidR="00F145BE">
        <w:rPr>
          <w:rFonts w:hint="eastAsia"/>
        </w:rPr>
        <w:t>年</w:t>
      </w:r>
      <w:r w:rsidR="00F145BE">
        <w:rPr>
          <w:rFonts w:hint="eastAsia"/>
        </w:rPr>
        <w:t>4</w:t>
      </w:r>
      <w:r w:rsidR="00F145BE">
        <w:rPr>
          <w:rFonts w:hint="eastAsia"/>
        </w:rPr>
        <w:t>月</w:t>
      </w:r>
      <w:r w:rsidR="00387F38">
        <w:rPr>
          <w:rFonts w:hint="eastAsia"/>
        </w:rPr>
        <w:t>。</w:t>
      </w:r>
    </w:p>
    <w:p w14:paraId="40445281" w14:textId="59D1AC49" w:rsidR="00084FEA" w:rsidRDefault="00466389" w:rsidP="00084FEA">
      <w:pPr>
        <w:spacing w:before="180" w:after="180"/>
        <w:ind w:firstLine="480"/>
      </w:pPr>
      <w:r>
        <w:rPr>
          <w:rFonts w:hint="eastAsia"/>
        </w:rPr>
        <w:t>依據資訊服務公司</w:t>
      </w:r>
      <w:r>
        <w:rPr>
          <w:rFonts w:hint="eastAsia"/>
        </w:rPr>
        <w:t>The Block</w:t>
      </w:r>
      <w:r>
        <w:rPr>
          <w:rFonts w:hint="eastAsia"/>
        </w:rPr>
        <w:t>公司公布之數據統計</w:t>
      </w:r>
      <w:r w:rsidR="00FF392E">
        <w:rPr>
          <w:rStyle w:val="af1"/>
        </w:rPr>
        <w:footnoteReference w:id="2"/>
      </w:r>
      <w:r>
        <w:rPr>
          <w:rFonts w:hint="eastAsia"/>
        </w:rPr>
        <w:t>，於全球加密貨幣選擇權市場</w:t>
      </w:r>
      <w:r w:rsidR="00084FEA">
        <w:rPr>
          <w:rFonts w:hint="eastAsia"/>
        </w:rPr>
        <w:t>中</w:t>
      </w:r>
      <w:r>
        <w:rPr>
          <w:rFonts w:hint="eastAsia"/>
        </w:rPr>
        <w:t>，</w:t>
      </w:r>
      <w:proofErr w:type="spellStart"/>
      <w:r w:rsidR="00084FEA">
        <w:rPr>
          <w:rFonts w:hint="eastAsia"/>
        </w:rPr>
        <w:t>Deribit</w:t>
      </w:r>
      <w:proofErr w:type="spellEnd"/>
      <w:r w:rsidR="00084FEA">
        <w:rPr>
          <w:rFonts w:hint="eastAsia"/>
        </w:rPr>
        <w:t>交易所之比</w:t>
      </w:r>
      <w:proofErr w:type="gramStart"/>
      <w:r w:rsidR="00084FEA">
        <w:rPr>
          <w:rFonts w:hint="eastAsia"/>
        </w:rPr>
        <w:t>特</w:t>
      </w:r>
      <w:proofErr w:type="gramEnd"/>
      <w:r w:rsidR="00084FEA">
        <w:rPr>
          <w:rFonts w:hint="eastAsia"/>
        </w:rPr>
        <w:t>幣選擇權交易量為三大平台－</w:t>
      </w:r>
      <w:proofErr w:type="spellStart"/>
      <w:r w:rsidR="00084FEA">
        <w:rPr>
          <w:rFonts w:hint="eastAsia"/>
        </w:rPr>
        <w:t>Deribit</w:t>
      </w:r>
      <w:proofErr w:type="spellEnd"/>
      <w:r w:rsidR="00084FEA">
        <w:rPr>
          <w:rFonts w:hint="eastAsia"/>
        </w:rPr>
        <w:t>、</w:t>
      </w:r>
      <w:r w:rsidR="00084FEA">
        <w:rPr>
          <w:rFonts w:hint="eastAsia"/>
        </w:rPr>
        <w:t>OKX</w:t>
      </w:r>
      <w:r w:rsidR="00084FEA">
        <w:rPr>
          <w:rFonts w:hint="eastAsia"/>
        </w:rPr>
        <w:t>及</w:t>
      </w:r>
      <w:r w:rsidR="00084FEA">
        <w:rPr>
          <w:rFonts w:hint="eastAsia"/>
        </w:rPr>
        <w:t>Binance</w:t>
      </w:r>
      <w:r w:rsidR="00084FEA">
        <w:rPr>
          <w:rFonts w:hint="eastAsia"/>
        </w:rPr>
        <w:t>中</w:t>
      </w:r>
      <w:r w:rsidR="00D0543D">
        <w:rPr>
          <w:rFonts w:hint="eastAsia"/>
        </w:rPr>
        <w:t>占比</w:t>
      </w:r>
      <w:r w:rsidR="00084FEA">
        <w:rPr>
          <w:rFonts w:hint="eastAsia"/>
        </w:rPr>
        <w:t>最大</w:t>
      </w:r>
      <w:r w:rsidR="00D0543D">
        <w:rPr>
          <w:rFonts w:hint="eastAsia"/>
        </w:rPr>
        <w:t>，且未平倉量占市場總量</w:t>
      </w:r>
      <w:r w:rsidR="00D0543D">
        <w:rPr>
          <w:rFonts w:hint="eastAsia"/>
        </w:rPr>
        <w:t xml:space="preserve">80% </w:t>
      </w:r>
      <w:r w:rsidR="00D0543D">
        <w:rPr>
          <w:rFonts w:hint="eastAsia"/>
        </w:rPr>
        <w:t>以上（如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E25CCC">
        <w:rPr>
          <w:rFonts w:hint="eastAsia"/>
        </w:rPr>
        <w:t>圖</w:t>
      </w:r>
      <w:r w:rsidR="00E25CCC">
        <w:rPr>
          <w:rFonts w:hint="eastAsia"/>
        </w:rPr>
        <w:t>3-</w:t>
      </w:r>
      <w:r w:rsidR="00E25CCC">
        <w:rPr>
          <w:noProof/>
        </w:rPr>
        <w:t>1</w:t>
      </w:r>
      <w:r w:rsidR="00382A2D">
        <w:fldChar w:fldCharType="end"/>
      </w:r>
      <w:r w:rsidR="00D0543D">
        <w:rPr>
          <w:rFonts w:hint="eastAsia"/>
        </w:rPr>
        <w:t>）。</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5ECA0CAF" w:rsidR="003A010D" w:rsidRPr="003A010D" w:rsidRDefault="003A010D" w:rsidP="003A010D">
      <w:pPr>
        <w:pStyle w:val="a9"/>
        <w:spacing w:before="180" w:after="180"/>
      </w:pPr>
      <w:bookmarkStart w:id="3"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25CCC">
        <w:rPr>
          <w:noProof/>
        </w:rPr>
        <w:t>1</w:t>
      </w:r>
      <w:r>
        <w:fldChar w:fldCharType="end"/>
      </w:r>
      <w:bookmarkEnd w:id="3"/>
      <w:r>
        <w:rPr>
          <w:rFonts w:hint="eastAsia"/>
        </w:rPr>
        <w:t>：比</w:t>
      </w:r>
      <w:proofErr w:type="gramStart"/>
      <w:r>
        <w:rPr>
          <w:rFonts w:hint="eastAsia"/>
        </w:rPr>
        <w:t>特</w:t>
      </w:r>
      <w:proofErr w:type="gramEnd"/>
      <w:r>
        <w:rPr>
          <w:rFonts w:hint="eastAsia"/>
        </w:rPr>
        <w:t>幣選擇權市場交易量與未平倉量數據統計</w:t>
      </w:r>
      <w:r>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proofErr w:type="gramEnd"/>
    </w:p>
    <w:p w14:paraId="5B7C6EAE" w14:textId="1E3D78DA" w:rsidR="00720E4C" w:rsidRDefault="00720E4C" w:rsidP="00720E4C">
      <w:pPr>
        <w:spacing w:before="180" w:after="180"/>
        <w:ind w:firstLine="480"/>
      </w:pPr>
      <w:proofErr w:type="spellStart"/>
      <w:r>
        <w:rPr>
          <w:rFonts w:hint="eastAsia"/>
        </w:rPr>
        <w:t>Deribit</w:t>
      </w:r>
      <w:proofErr w:type="spellEnd"/>
      <w:r w:rsidR="00CB31CF">
        <w:rPr>
          <w:rFonts w:hint="eastAsia"/>
        </w:rPr>
        <w:t>交易所</w:t>
      </w:r>
      <w:r>
        <w:rPr>
          <w:rFonts w:hint="eastAsia"/>
        </w:rPr>
        <w:t>成立於</w:t>
      </w:r>
      <w:r>
        <w:rPr>
          <w:rFonts w:hint="eastAsia"/>
        </w:rPr>
        <w:t>2016</w:t>
      </w:r>
      <w:r>
        <w:rPr>
          <w:rFonts w:hint="eastAsia"/>
        </w:rPr>
        <w:t>年</w:t>
      </w:r>
      <w:r w:rsidR="00382A2D">
        <w:rPr>
          <w:rFonts w:hint="eastAsia"/>
        </w:rPr>
        <w:t>，總部位於荷蘭</w:t>
      </w:r>
      <w:r>
        <w:rPr>
          <w:rFonts w:hint="eastAsia"/>
        </w:rPr>
        <w:t>，</w:t>
      </w:r>
      <w:r w:rsidR="00382A2D">
        <w:rPr>
          <w:rFonts w:hint="eastAsia"/>
        </w:rPr>
        <w:t>名字由「</w:t>
      </w:r>
      <w:r w:rsidR="00382A2D">
        <w:rPr>
          <w:rFonts w:hint="eastAsia"/>
        </w:rPr>
        <w:t>Derivatives</w:t>
      </w:r>
      <w:r w:rsidR="00382A2D">
        <w:rPr>
          <w:rFonts w:hint="eastAsia"/>
        </w:rPr>
        <w:t>」與「</w:t>
      </w:r>
      <w:r w:rsidR="00382A2D">
        <w:rPr>
          <w:rFonts w:hint="eastAsia"/>
        </w:rPr>
        <w:t>Bitcoin</w:t>
      </w:r>
      <w:r w:rsidR="00382A2D">
        <w:rPr>
          <w:rFonts w:hint="eastAsia"/>
        </w:rPr>
        <w:t>」組合而成，為最早推出</w:t>
      </w:r>
      <w:r>
        <w:rPr>
          <w:rFonts w:hint="eastAsia"/>
        </w:rPr>
        <w:t>加密貨幣選擇權</w:t>
      </w:r>
      <w:r w:rsidR="00382A2D">
        <w:rPr>
          <w:rFonts w:hint="eastAsia"/>
        </w:rPr>
        <w:t>商品</w:t>
      </w:r>
      <w:r>
        <w:rPr>
          <w:rFonts w:hint="eastAsia"/>
        </w:rPr>
        <w:t>的交易所</w:t>
      </w:r>
      <w:r w:rsidR="00382A2D">
        <w:rPr>
          <w:rFonts w:hint="eastAsia"/>
        </w:rPr>
        <w:t>，因具備</w:t>
      </w:r>
      <w:r>
        <w:rPr>
          <w:rFonts w:hint="eastAsia"/>
        </w:rPr>
        <w:t>高流動性和深度，</w:t>
      </w:r>
      <w:proofErr w:type="spellStart"/>
      <w:r>
        <w:rPr>
          <w:rFonts w:hint="eastAsia"/>
        </w:rPr>
        <w:t>Deribit</w:t>
      </w:r>
      <w:proofErr w:type="spellEnd"/>
      <w:r>
        <w:rPr>
          <w:rFonts w:hint="eastAsia"/>
        </w:rPr>
        <w:t>已成為全球最大的比</w:t>
      </w:r>
      <w:proofErr w:type="gramStart"/>
      <w:r>
        <w:rPr>
          <w:rFonts w:hint="eastAsia"/>
        </w:rPr>
        <w:t>特</w:t>
      </w:r>
      <w:proofErr w:type="gramEnd"/>
      <w:r>
        <w:rPr>
          <w:rFonts w:hint="eastAsia"/>
        </w:rPr>
        <w:t>幣選擇權交易平台。</w:t>
      </w:r>
      <w:r w:rsidR="00024747">
        <w:rPr>
          <w:rFonts w:hint="eastAsia"/>
        </w:rPr>
        <w:t>其提供之比</w:t>
      </w:r>
      <w:proofErr w:type="gramStart"/>
      <w:r w:rsidR="00024747">
        <w:rPr>
          <w:rFonts w:hint="eastAsia"/>
        </w:rPr>
        <w:t>特</w:t>
      </w:r>
      <w:proofErr w:type="gramEnd"/>
      <w:r w:rsidR="00024747">
        <w:rPr>
          <w:rFonts w:hint="eastAsia"/>
        </w:rPr>
        <w:t>幣歐式現金結算選擇權合約全天候皆可交易</w:t>
      </w:r>
      <w:r w:rsidR="006A639C">
        <w:rPr>
          <w:rStyle w:val="af1"/>
        </w:rPr>
        <w:footnoteReference w:id="3"/>
      </w:r>
      <w:r w:rsidR="00024747">
        <w:rPr>
          <w:rFonts w:hint="eastAsia"/>
        </w:rPr>
        <w:t>，到期日為</w:t>
      </w:r>
      <w:r w:rsidR="00225C55">
        <w:rPr>
          <w:rFonts w:hint="eastAsia"/>
        </w:rPr>
        <w:t>每天</w:t>
      </w:r>
      <w:r w:rsidR="00024747">
        <w:rPr>
          <w:rFonts w:hint="eastAsia"/>
        </w:rPr>
        <w:t xml:space="preserve">08:00 </w:t>
      </w:r>
      <w:r w:rsidR="00225C55">
        <w:rPr>
          <w:rFonts w:hint="eastAsia"/>
        </w:rPr>
        <w:t>(</w:t>
      </w:r>
      <w:r w:rsidR="00024747">
        <w:rPr>
          <w:rFonts w:hint="eastAsia"/>
        </w:rPr>
        <w:t>UTC</w:t>
      </w:r>
      <w:r w:rsidR="00225C55">
        <w:rPr>
          <w:rFonts w:hint="eastAsia"/>
        </w:rPr>
        <w:t>+0)</w:t>
      </w:r>
      <w:r w:rsidR="00225C55">
        <w:rPr>
          <w:rFonts w:hint="eastAsia"/>
        </w:rPr>
        <w:t>，</w:t>
      </w:r>
      <w:r w:rsidR="002A2A2A">
        <w:rPr>
          <w:rFonts w:hint="eastAsia"/>
        </w:rPr>
        <w:t>並具有</w:t>
      </w:r>
      <w:r w:rsidR="002A2A2A">
        <w:rPr>
          <w:rFonts w:hint="eastAsia"/>
        </w:rPr>
        <w:t>1</w:t>
      </w:r>
      <w:r w:rsidR="002A2A2A">
        <w:rPr>
          <w:rFonts w:hint="eastAsia"/>
        </w:rPr>
        <w:t>日、</w:t>
      </w:r>
      <w:r w:rsidR="002A2A2A">
        <w:rPr>
          <w:rFonts w:hint="eastAsia"/>
        </w:rPr>
        <w:t>2</w:t>
      </w:r>
      <w:r w:rsidR="002A2A2A">
        <w:rPr>
          <w:rFonts w:hint="eastAsia"/>
        </w:rPr>
        <w:t>日、</w:t>
      </w:r>
      <w:r w:rsidR="002A2A2A">
        <w:rPr>
          <w:rFonts w:hint="eastAsia"/>
        </w:rPr>
        <w:lastRenderedPageBreak/>
        <w:t>3</w:t>
      </w:r>
      <w:r w:rsidR="002A2A2A">
        <w:rPr>
          <w:rFonts w:hint="eastAsia"/>
        </w:rPr>
        <w:t>日、</w:t>
      </w:r>
      <w:r w:rsidR="002A2A2A">
        <w:rPr>
          <w:rFonts w:hint="eastAsia"/>
        </w:rPr>
        <w:t>1</w:t>
      </w:r>
      <w:proofErr w:type="gramStart"/>
      <w:r w:rsidR="002A2A2A">
        <w:rPr>
          <w:rFonts w:hint="eastAsia"/>
        </w:rPr>
        <w:t>週</w:t>
      </w:r>
      <w:proofErr w:type="gramEnd"/>
      <w:r w:rsidR="002A2A2A">
        <w:rPr>
          <w:rFonts w:hint="eastAsia"/>
        </w:rPr>
        <w:t>、</w:t>
      </w:r>
      <w:r w:rsidR="002A2A2A">
        <w:rPr>
          <w:rFonts w:hint="eastAsia"/>
        </w:rPr>
        <w:t>2</w:t>
      </w:r>
      <w:proofErr w:type="gramStart"/>
      <w:r w:rsidR="002A2A2A">
        <w:rPr>
          <w:rFonts w:hint="eastAsia"/>
        </w:rPr>
        <w:t>週</w:t>
      </w:r>
      <w:proofErr w:type="gramEnd"/>
      <w:r w:rsidR="002A2A2A">
        <w:rPr>
          <w:rFonts w:hint="eastAsia"/>
        </w:rPr>
        <w:t>、</w:t>
      </w:r>
      <w:r w:rsidR="002A2A2A">
        <w:rPr>
          <w:rFonts w:hint="eastAsia"/>
        </w:rPr>
        <w:t>3</w:t>
      </w:r>
      <w:proofErr w:type="gramStart"/>
      <w:r w:rsidR="002A2A2A">
        <w:rPr>
          <w:rFonts w:hint="eastAsia"/>
        </w:rPr>
        <w:t>週</w:t>
      </w:r>
      <w:proofErr w:type="gramEnd"/>
      <w:r w:rsidR="002A2A2A">
        <w:rPr>
          <w:rFonts w:hint="eastAsia"/>
        </w:rPr>
        <w:t>後，以及每月月底（</w:t>
      </w:r>
      <w:r w:rsidR="002A2A2A">
        <w:rPr>
          <w:rFonts w:hint="eastAsia"/>
        </w:rPr>
        <w:t>1</w:t>
      </w:r>
      <w:r w:rsidR="002A2A2A">
        <w:rPr>
          <w:rFonts w:hint="eastAsia"/>
        </w:rPr>
        <w:t>、</w:t>
      </w:r>
      <w:r w:rsidR="002A2A2A">
        <w:rPr>
          <w:rFonts w:hint="eastAsia"/>
        </w:rPr>
        <w:t>2</w:t>
      </w:r>
      <w:r w:rsidR="002A2A2A">
        <w:rPr>
          <w:rFonts w:hint="eastAsia"/>
        </w:rPr>
        <w:t>、</w:t>
      </w:r>
      <w:r w:rsidR="002A2A2A">
        <w:rPr>
          <w:rFonts w:hint="eastAsia"/>
        </w:rPr>
        <w:t>4</w:t>
      </w:r>
      <w:r w:rsidR="002A2A2A">
        <w:rPr>
          <w:rFonts w:hint="eastAsia"/>
        </w:rPr>
        <w:t>、</w:t>
      </w:r>
      <w:r w:rsidR="002A2A2A">
        <w:rPr>
          <w:rFonts w:hint="eastAsia"/>
        </w:rPr>
        <w:t>5</w:t>
      </w:r>
      <w:r w:rsidR="002A2A2A">
        <w:rPr>
          <w:rFonts w:hint="eastAsia"/>
        </w:rPr>
        <w:t>、</w:t>
      </w:r>
      <w:r w:rsidR="002A2A2A">
        <w:rPr>
          <w:rFonts w:hint="eastAsia"/>
        </w:rPr>
        <w:t>7</w:t>
      </w:r>
      <w:r w:rsidR="002A2A2A">
        <w:rPr>
          <w:rFonts w:hint="eastAsia"/>
        </w:rPr>
        <w:t>、</w:t>
      </w:r>
      <w:r w:rsidR="002A2A2A">
        <w:rPr>
          <w:rFonts w:hint="eastAsia"/>
        </w:rPr>
        <w:t>8</w:t>
      </w:r>
      <w:r w:rsidR="002A2A2A">
        <w:rPr>
          <w:rFonts w:hint="eastAsia"/>
        </w:rPr>
        <w:t>、</w:t>
      </w:r>
      <w:r w:rsidR="002A2A2A">
        <w:rPr>
          <w:rFonts w:hint="eastAsia"/>
        </w:rPr>
        <w:t>10</w:t>
      </w:r>
      <w:r w:rsidR="002A2A2A">
        <w:rPr>
          <w:rFonts w:hint="eastAsia"/>
        </w:rPr>
        <w:t>、</w:t>
      </w:r>
      <w:r w:rsidR="002A2A2A">
        <w:rPr>
          <w:rFonts w:hint="eastAsia"/>
        </w:rPr>
        <w:t>11</w:t>
      </w:r>
      <w:r w:rsidR="002A2A2A">
        <w:rPr>
          <w:rFonts w:hint="eastAsia"/>
        </w:rPr>
        <w:t>月）與季度（</w:t>
      </w:r>
      <w:r w:rsidR="002A2A2A">
        <w:rPr>
          <w:rFonts w:hint="eastAsia"/>
        </w:rPr>
        <w:t>3</w:t>
      </w:r>
      <w:r w:rsidR="002A2A2A">
        <w:rPr>
          <w:rFonts w:hint="eastAsia"/>
        </w:rPr>
        <w:t>、</w:t>
      </w:r>
      <w:r w:rsidR="002A2A2A">
        <w:rPr>
          <w:rFonts w:hint="eastAsia"/>
        </w:rPr>
        <w:t>6</w:t>
      </w:r>
      <w:r w:rsidR="002A2A2A">
        <w:rPr>
          <w:rFonts w:hint="eastAsia"/>
        </w:rPr>
        <w:t>、</w:t>
      </w:r>
      <w:r w:rsidR="002A2A2A">
        <w:rPr>
          <w:rFonts w:hint="eastAsia"/>
        </w:rPr>
        <w:t>9</w:t>
      </w:r>
      <w:r w:rsidR="002A2A2A">
        <w:rPr>
          <w:rFonts w:hint="eastAsia"/>
        </w:rPr>
        <w:t>、</w:t>
      </w:r>
      <w:r w:rsidR="002A2A2A">
        <w:rPr>
          <w:rFonts w:hint="eastAsia"/>
        </w:rPr>
        <w:t>12</w:t>
      </w:r>
      <w:r w:rsidR="002A2A2A">
        <w:rPr>
          <w:rFonts w:hint="eastAsia"/>
        </w:rPr>
        <w:t>月）合約。</w:t>
      </w:r>
    </w:p>
    <w:p w14:paraId="633AF837" w14:textId="2C8C1B30" w:rsidR="00ED61D0" w:rsidRPr="002A2A2A" w:rsidRDefault="00E410D8" w:rsidP="008E3193">
      <w:pPr>
        <w:pStyle w:val="2"/>
      </w:pPr>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p>
    <w:p w14:paraId="073656E1" w14:textId="3548423C"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239EF493" w:rsidR="007E75C0" w:rsidRPr="00FB35F3" w:rsidRDefault="007E75C0" w:rsidP="00FB35F3">
      <w:pPr>
        <w:spacing w:before="180" w:after="180"/>
        <w:ind w:firstLine="480"/>
      </w:pPr>
      <w:r>
        <w:rPr>
          <w:rFonts w:hint="eastAsia"/>
        </w:rPr>
        <w:t>本研究透過對</w:t>
      </w:r>
      <w:proofErr w:type="spellStart"/>
      <w:r>
        <w:rPr>
          <w:rFonts w:hint="eastAsia"/>
        </w:rPr>
        <w:t>Deribit</w:t>
      </w:r>
      <w:proofErr w:type="spellEnd"/>
      <w:r>
        <w:rPr>
          <w:rFonts w:hint="eastAsia"/>
        </w:rPr>
        <w:t>交易所數據進行分析，呈現</w:t>
      </w:r>
      <w:r w:rsidR="002F31B5">
        <w:fldChar w:fldCharType="begin"/>
      </w:r>
      <w:r w:rsidR="002F31B5">
        <w:instrText xml:space="preserve"> </w:instrText>
      </w:r>
      <w:r w:rsidR="002F31B5">
        <w:rPr>
          <w:rFonts w:hint="eastAsia"/>
        </w:rPr>
        <w:instrText>REF _Ref182962365 \h</w:instrText>
      </w:r>
      <w:r w:rsidR="002F31B5">
        <w:instrText xml:space="preserve"> </w:instrText>
      </w:r>
      <w:r w:rsidR="002F31B5">
        <w:fldChar w:fldCharType="separate"/>
      </w:r>
      <w:r w:rsidR="00E25CCC">
        <w:rPr>
          <w:rFonts w:hint="eastAsia"/>
        </w:rPr>
        <w:t>圖</w:t>
      </w:r>
      <w:r w:rsidR="00E25CCC">
        <w:rPr>
          <w:rFonts w:hint="eastAsia"/>
        </w:rPr>
        <w:t>3-</w:t>
      </w:r>
      <w:r w:rsidR="00E25CCC">
        <w:rPr>
          <w:noProof/>
        </w:rPr>
        <w:t>2</w:t>
      </w:r>
      <w:r w:rsidR="002F31B5">
        <w:fldChar w:fldCharType="end"/>
      </w:r>
      <w:r>
        <w:rPr>
          <w:rFonts w:hint="eastAsia"/>
        </w:rPr>
        <w:t>中買權與賣權的月交易量變化。</w:t>
      </w:r>
      <w:r w:rsidR="002F31B5">
        <w:rPr>
          <w:rFonts w:hint="eastAsia"/>
        </w:rPr>
        <w:t>如圖所示</w:t>
      </w:r>
      <w:r>
        <w:rPr>
          <w:rFonts w:hint="eastAsia"/>
        </w:rPr>
        <w:t>，自</w:t>
      </w:r>
      <w:r>
        <w:rPr>
          <w:rFonts w:hint="eastAsia"/>
        </w:rPr>
        <w:t>2020</w:t>
      </w:r>
      <w:r>
        <w:rPr>
          <w:rFonts w:hint="eastAsia"/>
        </w:rPr>
        <w:t>年</w:t>
      </w:r>
      <w:r>
        <w:rPr>
          <w:rFonts w:hint="eastAsia"/>
        </w:rPr>
        <w:t>10</w:t>
      </w:r>
      <w:r>
        <w:rPr>
          <w:rFonts w:hint="eastAsia"/>
        </w:rPr>
        <w:t>月</w:t>
      </w:r>
      <w:r w:rsidR="002F31B5">
        <w:rPr>
          <w:rFonts w:hint="eastAsia"/>
        </w:rPr>
        <w:t>起</w:t>
      </w:r>
      <w:r>
        <w:rPr>
          <w:rFonts w:hint="eastAsia"/>
        </w:rPr>
        <w:t>，選擇權交易量顯著增長</w:t>
      </w:r>
      <w:r w:rsidR="002F31B5">
        <w:rPr>
          <w:rFonts w:hint="eastAsia"/>
        </w:rPr>
        <w:t>，此</w:t>
      </w:r>
      <w:r>
        <w:rPr>
          <w:rFonts w:hint="eastAsia"/>
        </w:rPr>
        <w:t>趨勢</w:t>
      </w:r>
      <w:r w:rsidR="002F31B5">
        <w:rPr>
          <w:rFonts w:hint="eastAsia"/>
        </w:rPr>
        <w:t>歸因</w:t>
      </w:r>
      <w:r>
        <w:rPr>
          <w:rFonts w:hint="eastAsia"/>
        </w:rPr>
        <w:t>於</w:t>
      </w:r>
      <w:r>
        <w:rPr>
          <w:rFonts w:hint="eastAsia"/>
        </w:rPr>
        <w:t>2020</w:t>
      </w:r>
      <w:r>
        <w:rPr>
          <w:rFonts w:hint="eastAsia"/>
        </w:rPr>
        <w:t>年</w:t>
      </w:r>
      <w:r>
        <w:rPr>
          <w:rFonts w:hint="eastAsia"/>
        </w:rPr>
        <w:t>10</w:t>
      </w:r>
      <w:r>
        <w:rPr>
          <w:rFonts w:hint="eastAsia"/>
        </w:rPr>
        <w:t>月之前，</w:t>
      </w:r>
      <w:proofErr w:type="spellStart"/>
      <w:r>
        <w:rPr>
          <w:rFonts w:hint="eastAsia"/>
        </w:rPr>
        <w:t>Deribit</w:t>
      </w:r>
      <w:proofErr w:type="spellEnd"/>
      <w:r>
        <w:rPr>
          <w:rFonts w:hint="eastAsia"/>
        </w:rPr>
        <w:t>僅提供年度合約，而後增設了</w:t>
      </w:r>
      <w:r w:rsidR="002F31B5">
        <w:rPr>
          <w:rFonts w:hint="eastAsia"/>
        </w:rPr>
        <w:t>每日、每週及每季度</w:t>
      </w:r>
      <w:r>
        <w:rPr>
          <w:rFonts w:hint="eastAsia"/>
        </w:rPr>
        <w:t>到期</w:t>
      </w:r>
      <w:r w:rsidR="002F31B5">
        <w:rPr>
          <w:rFonts w:hint="eastAsia"/>
        </w:rPr>
        <w:t>之商品</w:t>
      </w:r>
      <w:r>
        <w:rPr>
          <w:rFonts w:hint="eastAsia"/>
        </w:rPr>
        <w:t>，從而推動交易量快速上升</w:t>
      </w:r>
      <w:r w:rsidR="009C7EF2">
        <w:rPr>
          <w:rFonts w:hint="eastAsia"/>
        </w:rPr>
        <w:t>；至</w:t>
      </w:r>
      <w:r w:rsidR="009C7EF2">
        <w:rPr>
          <w:rFonts w:hint="eastAsia"/>
        </w:rPr>
        <w:t>2023</w:t>
      </w:r>
      <w:r w:rsidR="009C7EF2">
        <w:rPr>
          <w:rFonts w:hint="eastAsia"/>
        </w:rPr>
        <w:t>年</w:t>
      </w:r>
      <w:r w:rsidR="009C7EF2">
        <w:rPr>
          <w:rFonts w:hint="eastAsia"/>
        </w:rPr>
        <w:t>9</w:t>
      </w:r>
      <w:r w:rsidR="009C7EF2">
        <w:rPr>
          <w:rFonts w:hint="eastAsia"/>
        </w:rPr>
        <w:t>月，交易量再次大幅增長，主因為受到比</w:t>
      </w:r>
      <w:proofErr w:type="gramStart"/>
      <w:r w:rsidR="009C7EF2">
        <w:rPr>
          <w:rFonts w:hint="eastAsia"/>
        </w:rPr>
        <w:t>特</w:t>
      </w:r>
      <w:proofErr w:type="gramEnd"/>
      <w:r w:rsidR="009C7EF2">
        <w:rPr>
          <w:rFonts w:hint="eastAsia"/>
        </w:rPr>
        <w:t>幣現貨價格大幅上漲之影響，買權交易量更於</w:t>
      </w:r>
      <w:r w:rsidR="009C7EF2">
        <w:rPr>
          <w:rFonts w:hint="eastAsia"/>
        </w:rPr>
        <w:t>2024</w:t>
      </w:r>
      <w:r w:rsidR="009C7EF2">
        <w:rPr>
          <w:rFonts w:hint="eastAsia"/>
        </w:rPr>
        <w:t>年</w:t>
      </w:r>
      <w:r w:rsidR="009C7EF2">
        <w:rPr>
          <w:rFonts w:hint="eastAsia"/>
        </w:rPr>
        <w:t>2</w:t>
      </w:r>
      <w:r w:rsidR="009C7EF2">
        <w:rPr>
          <w:rFonts w:hint="eastAsia"/>
        </w:rPr>
        <w:t>月達到歷史新高，</w:t>
      </w:r>
      <w:r w:rsidR="009C7EF2" w:rsidRPr="009C7EF2">
        <w:t>顯示出市場對比</w:t>
      </w:r>
      <w:proofErr w:type="gramStart"/>
      <w:r w:rsidR="009C7EF2" w:rsidRPr="009C7EF2">
        <w:t>特</w:t>
      </w:r>
      <w:proofErr w:type="gramEnd"/>
      <w:r w:rsidR="009C7EF2" w:rsidRPr="009C7EF2">
        <w:t>幣價格上漲</w:t>
      </w:r>
      <w:r w:rsidR="009C7EF2">
        <w:rPr>
          <w:rFonts w:hint="eastAsia"/>
        </w:rPr>
        <w:t>之</w:t>
      </w:r>
      <w:r w:rsidR="009C7EF2" w:rsidRPr="009C7EF2">
        <w:t>強烈預期。整</w:t>
      </w:r>
      <w:r w:rsidR="009C7EF2">
        <w:rPr>
          <w:rFonts w:hint="eastAsia"/>
        </w:rPr>
        <w:t>段</w:t>
      </w:r>
      <w:r w:rsidR="009C7EF2" w:rsidRPr="009C7EF2">
        <w:t>期間內，交易量存在明顯波動，反映了市場活躍度的變化，尤其在比</w:t>
      </w:r>
      <w:proofErr w:type="gramStart"/>
      <w:r w:rsidR="009C7EF2" w:rsidRPr="009C7EF2">
        <w:t>特</w:t>
      </w:r>
      <w:proofErr w:type="gramEnd"/>
      <w:r w:rsidR="009C7EF2" w:rsidRPr="009C7EF2">
        <w:t>幣價格劇烈波動時更為明顯。</w:t>
      </w:r>
      <w:r w:rsidR="009C7EF2">
        <w:rPr>
          <w:rFonts w:hint="eastAsia"/>
        </w:rPr>
        <w:t>自</w:t>
      </w:r>
      <w:r w:rsidR="009C7EF2" w:rsidRPr="009C7EF2">
        <w:t>2023</w:t>
      </w:r>
      <w:r w:rsidR="009C7EF2" w:rsidRPr="009C7EF2">
        <w:t>下半年開始，交易量</w:t>
      </w:r>
      <w:r w:rsidR="00FB35F3">
        <w:rPr>
          <w:rFonts w:hint="eastAsia"/>
        </w:rPr>
        <w:t>明顯</w:t>
      </w:r>
      <w:r w:rsidR="009C7EF2" w:rsidRPr="009C7EF2">
        <w:t>上升，顯示出</w:t>
      </w:r>
      <w:r w:rsidR="009C7EF2">
        <w:rPr>
          <w:rFonts w:hint="eastAsia"/>
        </w:rPr>
        <w:t>比</w:t>
      </w:r>
      <w:proofErr w:type="gramStart"/>
      <w:r w:rsidR="009C7EF2">
        <w:rPr>
          <w:rFonts w:hint="eastAsia"/>
        </w:rPr>
        <w:t>特</w:t>
      </w:r>
      <w:proofErr w:type="gramEnd"/>
      <w:r w:rsidR="009C7EF2">
        <w:rPr>
          <w:rFonts w:hint="eastAsia"/>
        </w:rPr>
        <w:t>幣選擇權交易</w:t>
      </w:r>
      <w:r w:rsidR="009C7EF2" w:rsidRPr="009C7EF2">
        <w:t>市場流動性</w:t>
      </w:r>
      <w:r w:rsidR="00FB35F3">
        <w:rPr>
          <w:rFonts w:hint="eastAsia"/>
        </w:rPr>
        <w:t>與深度之增強</w:t>
      </w:r>
      <w:r w:rsidR="009C7EF2" w:rsidRPr="009C7EF2">
        <w:t>。</w:t>
      </w:r>
    </w:p>
    <w:p w14:paraId="56C128DB" w14:textId="77777777" w:rsidR="002F31B5" w:rsidRDefault="002F31B5" w:rsidP="002F31B5">
      <w:pPr>
        <w:pStyle w:val="aa"/>
        <w:keepNext/>
        <w:spacing w:before="180" w:after="180"/>
      </w:pPr>
      <w:r w:rsidRPr="002F31B5">
        <w:drawing>
          <wp:inline distT="0" distB="0" distL="0" distR="0" wp14:anchorId="6B6620FF" wp14:editId="4D68B4D0">
            <wp:extent cx="4882428" cy="1756881"/>
            <wp:effectExtent l="0" t="0" r="0" b="0"/>
            <wp:docPr id="227790857" name="圖片 1" descr="一張含有 文字, 繪圖,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90857" name="圖片 1" descr="一張含有 文字, 繪圖, 螢幕擷取畫面, 行 的圖片&#10;&#10;自動產生的描述"/>
                    <pic:cNvPicPr/>
                  </pic:nvPicPr>
                  <pic:blipFill>
                    <a:blip r:embed="rId17"/>
                    <a:stretch>
                      <a:fillRect/>
                    </a:stretch>
                  </pic:blipFill>
                  <pic:spPr>
                    <a:xfrm>
                      <a:off x="0" y="0"/>
                      <a:ext cx="4953929" cy="1782610"/>
                    </a:xfrm>
                    <a:prstGeom prst="rect">
                      <a:avLst/>
                    </a:prstGeom>
                  </pic:spPr>
                </pic:pic>
              </a:graphicData>
            </a:graphic>
          </wp:inline>
        </w:drawing>
      </w:r>
    </w:p>
    <w:p w14:paraId="7B971181" w14:textId="71DB97C7" w:rsidR="00404225" w:rsidRDefault="002F31B5" w:rsidP="008E3193">
      <w:pPr>
        <w:pStyle w:val="a9"/>
        <w:spacing w:before="180" w:after="180"/>
      </w:pPr>
      <w:bookmarkStart w:id="4"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25CCC">
        <w:rPr>
          <w:noProof/>
        </w:rPr>
        <w:t>2</w:t>
      </w:r>
      <w:r>
        <w:fldChar w:fldCharType="end"/>
      </w:r>
      <w:bookmarkEnd w:id="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r w:rsidR="00404225">
        <w:br w:type="page"/>
      </w:r>
    </w:p>
    <w:p w14:paraId="47A3A5AD" w14:textId="74CF5978" w:rsidR="0073610D" w:rsidRDefault="0073610D" w:rsidP="0073610D">
      <w:pPr>
        <w:pStyle w:val="1"/>
        <w:spacing w:before="180" w:after="180"/>
      </w:pPr>
      <w:bookmarkStart w:id="5" w:name="_Toc182815179"/>
      <w:r>
        <w:rPr>
          <w:rFonts w:hint="eastAsia"/>
        </w:rPr>
        <w:lastRenderedPageBreak/>
        <w:t>第四章、</w:t>
      </w:r>
      <w:bookmarkEnd w:id="5"/>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53A90EE4" w:rsidR="003643C9" w:rsidRDefault="003643C9" w:rsidP="00646BB2">
            <w:pPr>
              <w:pStyle w:val="a9"/>
              <w:spacing w:before="180" w:after="180"/>
              <w:jc w:val="right"/>
            </w:pPr>
            <w:bookmarkStart w:id="6" w:name="_Ref183666859"/>
            <w:r>
              <w:t>(</w:t>
            </w:r>
            <w:r w:rsidR="00803D78">
              <w:fldChar w:fldCharType="begin"/>
            </w:r>
            <w:r w:rsidR="00803D78">
              <w:instrText xml:space="preserve"> SEQ ( \* ARABIC </w:instrText>
            </w:r>
            <w:r w:rsidR="00803D78">
              <w:fldChar w:fldCharType="separate"/>
            </w:r>
            <w:r w:rsidR="00E25CCC">
              <w:rPr>
                <w:noProof/>
              </w:rPr>
              <w:t>1</w:t>
            </w:r>
            <w:r w:rsidR="00803D78">
              <w:rPr>
                <w:noProof/>
              </w:rPr>
              <w:fldChar w:fldCharType="end"/>
            </w:r>
            <w:r>
              <w:rPr>
                <w:rFonts w:hint="eastAsia"/>
              </w:rPr>
              <w:t>)</w:t>
            </w:r>
            <w:bookmarkEnd w:id="6"/>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0C61853F" w:rsidR="00764F78" w:rsidRPr="00764F78" w:rsidRDefault="00646BB2" w:rsidP="00764F78">
            <w:pPr>
              <w:pStyle w:val="a9"/>
              <w:spacing w:before="180" w:after="180"/>
              <w:jc w:val="right"/>
            </w:pPr>
            <w:bookmarkStart w:id="7" w:name="_Ref183663957"/>
            <w:bookmarkStart w:id="8" w:name="_Ref183663960"/>
            <w:r>
              <w:t>(</w:t>
            </w:r>
            <w:r w:rsidR="00803D78">
              <w:fldChar w:fldCharType="begin"/>
            </w:r>
            <w:r w:rsidR="00803D78">
              <w:instrText xml:space="preserve"> SEQ ( \* ARABIC </w:instrText>
            </w:r>
            <w:r w:rsidR="00803D78">
              <w:fldChar w:fldCharType="separate"/>
            </w:r>
            <w:r w:rsidR="00E25CCC">
              <w:rPr>
                <w:noProof/>
              </w:rPr>
              <w:t>2</w:t>
            </w:r>
            <w:r w:rsidR="00803D78">
              <w:rPr>
                <w:noProof/>
              </w:rPr>
              <w:fldChar w:fldCharType="end"/>
            </w:r>
            <w:bookmarkEnd w:id="7"/>
            <w:r>
              <w:rPr>
                <w:rFonts w:hint="eastAsia"/>
              </w:rPr>
              <w:t>)</w:t>
            </w:r>
            <w:bookmarkEnd w:id="8"/>
          </w:p>
        </w:tc>
      </w:tr>
    </w:tbl>
    <w:p w14:paraId="7ACA79FE" w14:textId="78F81B85"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E25CCC">
        <w:t>(</w:t>
      </w:r>
      <w:r w:rsidR="00E25CCC">
        <w:rPr>
          <w:noProof/>
        </w:rPr>
        <w:t>2</w:t>
      </w:r>
      <w:r w:rsidR="00E25CCC">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495049">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9E5547A" w:rsidR="00C451F7" w:rsidRPr="00764F78" w:rsidRDefault="00C451F7" w:rsidP="009703DB">
            <w:pPr>
              <w:pStyle w:val="a9"/>
              <w:spacing w:before="180" w:after="180"/>
              <w:jc w:val="right"/>
            </w:pPr>
            <w:bookmarkStart w:id="9" w:name="_Ref183665445"/>
            <w:r>
              <w:t>(</w:t>
            </w:r>
            <w:r w:rsidR="00803D78">
              <w:fldChar w:fldCharType="begin"/>
            </w:r>
            <w:r w:rsidR="00803D78">
              <w:instrText xml:space="preserve"> SEQ ( \* ARABIC </w:instrText>
            </w:r>
            <w:r w:rsidR="00803D78">
              <w:fldChar w:fldCharType="separate"/>
            </w:r>
            <w:r w:rsidR="00E25CCC">
              <w:rPr>
                <w:noProof/>
              </w:rPr>
              <w:t>3</w:t>
            </w:r>
            <w:r w:rsidR="00803D78">
              <w:rPr>
                <w:noProof/>
              </w:rPr>
              <w:fldChar w:fldCharType="end"/>
            </w:r>
            <w:r>
              <w:rPr>
                <w:rFonts w:hint="eastAsia"/>
              </w:rPr>
              <w:t>)</w:t>
            </w:r>
            <w:bookmarkEnd w:id="9"/>
          </w:p>
        </w:tc>
      </w:tr>
    </w:tbl>
    <w:p w14:paraId="072B8C89" w14:textId="6EF95D4D"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E25CCC">
        <w:t>(</w:t>
      </w:r>
      <w:r w:rsidR="00E25CCC">
        <w:rPr>
          <w:noProof/>
        </w:rPr>
        <w:t>2</w:t>
      </w:r>
      <w:r w:rsidR="00E25CCC">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E25CCC">
        <w:t>(</w:t>
      </w:r>
      <w:r w:rsidR="00E25CCC">
        <w:rPr>
          <w:noProof/>
        </w:rPr>
        <w:t>3</w:t>
      </w:r>
      <w:r w:rsidR="00E25CCC">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471CC9F5" w:rsidR="006A2DA5" w:rsidRPr="00764F78" w:rsidRDefault="006A2DA5" w:rsidP="00495049">
            <w:pPr>
              <w:pStyle w:val="a9"/>
              <w:spacing w:before="180" w:after="180"/>
              <w:ind w:firstLine="480"/>
              <w:jc w:val="right"/>
            </w:pPr>
            <w:bookmarkStart w:id="10" w:name="_Ref189214718"/>
            <w:r>
              <w:t>(</w:t>
            </w:r>
            <w:r w:rsidR="00803D78">
              <w:fldChar w:fldCharType="begin"/>
            </w:r>
            <w:r w:rsidR="00803D78">
              <w:instrText xml:space="preserve"> SEQ ( \* ARABIC </w:instrText>
            </w:r>
            <w:r w:rsidR="00803D78">
              <w:fldChar w:fldCharType="separate"/>
            </w:r>
            <w:r w:rsidR="00E25CCC">
              <w:rPr>
                <w:noProof/>
              </w:rPr>
              <w:t>4</w:t>
            </w:r>
            <w:r w:rsidR="00803D78">
              <w:rPr>
                <w:noProof/>
              </w:rPr>
              <w:fldChar w:fldCharType="end"/>
            </w:r>
            <w:r>
              <w:rPr>
                <w:rFonts w:hint="eastAsia"/>
              </w:rPr>
              <w:t>)</w:t>
            </w:r>
            <w:bookmarkEnd w:id="10"/>
          </w:p>
        </w:tc>
      </w:tr>
      <w:tr w:rsidR="006A2DA5" w14:paraId="782CE5D6" w14:textId="77777777" w:rsidTr="00470204">
        <w:tc>
          <w:tcPr>
            <w:tcW w:w="7574" w:type="dxa"/>
            <w:vAlign w:val="center"/>
          </w:tcPr>
          <w:p w14:paraId="26B0AADF" w14:textId="3BC2D2CC" w:rsidR="006A2DA5"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4B1BAA59" w:rsidR="006A2DA5" w:rsidRDefault="006A2DA5" w:rsidP="00495049">
            <w:pPr>
              <w:pStyle w:val="a9"/>
              <w:spacing w:before="180" w:after="180"/>
              <w:ind w:firstLine="480"/>
              <w:jc w:val="right"/>
            </w:pPr>
            <w:bookmarkStart w:id="11" w:name="_Ref183666874"/>
            <w:r>
              <w:t>(</w:t>
            </w:r>
            <w:r w:rsidR="00803D78">
              <w:fldChar w:fldCharType="begin"/>
            </w:r>
            <w:r w:rsidR="00803D78">
              <w:instrText xml:space="preserve"> SEQ ( \* ARABIC </w:instrText>
            </w:r>
            <w:r w:rsidR="00803D78">
              <w:fldChar w:fldCharType="separate"/>
            </w:r>
            <w:r w:rsidR="00E25CCC">
              <w:rPr>
                <w:noProof/>
              </w:rPr>
              <w:t>5</w:t>
            </w:r>
            <w:r w:rsidR="00803D78">
              <w:rPr>
                <w:noProof/>
              </w:rPr>
              <w:fldChar w:fldCharType="end"/>
            </w:r>
            <w:r>
              <w:rPr>
                <w:rFonts w:hint="eastAsia"/>
              </w:rPr>
              <w:t>)</w:t>
            </w:r>
            <w:bookmarkEnd w:id="11"/>
          </w:p>
        </w:tc>
      </w:tr>
    </w:tbl>
    <w:p w14:paraId="41486D5F" w14:textId="4393F179"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E25CCC">
        <w:t>(</w:t>
      </w:r>
      <w:r w:rsidR="00E25CCC">
        <w:rPr>
          <w:noProof/>
        </w:rPr>
        <w:t>1</w:t>
      </w:r>
      <w:r w:rsidR="00E25CCC">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E25CCC">
        <w:t>(</w:t>
      </w:r>
      <w:r w:rsidR="00E25CCC">
        <w:rPr>
          <w:noProof/>
        </w:rPr>
        <w:t>5</w:t>
      </w:r>
      <w:r w:rsidR="00E25CCC">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E25CCC">
        <w:t>(</w:t>
      </w:r>
      <w:r w:rsidR="00E25CCC">
        <w:rPr>
          <w:noProof/>
        </w:rPr>
        <w:t>2</w:t>
      </w:r>
      <w:r w:rsidR="00E25CCC">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E25CCC">
        <w:t>(</w:t>
      </w:r>
      <w:r w:rsidR="00E25CCC">
        <w:rPr>
          <w:noProof/>
        </w:rPr>
        <w:t>5</w:t>
      </w:r>
      <w:r w:rsidR="00E25CCC">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07BC3771" w:rsidR="007C0373" w:rsidRPr="007C0373" w:rsidRDefault="004F631C" w:rsidP="007C0373">
            <w:pPr>
              <w:pStyle w:val="a9"/>
              <w:spacing w:before="180" w:after="180"/>
              <w:ind w:firstLine="480"/>
              <w:jc w:val="right"/>
            </w:pPr>
            <w:r>
              <w:t>(</w:t>
            </w:r>
            <w:r w:rsidR="00803D78">
              <w:fldChar w:fldCharType="begin"/>
            </w:r>
            <w:r w:rsidR="00803D78">
              <w:instrText xml:space="preserve"> SEQ ( \* ARABIC </w:instrText>
            </w:r>
            <w:r w:rsidR="00803D78">
              <w:fldChar w:fldCharType="separate"/>
            </w:r>
            <w:r w:rsidR="00E25CCC">
              <w:rPr>
                <w:noProof/>
              </w:rPr>
              <w:t>6</w:t>
            </w:r>
            <w:r w:rsidR="00803D78">
              <w:rPr>
                <w:noProof/>
              </w:rPr>
              <w:fldChar w:fldCharType="end"/>
            </w:r>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0404C412" w:rsidR="004F631C" w:rsidRDefault="004F631C" w:rsidP="00495049">
            <w:pPr>
              <w:pStyle w:val="a9"/>
              <w:spacing w:before="180" w:after="180"/>
              <w:ind w:firstLine="480"/>
              <w:jc w:val="right"/>
            </w:pPr>
            <w:r>
              <w:t>(</w:t>
            </w:r>
            <w:r w:rsidR="00803D78">
              <w:fldChar w:fldCharType="begin"/>
            </w:r>
            <w:r w:rsidR="00803D78">
              <w:instrText xml:space="preserve"> SEQ ( \* ARABIC </w:instrText>
            </w:r>
            <w:r w:rsidR="00803D78">
              <w:fldChar w:fldCharType="separate"/>
            </w:r>
            <w:r w:rsidR="00E25CCC">
              <w:rPr>
                <w:noProof/>
              </w:rPr>
              <w:t>7</w:t>
            </w:r>
            <w:r w:rsidR="00803D78">
              <w:rPr>
                <w:noProof/>
              </w:rPr>
              <w:fldChar w:fldCharType="end"/>
            </w:r>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3B72CB14" w:rsidR="004F631C" w:rsidRDefault="00415057" w:rsidP="004F631C">
            <w:pPr>
              <w:pStyle w:val="a9"/>
              <w:spacing w:before="180" w:after="180"/>
              <w:ind w:firstLine="480"/>
              <w:jc w:val="right"/>
            </w:pPr>
            <w:r>
              <w:t>(</w:t>
            </w:r>
            <w:r w:rsidR="00803D78">
              <w:fldChar w:fldCharType="begin"/>
            </w:r>
            <w:r w:rsidR="00803D78">
              <w:instrText xml:space="preserve"> SEQ ( \* ARABIC </w:instrText>
            </w:r>
            <w:r w:rsidR="00803D78">
              <w:fldChar w:fldCharType="separate"/>
            </w:r>
            <w:r w:rsidR="00E25CCC">
              <w:rPr>
                <w:noProof/>
              </w:rPr>
              <w:t>8</w:t>
            </w:r>
            <w:r w:rsidR="00803D78">
              <w:rPr>
                <w:noProof/>
              </w:rPr>
              <w:fldChar w:fldCharType="end"/>
            </w:r>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303B4DCA" w:rsidR="004F631C" w:rsidRDefault="00415057" w:rsidP="004F631C">
            <w:pPr>
              <w:pStyle w:val="a9"/>
              <w:spacing w:before="180" w:after="180"/>
              <w:ind w:firstLine="480"/>
              <w:jc w:val="right"/>
            </w:pPr>
            <w:r>
              <w:t>(</w:t>
            </w:r>
            <w:r w:rsidR="00803D78">
              <w:fldChar w:fldCharType="begin"/>
            </w:r>
            <w:r w:rsidR="00803D78">
              <w:instrText xml:space="preserve"> SEQ ( \* ARABIC </w:instrText>
            </w:r>
            <w:r w:rsidR="00803D78">
              <w:fldChar w:fldCharType="separate"/>
            </w:r>
            <w:r w:rsidR="00E25CCC">
              <w:rPr>
                <w:noProof/>
              </w:rPr>
              <w:t>9</w:t>
            </w:r>
            <w:r w:rsidR="00803D78">
              <w:rPr>
                <w:noProof/>
              </w:rPr>
              <w:fldChar w:fldCharType="end"/>
            </w:r>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2027A8C2"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E25CCC">
        <w:t>(</w:t>
      </w:r>
      <w:r w:rsidR="00E25CCC">
        <w:rPr>
          <w:noProof/>
        </w:rPr>
        <w:t>1</w:t>
      </w:r>
      <w:r w:rsidR="00E25CCC">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無風險利率量化，進一步限制了無風險利率在比</w:t>
      </w:r>
      <w:proofErr w:type="gramStart"/>
      <w:r>
        <w:rPr>
          <w:rFonts w:hint="eastAsia"/>
        </w:rPr>
        <w:t>特</w:t>
      </w:r>
      <w:proofErr w:type="gramEnd"/>
      <w:r>
        <w:rPr>
          <w:rFonts w:hint="eastAsia"/>
        </w:rPr>
        <w:t>幣選擇權定價中的適用性。</w:t>
      </w:r>
    </w:p>
    <w:p w14:paraId="2CF80AA0" w14:textId="55C87B04" w:rsidR="00BA0521" w:rsidRDefault="009F55DC" w:rsidP="00DE3699">
      <w:pPr>
        <w:spacing w:before="180" w:after="180"/>
        <w:ind w:firstLine="480"/>
      </w:pPr>
      <w:r>
        <w:rPr>
          <w:rFonts w:hint="eastAsia"/>
        </w:rPr>
        <w:lastRenderedPageBreak/>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E25CCC">
        <w:t>(</w:t>
      </w:r>
      <w:r w:rsidR="00E25CCC">
        <w:rPr>
          <w:noProof/>
        </w:rPr>
        <w:t>10</w:t>
      </w:r>
      <w:r w:rsidR="00E25CCC">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E25CCC">
        <w:t>(</w:t>
      </w:r>
      <w:r w:rsidR="00E25CCC">
        <w:rPr>
          <w:noProof/>
        </w:rPr>
        <w:t>11</w:t>
      </w:r>
      <w:r w:rsidR="00E25CCC">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0613FB66" w:rsidR="00C96DE9" w:rsidRDefault="00C96DE9" w:rsidP="00C96DE9">
            <w:pPr>
              <w:pStyle w:val="a9"/>
              <w:spacing w:before="180" w:after="180"/>
              <w:jc w:val="right"/>
            </w:pPr>
            <w:bookmarkStart w:id="12" w:name="_Ref184140393"/>
            <w:r>
              <w:t>(</w:t>
            </w:r>
            <w:r w:rsidR="00803D78">
              <w:fldChar w:fldCharType="begin"/>
            </w:r>
            <w:r w:rsidR="00803D78">
              <w:instrText xml:space="preserve"> SEQ ( \* ARABIC </w:instrText>
            </w:r>
            <w:r w:rsidR="00803D78">
              <w:fldChar w:fldCharType="separate"/>
            </w:r>
            <w:r w:rsidR="00E25CCC">
              <w:rPr>
                <w:noProof/>
              </w:rPr>
              <w:t>10</w:t>
            </w:r>
            <w:r w:rsidR="00803D78">
              <w:rPr>
                <w:noProof/>
              </w:rPr>
              <w:fldChar w:fldCharType="end"/>
            </w:r>
            <w:r>
              <w:rPr>
                <w:rFonts w:hint="eastAsia"/>
              </w:rPr>
              <w:t>)</w:t>
            </w:r>
            <w:bookmarkEnd w:id="12"/>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1E6759E8" w:rsidR="002116B3" w:rsidRDefault="002116B3" w:rsidP="002116B3">
            <w:pPr>
              <w:pStyle w:val="a9"/>
              <w:spacing w:before="180" w:after="180"/>
              <w:jc w:val="right"/>
            </w:pPr>
            <w:bookmarkStart w:id="13" w:name="_Ref184140413"/>
            <w:r>
              <w:t>(</w:t>
            </w:r>
            <w:r w:rsidR="00803D78">
              <w:fldChar w:fldCharType="begin"/>
            </w:r>
            <w:r w:rsidR="00803D78">
              <w:instrText xml:space="preserve"> SEQ ( \* ARABIC </w:instrText>
            </w:r>
            <w:r w:rsidR="00803D78">
              <w:fldChar w:fldCharType="separate"/>
            </w:r>
            <w:r w:rsidR="00E25CCC">
              <w:rPr>
                <w:noProof/>
              </w:rPr>
              <w:t>11</w:t>
            </w:r>
            <w:r w:rsidR="00803D78">
              <w:rPr>
                <w:noProof/>
              </w:rPr>
              <w:fldChar w:fldCharType="end"/>
            </w:r>
            <w:r>
              <w:rPr>
                <w:rFonts w:hint="eastAsia"/>
              </w:rPr>
              <w:t>)</w:t>
            </w:r>
            <w:bookmarkEnd w:id="13"/>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0B2D87D9" w14:textId="1F305FEB"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w:t>
      </w:r>
      <w:r>
        <w:rPr>
          <w:rFonts w:hint="eastAsia"/>
        </w:rPr>
        <w:lastRenderedPageBreak/>
        <w:t>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09C479F4" w:rsidR="00653CFB" w:rsidRDefault="00653CFB" w:rsidP="005F66D1">
      <w:pPr>
        <w:spacing w:before="180" w:after="180"/>
        <w:ind w:firstLine="480"/>
      </w:pPr>
      <w:r w:rsidRPr="00653CFB">
        <w:rPr>
          <w:rFonts w:hint="eastAsia"/>
        </w:rPr>
        <w:t>David Shimko</w:t>
      </w:r>
      <w:r w:rsidR="00FB3472">
        <w:rPr>
          <w:rFonts w:hint="eastAsia"/>
        </w:rPr>
        <w:t xml:space="preserve"> (</w:t>
      </w:r>
      <w:r w:rsidRPr="00653CFB">
        <w:rPr>
          <w:rFonts w:hint="eastAsia"/>
        </w:rPr>
        <w:t>1993</w:t>
      </w:r>
      <w:r w:rsidR="00FB3472">
        <w:rPr>
          <w:rFonts w:hint="eastAsia"/>
        </w:rPr>
        <w:t xml:space="preserve">) </w:t>
      </w:r>
      <w:r w:rsidRPr="00653CFB">
        <w:rPr>
          <w:rFonts w:hint="eastAsia"/>
        </w:rPr>
        <w:t>提出將市場選擇權價格轉換至隱含波動率（</w:t>
      </w:r>
      <w:r w:rsidRPr="00653CFB">
        <w:rPr>
          <w:rFonts w:hint="eastAsia"/>
        </w:rPr>
        <w:t>Implied Volatility, IV</w:t>
      </w:r>
      <w:r w:rsidRPr="00653CFB">
        <w:rPr>
          <w:rFonts w:hint="eastAsia"/>
        </w:rPr>
        <w:t>）後</w:t>
      </w:r>
      <w:proofErr w:type="gramStart"/>
      <w:r w:rsidRPr="00653CFB">
        <w:rPr>
          <w:rFonts w:hint="eastAsia"/>
        </w:rPr>
        <w:t>進行插值</w:t>
      </w:r>
      <w:proofErr w:type="gramEnd"/>
      <w:r>
        <w:rPr>
          <w:rFonts w:hint="eastAsia"/>
        </w:rPr>
        <w:t>（</w:t>
      </w:r>
      <w:r>
        <w:rPr>
          <w:rFonts w:hint="eastAsia"/>
        </w:rPr>
        <w:t>Interpolation</w:t>
      </w:r>
      <w:r>
        <w:rPr>
          <w:rFonts w:hint="eastAsia"/>
        </w:rPr>
        <w:t>）</w:t>
      </w:r>
      <w:r w:rsidRPr="00653CFB">
        <w:rPr>
          <w:rFonts w:hint="eastAsia"/>
        </w:rPr>
        <w:t>，因為隱含波動率曲線通常比價格數據更平滑且連續，適合</w:t>
      </w:r>
      <w:proofErr w:type="gramStart"/>
      <w:r w:rsidRPr="00653CFB">
        <w:rPr>
          <w:rFonts w:hint="eastAsia"/>
        </w:rPr>
        <w:t>進行插值與</w:t>
      </w:r>
      <w:proofErr w:type="gramEnd"/>
      <w:r w:rsidRPr="00653CFB">
        <w:rPr>
          <w:rFonts w:hint="eastAsia"/>
        </w:rPr>
        <w:t>平滑處理</w:t>
      </w:r>
      <w:r>
        <w:rPr>
          <w:rFonts w:hint="eastAsia"/>
        </w:rPr>
        <w:t>，</w:t>
      </w:r>
      <w:r w:rsidRPr="00653CFB">
        <w:rPr>
          <w:rFonts w:hint="eastAsia"/>
        </w:rPr>
        <w:t>再將</w:t>
      </w:r>
      <w:proofErr w:type="gramStart"/>
      <w:r w:rsidRPr="00653CFB">
        <w:rPr>
          <w:rFonts w:hint="eastAsia"/>
        </w:rPr>
        <w:t>插值後</w:t>
      </w:r>
      <w:proofErr w:type="gramEnd"/>
      <w:r w:rsidRPr="00653CFB">
        <w:rPr>
          <w:rFonts w:hint="eastAsia"/>
        </w:rPr>
        <w:t>的曲線重新轉換回</w:t>
      </w:r>
      <w:r>
        <w:rPr>
          <w:rFonts w:hint="eastAsia"/>
        </w:rPr>
        <w:t>買權價格</w:t>
      </w:r>
      <w:r w:rsidRPr="00653CFB">
        <w:rPr>
          <w:rFonts w:hint="eastAsia"/>
        </w:rPr>
        <w:t>，以計算</w:t>
      </w:r>
      <w:r>
        <w:rPr>
          <w:rFonts w:hint="eastAsia"/>
        </w:rPr>
        <w:t>RND</w:t>
      </w:r>
      <w:r w:rsidRPr="00653CFB">
        <w:rPr>
          <w:rFonts w:hint="eastAsia"/>
        </w:rPr>
        <w:t>。此方法並不</w:t>
      </w:r>
      <w:r>
        <w:rPr>
          <w:rFonts w:hint="eastAsia"/>
        </w:rPr>
        <w:t>依賴</w:t>
      </w:r>
      <w:r w:rsidRPr="00653CFB">
        <w:rPr>
          <w:rFonts w:hint="eastAsia"/>
        </w:rPr>
        <w:t>選擇權價格符合</w:t>
      </w:r>
      <w:r w:rsidRPr="00653CFB">
        <w:rPr>
          <w:rFonts w:hint="eastAsia"/>
        </w:rPr>
        <w:t>Black-Scholes</w:t>
      </w:r>
      <w:r w:rsidRPr="00653CFB">
        <w:rPr>
          <w:rFonts w:hint="eastAsia"/>
        </w:rPr>
        <w:t>模型</w:t>
      </w:r>
      <w:r>
        <w:rPr>
          <w:rFonts w:hint="eastAsia"/>
        </w:rPr>
        <w:t>條件假設</w:t>
      </w:r>
      <w:r w:rsidRPr="00653CFB">
        <w:rPr>
          <w:rFonts w:hint="eastAsia"/>
        </w:rPr>
        <w:t>，而是僅將</w:t>
      </w:r>
      <w:r w:rsidRPr="00653CFB">
        <w:rPr>
          <w:rFonts w:hint="eastAsia"/>
        </w:rPr>
        <w:t>Black-Scholes</w:t>
      </w:r>
      <w:r w:rsidRPr="00653CFB">
        <w:rPr>
          <w:rFonts w:hint="eastAsia"/>
        </w:rPr>
        <w:t>公式作為一種計算工具，用來將數據轉換至更適合進行平滑處理的</w:t>
      </w:r>
      <w:r>
        <w:rPr>
          <w:rFonts w:hint="eastAsia"/>
        </w:rPr>
        <w:t>樣態</w:t>
      </w:r>
      <w:r w:rsidRPr="00653CFB">
        <w:rPr>
          <w:rFonts w:hint="eastAsia"/>
        </w:rPr>
        <w:t>。</w:t>
      </w:r>
    </w:p>
    <w:p w14:paraId="6CC14CBF" w14:textId="30A29AA4" w:rsidR="00C40C3F" w:rsidRDefault="003E53B0" w:rsidP="00C40C3F">
      <w:pPr>
        <w:spacing w:before="180" w:after="180"/>
        <w:ind w:firstLine="480"/>
      </w:pPr>
      <w:proofErr w:type="spellStart"/>
      <w:r w:rsidRPr="003E53B0">
        <w:rPr>
          <w:rFonts w:hint="eastAsia"/>
        </w:rPr>
        <w:t>Figlewski</w:t>
      </w:r>
      <w:proofErr w:type="spellEnd"/>
      <w:r w:rsidR="00FB3472">
        <w:rPr>
          <w:rFonts w:hint="eastAsia"/>
        </w:rPr>
        <w:t xml:space="preserve"> (</w:t>
      </w:r>
      <w:r w:rsidRPr="003E53B0">
        <w:rPr>
          <w:rFonts w:hint="eastAsia"/>
        </w:rPr>
        <w:t>2008</w:t>
      </w:r>
      <w:r w:rsidR="00FB3472">
        <w:rPr>
          <w:rFonts w:hint="eastAsia"/>
        </w:rPr>
        <w:t xml:space="preserve">) </w:t>
      </w:r>
      <w:r w:rsidRPr="003E53B0">
        <w:rPr>
          <w:rFonts w:hint="eastAsia"/>
        </w:rPr>
        <w:t>提出的方法旨在解決價平附近選擇權隱含波動率數據的異常波動問題，尤其是買權</w:t>
      </w:r>
      <w:r w:rsidR="00987726">
        <w:rPr>
          <w:rFonts w:hint="eastAsia"/>
        </w:rPr>
        <w:t>與</w:t>
      </w:r>
      <w:r w:rsidRPr="003E53B0">
        <w:rPr>
          <w:rFonts w:hint="eastAsia"/>
        </w:rPr>
        <w:t>賣權價格在價平附近的跳躍現象</w:t>
      </w:r>
      <w:r w:rsidR="00987726">
        <w:rPr>
          <w:rFonts w:hint="eastAsia"/>
        </w:rPr>
        <w:t>，</w:t>
      </w:r>
      <w:r w:rsidRPr="003E53B0">
        <w:rPr>
          <w:rFonts w:hint="eastAsia"/>
        </w:rPr>
        <w:t>這種跳躍可能導致隱含波動率</w:t>
      </w:r>
      <w:r w:rsidR="00987726">
        <w:rPr>
          <w:rFonts w:hint="eastAsia"/>
        </w:rPr>
        <w:t>曲線</w:t>
      </w:r>
      <w:r w:rsidRPr="003E53B0">
        <w:rPr>
          <w:rFonts w:hint="eastAsia"/>
        </w:rPr>
        <w:t>不平滑，進而影響</w:t>
      </w:r>
      <w:r w:rsidR="00987726">
        <w:rPr>
          <w:rFonts w:hint="eastAsia"/>
        </w:rPr>
        <w:t>RND</w:t>
      </w:r>
      <w:r w:rsidR="00987726">
        <w:rPr>
          <w:rFonts w:hint="eastAsia"/>
        </w:rPr>
        <w:t>計算結果之穩定性</w:t>
      </w:r>
      <w:r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3F5A7A48"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E25CCC">
        <w:rPr>
          <w:rFonts w:hint="eastAsia"/>
        </w:rPr>
        <w:t>圖</w:t>
      </w:r>
      <w:r w:rsidR="00E25CCC">
        <w:rPr>
          <w:rFonts w:hint="eastAsia"/>
        </w:rPr>
        <w:t>4-</w:t>
      </w:r>
      <w:r w:rsidR="00E25CCC">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E25CCC">
        <w:rPr>
          <w:rFonts w:hint="eastAsia"/>
        </w:rPr>
        <w:t>圖</w:t>
      </w:r>
      <w:r w:rsidR="00E25CCC">
        <w:rPr>
          <w:rFonts w:hint="eastAsia"/>
        </w:rPr>
        <w:t>4-</w:t>
      </w:r>
      <w:r w:rsidR="00E25CCC">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w:t>
      </w:r>
      <w:r w:rsidRPr="004D7F17">
        <w:lastRenderedPageBreak/>
        <w:t>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E25CCC">
        <w:rPr>
          <w:rFonts w:hint="eastAsia"/>
        </w:rPr>
        <w:t>圖</w:t>
      </w:r>
      <w:r w:rsidR="00E25CCC">
        <w:rPr>
          <w:rFonts w:hint="eastAsia"/>
        </w:rPr>
        <w:t>4-</w:t>
      </w:r>
      <w:r w:rsidR="00E25CCC">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18"/>
                    <a:stretch>
                      <a:fillRect/>
                    </a:stretch>
                  </pic:blipFill>
                  <pic:spPr>
                    <a:xfrm>
                      <a:off x="0" y="0"/>
                      <a:ext cx="4680000" cy="2981133"/>
                    </a:xfrm>
                    <a:prstGeom prst="rect">
                      <a:avLst/>
                    </a:prstGeom>
                  </pic:spPr>
                </pic:pic>
              </a:graphicData>
            </a:graphic>
          </wp:inline>
        </w:drawing>
      </w:r>
    </w:p>
    <w:p w14:paraId="7A6BE9F4" w14:textId="59B75575" w:rsidR="00473435" w:rsidRDefault="00473435" w:rsidP="00473435">
      <w:pPr>
        <w:pStyle w:val="a9"/>
        <w:spacing w:before="180" w:after="180"/>
      </w:pPr>
      <w:bookmarkStart w:id="14"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1</w:t>
      </w:r>
      <w:r>
        <w:fldChar w:fldCharType="end"/>
      </w:r>
      <w:bookmarkEnd w:id="14"/>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19"/>
                    <a:stretch>
                      <a:fillRect/>
                    </a:stretch>
                  </pic:blipFill>
                  <pic:spPr>
                    <a:xfrm>
                      <a:off x="0" y="0"/>
                      <a:ext cx="4680000" cy="2981134"/>
                    </a:xfrm>
                    <a:prstGeom prst="rect">
                      <a:avLst/>
                    </a:prstGeom>
                  </pic:spPr>
                </pic:pic>
              </a:graphicData>
            </a:graphic>
          </wp:inline>
        </w:drawing>
      </w:r>
    </w:p>
    <w:p w14:paraId="569744D6" w14:textId="5E2CEF74" w:rsidR="00473435" w:rsidRDefault="00473435" w:rsidP="00473435">
      <w:pPr>
        <w:pStyle w:val="a9"/>
        <w:spacing w:before="180" w:after="180"/>
      </w:pPr>
      <w:bookmarkStart w:id="15"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2</w:t>
      </w:r>
      <w:r>
        <w:fldChar w:fldCharType="end"/>
      </w:r>
      <w:bookmarkEnd w:id="15"/>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0"/>
                    <a:stretch>
                      <a:fillRect/>
                    </a:stretch>
                  </pic:blipFill>
                  <pic:spPr>
                    <a:xfrm>
                      <a:off x="0" y="0"/>
                      <a:ext cx="4680000" cy="2981134"/>
                    </a:xfrm>
                    <a:prstGeom prst="rect">
                      <a:avLst/>
                    </a:prstGeom>
                  </pic:spPr>
                </pic:pic>
              </a:graphicData>
            </a:graphic>
          </wp:inline>
        </w:drawing>
      </w:r>
    </w:p>
    <w:p w14:paraId="3AAFF10C" w14:textId="46E77EAC" w:rsidR="009D4D5D" w:rsidRPr="009D4D5D" w:rsidRDefault="009D4D5D" w:rsidP="009D4D5D">
      <w:pPr>
        <w:pStyle w:val="a9"/>
        <w:spacing w:before="180" w:after="180"/>
      </w:pPr>
      <w:bookmarkStart w:id="16"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3</w:t>
      </w:r>
      <w:r>
        <w:fldChar w:fldCharType="end"/>
      </w:r>
      <w:bookmarkEnd w:id="1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454655D" w14:textId="1679AD1D"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002C818A"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E25CCC">
        <w:rPr>
          <w:rFonts w:hint="eastAsia"/>
        </w:rPr>
        <w:t>圖</w:t>
      </w:r>
      <w:r w:rsidR="00E25CCC">
        <w:rPr>
          <w:rFonts w:hint="eastAsia"/>
        </w:rPr>
        <w:t>4-</w:t>
      </w:r>
      <w:r w:rsidR="00E25CCC">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1"/>
                    <a:stretch>
                      <a:fillRect/>
                    </a:stretch>
                  </pic:blipFill>
                  <pic:spPr>
                    <a:xfrm>
                      <a:off x="0" y="0"/>
                      <a:ext cx="4680000" cy="3022959"/>
                    </a:xfrm>
                    <a:prstGeom prst="rect">
                      <a:avLst/>
                    </a:prstGeom>
                  </pic:spPr>
                </pic:pic>
              </a:graphicData>
            </a:graphic>
          </wp:inline>
        </w:drawing>
      </w:r>
    </w:p>
    <w:p w14:paraId="5E33C302" w14:textId="7D97C8AD" w:rsidR="00830EEC" w:rsidRPr="00716605" w:rsidRDefault="00C54885" w:rsidP="00C54885">
      <w:pPr>
        <w:pStyle w:val="a9"/>
        <w:spacing w:before="180" w:after="180"/>
      </w:pPr>
      <w:bookmarkStart w:id="17"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4</w:t>
      </w:r>
      <w:r>
        <w:fldChar w:fldCharType="end"/>
      </w:r>
      <w:bookmarkEnd w:id="17"/>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7E7B25F1" w14:textId="436B57D8" w:rsidR="00FE59E1" w:rsidRDefault="00852AA5" w:rsidP="00852AA5">
      <w:pPr>
        <w:spacing w:before="180" w:after="180"/>
        <w:ind w:firstLine="480"/>
        <w:rPr>
          <w:rFonts w:hint="eastAsia"/>
        </w:rPr>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E25CCC">
        <w:t>(</w:t>
      </w:r>
      <w:r w:rsidR="00E25CCC">
        <w:rPr>
          <w:noProof/>
        </w:rPr>
        <w:t>11</w:t>
      </w:r>
      <w:r w:rsidR="00E25CCC">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E25CCC">
        <w:rPr>
          <w:rFonts w:hint="eastAsia"/>
        </w:rPr>
        <w:t>圖</w:t>
      </w:r>
      <w:r w:rsidR="00E25CCC">
        <w:rPr>
          <w:rFonts w:hint="eastAsia"/>
        </w:rPr>
        <w:t>4-</w:t>
      </w:r>
      <w:r w:rsidR="00E25CCC">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2"/>
                    <a:stretch>
                      <a:fillRect/>
                    </a:stretch>
                  </pic:blipFill>
                  <pic:spPr>
                    <a:xfrm>
                      <a:off x="0" y="0"/>
                      <a:ext cx="4680000" cy="2944812"/>
                    </a:xfrm>
                    <a:prstGeom prst="rect">
                      <a:avLst/>
                    </a:prstGeom>
                  </pic:spPr>
                </pic:pic>
              </a:graphicData>
            </a:graphic>
          </wp:inline>
        </w:drawing>
      </w:r>
    </w:p>
    <w:p w14:paraId="307A92C4" w14:textId="09F5E4C4" w:rsidR="00601A99" w:rsidRDefault="00601A99" w:rsidP="00601A99">
      <w:pPr>
        <w:pStyle w:val="a9"/>
        <w:spacing w:before="180" w:after="180"/>
        <w:rPr>
          <w:rFonts w:hint="eastAsia"/>
        </w:rPr>
      </w:pPr>
      <w:bookmarkStart w:id="18"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5</w:t>
      </w:r>
      <w:r>
        <w:fldChar w:fldCharType="end"/>
      </w:r>
      <w:bookmarkEnd w:id="1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Pr>
          <w:rFonts w:hint="eastAsia"/>
        </w:rPr>
        <w:t>理論買權價格</w:t>
      </w:r>
      <w:r>
        <w:rPr>
          <w:rFonts w:hint="eastAsia"/>
        </w:rPr>
        <w:t>（</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264E25DD" w:rsidR="007F37F0" w:rsidRDefault="007F37F0" w:rsidP="00852AA5">
      <w:pPr>
        <w:spacing w:before="180" w:after="180"/>
        <w:ind w:firstLine="480"/>
      </w:pPr>
      <w:r w:rsidRPr="007F37F0">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w:t>
      </w:r>
      <w:r w:rsidR="00601A99" w:rsidRPr="00601A99">
        <w:lastRenderedPageBreak/>
        <w:t>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E25CCC">
        <w:t>(</w:t>
      </w:r>
      <w:r w:rsidR="00E25CCC">
        <w:rPr>
          <w:noProof/>
        </w:rPr>
        <w:t>4</w:t>
      </w:r>
      <w:r w:rsidR="00E25CCC">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E25CCC">
        <w:t>(</w:t>
      </w:r>
      <w:r w:rsidR="00E25CCC">
        <w:rPr>
          <w:noProof/>
        </w:rPr>
        <w:t>5</w:t>
      </w:r>
      <w:r w:rsidR="00E25CCC">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26DC4611" w14:textId="72EC8BCC" w:rsidR="00506C97" w:rsidRDefault="00506C97" w:rsidP="00506C97">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重點著重於累積分配函數（</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檢驗方面，本研究首先確保累積分配函數值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r>
        <w:rPr>
          <w:rFonts w:hint="eastAsia"/>
        </w:rPr>
        <w:t>檢驗</w:t>
      </w:r>
      <w:r w:rsidRPr="00506C97">
        <w:t>標準</w:t>
      </w:r>
      <w:r>
        <w:rPr>
          <w:rFonts w:hint="eastAsia"/>
        </w:rPr>
        <w:t>之</w:t>
      </w:r>
      <w:r w:rsidRPr="00506C97">
        <w:t>設定主要基於三個面向的考量。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544B129A" w:rsidR="00506C97" w:rsidRPr="00506C97" w:rsidRDefault="00506C97" w:rsidP="00506C97">
      <w:pPr>
        <w:spacing w:before="180" w:after="180"/>
        <w:ind w:firstLine="480"/>
        <w:rPr>
          <w:rFonts w:hint="eastAsia"/>
        </w:rPr>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E25CCC">
        <w:rPr>
          <w:rFonts w:hint="eastAsia"/>
        </w:rPr>
        <w:t>圖</w:t>
      </w:r>
      <w:r w:rsidR="00E25CCC">
        <w:rPr>
          <w:rFonts w:hint="eastAsia"/>
        </w:rPr>
        <w:t>4-</w:t>
      </w:r>
      <w:r w:rsidR="00E25CCC">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E25CCC">
        <w:rPr>
          <w:rFonts w:hint="eastAsia"/>
        </w:rPr>
        <w:t>圖</w:t>
      </w:r>
      <w:r w:rsidR="00E25CCC">
        <w:rPr>
          <w:rFonts w:hint="eastAsia"/>
        </w:rPr>
        <w:t>4-</w:t>
      </w:r>
      <w:r w:rsidR="00E25CCC">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rPr>
          <w:rFonts w:hint="eastAsia"/>
        </w:rPr>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23"/>
                    <a:stretch>
                      <a:fillRect/>
                    </a:stretch>
                  </pic:blipFill>
                  <pic:spPr>
                    <a:xfrm>
                      <a:off x="0" y="0"/>
                      <a:ext cx="4680000" cy="3154487"/>
                    </a:xfrm>
                    <a:prstGeom prst="rect">
                      <a:avLst/>
                    </a:prstGeom>
                  </pic:spPr>
                </pic:pic>
              </a:graphicData>
            </a:graphic>
          </wp:inline>
        </w:drawing>
      </w:r>
    </w:p>
    <w:p w14:paraId="40848232" w14:textId="58979D6D" w:rsidR="00506C97" w:rsidRDefault="00F36D4C" w:rsidP="00F36D4C">
      <w:pPr>
        <w:pStyle w:val="a9"/>
        <w:spacing w:before="180" w:after="180"/>
        <w:ind w:firstLine="480"/>
        <w:rPr>
          <w:rFonts w:hint="eastAsia"/>
        </w:rPr>
      </w:pPr>
      <w:bookmarkStart w:id="19"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6</w:t>
      </w:r>
      <w:r>
        <w:fldChar w:fldCharType="end"/>
      </w:r>
      <w:bookmarkEnd w:id="1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Pr>
          <w:rFonts w:hint="eastAsia"/>
        </w:rPr>
        <w:t>風險中立機率密度函數</w:t>
      </w:r>
      <w:r>
        <w:rPr>
          <w:rFonts w:hint="eastAsia"/>
        </w:rPr>
        <w:t>（</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rPr>
          <w:rFonts w:hint="eastAsia"/>
        </w:rPr>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4CE8F0A4" w14:textId="0839E2B5" w:rsidR="00F36D4C" w:rsidRPr="00506C97" w:rsidRDefault="00F36D4C" w:rsidP="00F36D4C">
      <w:pPr>
        <w:pStyle w:val="a9"/>
        <w:spacing w:before="180" w:after="180"/>
        <w:rPr>
          <w:rFonts w:hint="eastAsia"/>
        </w:rPr>
      </w:pPr>
      <w:bookmarkStart w:id="20"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25CCC">
        <w:rPr>
          <w:noProof/>
        </w:rPr>
        <w:t>7</w:t>
      </w:r>
      <w:r>
        <w:fldChar w:fldCharType="end"/>
      </w:r>
      <w:bookmarkEnd w:id="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w:t>
      </w:r>
      <w:r>
        <w:rPr>
          <w:rFonts w:hint="eastAsia"/>
        </w:rPr>
        <w:t>累積分布</w:t>
      </w:r>
      <w:r>
        <w:rPr>
          <w:rFonts w:hint="eastAsia"/>
        </w:rPr>
        <w:t>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6005665A" w:rsidR="0012177C" w:rsidRDefault="0012177C" w:rsidP="0012177C">
      <w:pPr>
        <w:pStyle w:val="2"/>
      </w:pPr>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806786">
        <w:rPr>
          <w:rFonts w:hint="eastAsia"/>
        </w:rPr>
        <w:t>端</w:t>
      </w:r>
      <w:r w:rsidR="00224FF9">
        <w:rPr>
          <w:rFonts w:hint="eastAsia"/>
        </w:rPr>
        <w:t>分布</w:t>
      </w:r>
    </w:p>
    <w:p w14:paraId="50E34D06" w14:textId="1F7F8D30"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proofErr w:type="spellStart"/>
      <w:r w:rsidRPr="001A6EE8">
        <w:t>Figlewski</w:t>
      </w:r>
      <w:proofErr w:type="spellEnd"/>
      <w:r w:rsidR="00E25CCC">
        <w:rPr>
          <w:rFonts w:hint="eastAsia"/>
        </w:rPr>
        <w:t>(</w:t>
      </w:r>
      <w:r w:rsidRPr="001A6EE8">
        <w:t>2008</w:t>
      </w:r>
      <w:r w:rsidR="00E25CCC">
        <w:rPr>
          <w:rFonts w:hint="eastAsia"/>
        </w:rPr>
        <w:t xml:space="preserve">) </w:t>
      </w:r>
      <w:r w:rsidRPr="001A6EE8">
        <w:t>提出使用廣義極值分配（</w:t>
      </w:r>
      <w:r w:rsidRPr="001A6EE8">
        <w:t xml:space="preserve">Generalized Extreme Value Distribution, </w:t>
      </w:r>
      <w:r w:rsidRPr="001A6EE8">
        <w:lastRenderedPageBreak/>
        <w:t>GEV</w:t>
      </w:r>
      <w:r w:rsidRPr="001A6EE8">
        <w:t>）</w:t>
      </w:r>
      <w:proofErr w:type="gramStart"/>
      <w:r w:rsidRPr="001A6EE8">
        <w:t>來配適</w:t>
      </w:r>
      <w:proofErr w:type="gramEnd"/>
      <w:r w:rsidRPr="001A6EE8">
        <w:t>RND</w:t>
      </w:r>
      <w:r w:rsidRPr="001A6EE8">
        <w:t>的尾部，其方法需要設定三個條件以確保</w:t>
      </w:r>
      <w:proofErr w:type="gramStart"/>
      <w:r w:rsidRPr="001A6EE8">
        <w:t>尾部配適的</w:t>
      </w:r>
      <w:proofErr w:type="gramEnd"/>
      <w:r w:rsidRPr="001A6EE8">
        <w:t>連續性：</w:t>
      </w:r>
    </w:p>
    <w:p w14:paraId="758D5BE3" w14:textId="481BBBE2" w:rsidR="001A6EE8" w:rsidRDefault="001A6EE8" w:rsidP="00985E70">
      <w:pPr>
        <w:pStyle w:val="a5"/>
        <w:numPr>
          <w:ilvl w:val="0"/>
          <w:numId w:val="18"/>
        </w:numPr>
        <w:spacing w:before="180" w:after="180"/>
        <w:ind w:leftChars="0" w:firstLineChars="0"/>
        <w:jc w:val="left"/>
      </w:pPr>
      <w:r w:rsidRPr="001A6EE8">
        <w:t>在接合點處，</w:t>
      </w:r>
      <w:r w:rsidRPr="001A6EE8">
        <w:t>GEV</w:t>
      </w:r>
      <w:r w:rsidRPr="001A6EE8">
        <w:t>尾部的累積機率必須等於</w:t>
      </w:r>
      <w:r w:rsidRPr="001A6EE8">
        <w:t>RND</w:t>
      </w:r>
      <w:r w:rsidRPr="001A6EE8">
        <w:t>的累積機率</w:t>
      </w:r>
      <w:r>
        <w:rPr>
          <w:rFonts w:hint="eastAsia"/>
        </w:rPr>
        <w:t>。</w:t>
      </w:r>
    </w:p>
    <w:p w14:paraId="35F70B3C" w14:textId="77777777" w:rsidR="001A6EE8" w:rsidRDefault="001A6EE8" w:rsidP="00985E70">
      <w:pPr>
        <w:pStyle w:val="a5"/>
        <w:numPr>
          <w:ilvl w:val="0"/>
          <w:numId w:val="18"/>
        </w:numPr>
        <w:spacing w:before="180" w:after="180"/>
        <w:ind w:leftChars="0" w:firstLineChars="0"/>
        <w:jc w:val="left"/>
      </w:pPr>
      <w:r w:rsidRPr="001A6EE8">
        <w:t>在接合點處，</w:t>
      </w:r>
      <w:r w:rsidRPr="001A6EE8">
        <w:t>GEV</w:t>
      </w:r>
      <w:r w:rsidRPr="001A6EE8">
        <w:t>密度函數值必須等於</w:t>
      </w:r>
      <w:r w:rsidRPr="001A6EE8">
        <w:t>RND</w:t>
      </w:r>
      <w:r w:rsidRPr="001A6EE8">
        <w:t>的密度函數值</w:t>
      </w:r>
    </w:p>
    <w:p w14:paraId="6920C801" w14:textId="77777777" w:rsidR="001A6EE8" w:rsidRDefault="001A6EE8" w:rsidP="00985E70">
      <w:pPr>
        <w:pStyle w:val="a5"/>
        <w:numPr>
          <w:ilvl w:val="0"/>
          <w:numId w:val="18"/>
        </w:numPr>
        <w:spacing w:before="180" w:after="180"/>
        <w:ind w:leftChars="0" w:firstLineChars="0"/>
        <w:jc w:val="left"/>
      </w:pPr>
      <w:r w:rsidRPr="001A6EE8">
        <w:t>在第二</w:t>
      </w:r>
      <w:proofErr w:type="gramStart"/>
      <w:r w:rsidRPr="001A6EE8">
        <w:t>個</w:t>
      </w:r>
      <w:proofErr w:type="gramEnd"/>
      <w:r w:rsidRPr="001A6EE8">
        <w:t>接合點處，</w:t>
      </w:r>
      <w:r w:rsidRPr="001A6EE8">
        <w:t>GEV</w:t>
      </w:r>
      <w:r w:rsidRPr="001A6EE8">
        <w:t>密度函數值也必須等於</w:t>
      </w:r>
      <w:r w:rsidRPr="001A6EE8">
        <w:t>RND</w:t>
      </w:r>
      <w:r w:rsidRPr="001A6EE8">
        <w:t>的密度函數值。</w:t>
      </w:r>
    </w:p>
    <w:p w14:paraId="2A6AA699" w14:textId="6C7C9DA0" w:rsidR="00FB3472" w:rsidRPr="00FB3472" w:rsidRDefault="00560A40" w:rsidP="00560A40">
      <w:pPr>
        <w:spacing w:before="180" w:after="180"/>
        <w:ind w:firstLine="480"/>
      </w:pPr>
      <w:r>
        <w:rPr>
          <w:rFonts w:hint="eastAsia"/>
        </w:rPr>
        <w:t>而</w:t>
      </w:r>
      <w:r w:rsidR="00FB3472" w:rsidRPr="00FB3472">
        <w:t>本研究採用廣義柏拉圖分配（</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FB3472" w:rsidRPr="00FB3472">
        <w:t>Balkema &amp; de Haan</w:t>
      </w:r>
      <w:r w:rsidR="00FB3472">
        <w:rPr>
          <w:rFonts w:hint="eastAsia"/>
        </w:rPr>
        <w:t xml:space="preserve"> (</w:t>
      </w:r>
      <w:r w:rsidR="00FB3472" w:rsidRPr="00FB3472">
        <w:t>1974</w:t>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僅需設定兩個參數（尺度參數</w:t>
      </w:r>
      <w:r w:rsidR="00FB3472" w:rsidRPr="00FB3472">
        <w:t>σ</w:t>
      </w:r>
      <w:r w:rsidR="00FB3472" w:rsidRPr="00FB3472">
        <w:t>與形狀參數</w:t>
      </w:r>
      <w:r w:rsidR="00FB3472" w:rsidRPr="00FB3472">
        <w:t>ξ</w:t>
      </w:r>
      <w:r w:rsidR="00FB3472" w:rsidRPr="00FB3472">
        <w:t>），相較於</w:t>
      </w:r>
      <w:r w:rsidR="00FB3472" w:rsidRPr="00FB3472">
        <w:t>GEV</w:t>
      </w:r>
      <w:r w:rsidR="00FB3472" w:rsidRPr="00FB3472">
        <w:t>需要三個參數（位置參數</w:t>
      </w:r>
      <w:r w:rsidR="00FB3472" w:rsidRPr="00FB3472">
        <w:t>μ</w:t>
      </w:r>
      <w:r w:rsidR="00FB3472" w:rsidRPr="00FB3472">
        <w:t>、尺度參數</w:t>
      </w:r>
      <w:r w:rsidR="00FB3472" w:rsidRPr="00FB3472">
        <w:t>σ</w:t>
      </w:r>
      <w:r w:rsidR="00FB3472" w:rsidRPr="00FB3472">
        <w:t>及形狀參數</w:t>
      </w:r>
      <w:r w:rsidR="00FB3472" w:rsidRPr="00FB3472">
        <w:t>ξ</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t>此外，</w:t>
      </w:r>
      <w:proofErr w:type="gramEnd"/>
      <w:r w:rsidR="00FB3472" w:rsidRPr="00FB3472">
        <w:t xml:space="preserve">Hosking &amp; Wallis (1987)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w:t>
      </w:r>
      <w:r w:rsidR="00FB3472" w:rsidRPr="00FB3472">
        <w:t>ξ</w:t>
      </w:r>
      <w:r w:rsidR="00FB3472" w:rsidRPr="00FB3472">
        <w:t>，意味著兩種分配在描述極端事件時具有相同的漸近性質。然而，</w:t>
      </w:r>
      <w:r w:rsidR="00FB3472" w:rsidRPr="00FB3472">
        <w:t>GPD</w:t>
      </w:r>
      <w:r w:rsidR="00FB3472" w:rsidRPr="00FB3472">
        <w:t>在實務應用上更為直觀，特別是在金融風險管理領域，如</w:t>
      </w:r>
      <w:r w:rsidR="00FB3472" w:rsidRPr="00FB3472">
        <w:t xml:space="preserve">McNeil &amp; Frey (2000) </w:t>
      </w:r>
      <w:r w:rsidR="00FB3472" w:rsidRPr="00FB3472">
        <w:t>的研究所示。實證研究方面，</w:t>
      </w:r>
      <w:r w:rsidR="00FB3472" w:rsidRPr="00FB3472">
        <w:t xml:space="preserve">Birru &amp; </w:t>
      </w:r>
      <w:proofErr w:type="spellStart"/>
      <w:r w:rsidR="00FB3472" w:rsidRPr="00FB3472">
        <w:t>Figlewski</w:t>
      </w:r>
      <w:proofErr w:type="spellEnd"/>
      <w:r w:rsidR="00FB3472" w:rsidRPr="00FB3472">
        <w:t xml:space="preserve"> (2012) </w:t>
      </w:r>
      <w:r w:rsidR="00FB3472" w:rsidRPr="00FB3472">
        <w:t>的研究進一步證實，</w:t>
      </w:r>
      <w:r w:rsidR="00FB3472" w:rsidRPr="00FB3472">
        <w:t>GPD</w:t>
      </w:r>
      <w:r w:rsidR="00FB3472" w:rsidRPr="00FB3472">
        <w:t>與</w:t>
      </w:r>
      <w:r w:rsidR="00FB3472" w:rsidRPr="00FB3472">
        <w:t>GEV</w:t>
      </w:r>
      <w:r w:rsidR="00FB3472" w:rsidRPr="00FB3472">
        <w:t>在</w:t>
      </w:r>
      <w:proofErr w:type="gramStart"/>
      <w:r w:rsidR="00FB3472" w:rsidRPr="00FB3472">
        <w:t>尾部配適的</w:t>
      </w:r>
      <w:proofErr w:type="gramEnd"/>
      <w:r w:rsidR="00FB3472" w:rsidRPr="00FB3472">
        <w:t>表現相當接近，且皆優於對數常態分配。這些特性使得</w:t>
      </w:r>
      <w:r w:rsidR="00FB3472" w:rsidRPr="00FB3472">
        <w:t>GPD</w:t>
      </w:r>
      <w:r w:rsidR="00FB3472" w:rsidRPr="00FB3472">
        <w:t>成為門檻超越模型中不可或缺的工具，特別是在需要精確描述超過特定門檻值的極端事件時。</w:t>
      </w:r>
    </w:p>
    <w:p w14:paraId="1DD11ECA" w14:textId="77777777" w:rsidR="00560A40" w:rsidRDefault="001A6EE8" w:rsidP="001A6EE8">
      <w:pPr>
        <w:spacing w:before="180" w:after="180"/>
        <w:ind w:firstLine="480"/>
      </w:pPr>
      <w:r w:rsidRPr="001A6EE8">
        <w:t>本研究提出兩種不同的</w:t>
      </w:r>
      <w:r w:rsidRPr="001A6EE8">
        <w:t>GPD</w:t>
      </w:r>
      <w:proofErr w:type="gramStart"/>
      <w:r w:rsidRPr="001A6EE8">
        <w:t>配適方法</w:t>
      </w:r>
      <w:proofErr w:type="gramEnd"/>
      <w:r w:rsidRPr="001A6EE8">
        <w:t>。第一種方法使用單一接合點，並結合斜率與累積分布函數（</w:t>
      </w:r>
      <w:r w:rsidRPr="001A6EE8">
        <w:t>CDF</w:t>
      </w:r>
      <w:r w:rsidRPr="001A6EE8">
        <w:t>）</w:t>
      </w:r>
      <w:proofErr w:type="gramStart"/>
      <w:r w:rsidRPr="001A6EE8">
        <w:t>作為配適條件</w:t>
      </w:r>
      <w:proofErr w:type="gramEnd"/>
      <w:r w:rsidRPr="001A6EE8">
        <w:t>：</w:t>
      </w:r>
    </w:p>
    <w:p w14:paraId="1042511A" w14:textId="77777777" w:rsidR="00985E70" w:rsidRDefault="001A6EE8" w:rsidP="00985E70">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C7208AE" w14:textId="77777777" w:rsidR="00985E70" w:rsidRDefault="001A6EE8" w:rsidP="00985E70">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6C8A9CB4" w14:textId="77777777" w:rsidR="00985E70" w:rsidRDefault="001A6EE8" w:rsidP="00985E70">
      <w:pPr>
        <w:spacing w:before="180" w:after="180"/>
        <w:ind w:firstLine="480"/>
      </w:pPr>
      <w:r w:rsidRPr="001A6EE8">
        <w:t>第二種方法則採用兩個接合點，直接比較密度函數值：</w:t>
      </w:r>
    </w:p>
    <w:p w14:paraId="430DCA4B" w14:textId="1B60EC3D" w:rsidR="00985E70" w:rsidRDefault="001A6EE8" w:rsidP="00985E70">
      <w:pPr>
        <w:pStyle w:val="a5"/>
        <w:numPr>
          <w:ilvl w:val="0"/>
          <w:numId w:val="20"/>
        </w:numPr>
        <w:spacing w:before="180" w:after="180"/>
        <w:ind w:leftChars="0" w:firstLineChars="0"/>
      </w:pPr>
      <w:r w:rsidRPr="001A6EE8">
        <w:lastRenderedPageBreak/>
        <w:t>在第一個接合點處，</w:t>
      </w:r>
      <w:r w:rsidRPr="001A6EE8">
        <w:t>GPD</w:t>
      </w:r>
      <w:r w:rsidRPr="001A6EE8">
        <w:t>的密度函數值必須等於</w:t>
      </w:r>
      <w:r w:rsidRPr="001A6EE8">
        <w:t>RND</w:t>
      </w:r>
      <w:r w:rsidRPr="001A6EE8">
        <w:t>的密度函數值</w:t>
      </w:r>
    </w:p>
    <w:p w14:paraId="51EB8AD9" w14:textId="18244018" w:rsidR="001A6EE8" w:rsidRPr="001A6EE8" w:rsidRDefault="001A6EE8" w:rsidP="00985E70">
      <w:pPr>
        <w:pStyle w:val="a5"/>
        <w:numPr>
          <w:ilvl w:val="0"/>
          <w:numId w:val="20"/>
        </w:numPr>
        <w:spacing w:before="180" w:after="180"/>
        <w:ind w:leftChars="0" w:firstLineChars="0"/>
      </w:pPr>
      <w:r w:rsidRPr="001A6EE8">
        <w:t>在第二</w:t>
      </w:r>
      <w:proofErr w:type="gramStart"/>
      <w:r w:rsidRPr="001A6EE8">
        <w:t>個</w:t>
      </w:r>
      <w:proofErr w:type="gramEnd"/>
      <w:r w:rsidRPr="001A6EE8">
        <w:t>接合點處，</w:t>
      </w:r>
      <w:r w:rsidRPr="001A6EE8">
        <w:t>GPD</w:t>
      </w:r>
      <w:r w:rsidRPr="001A6EE8">
        <w:t>的密度函數值必須等於</w:t>
      </w:r>
      <w:r w:rsidRPr="001A6EE8">
        <w:t>RND</w:t>
      </w:r>
      <w:r w:rsidRPr="001A6EE8">
        <w:t>的密度函數值。</w:t>
      </w:r>
    </w:p>
    <w:p w14:paraId="3EF30373" w14:textId="5E873871"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的點作為第一接合點，</w:t>
      </w:r>
      <w:r w:rsidRPr="001A6EE8">
        <w:t>2%</w:t>
      </w:r>
      <w:r w:rsidRPr="001A6EE8">
        <w:t>作為第二接合點；</w:t>
      </w:r>
      <w:proofErr w:type="gramStart"/>
      <w:r w:rsidRPr="001A6EE8">
        <w:t>對於右尾</w:t>
      </w:r>
      <w:proofErr w:type="gramEnd"/>
      <w:r w:rsidRPr="001A6EE8">
        <w:t>，則選擇累積機率為</w:t>
      </w:r>
      <w:r w:rsidRPr="001A6EE8">
        <w:t>95%</w:t>
      </w:r>
      <w:r w:rsidRPr="001A6EE8">
        <w:t>的點作為第一接合點，</w:t>
      </w:r>
      <w:r w:rsidRPr="001A6EE8">
        <w:t>98%</w:t>
      </w:r>
      <w:r w:rsidRPr="001A6EE8">
        <w:t>作為第二接合點。此設計能確保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的形狀參數（</w:t>
      </w:r>
      <w:r w:rsidRPr="001A6EE8">
        <w:t>ξ</w:t>
      </w:r>
      <w:r w:rsidRPr="001A6EE8">
        <w:t>）與尺度參數（</w:t>
      </w:r>
      <w:r w:rsidRPr="001A6EE8">
        <w:t>σ</w:t>
      </w:r>
      <w:r w:rsidRPr="001A6EE8">
        <w:t>）。此方法不僅能</w:t>
      </w:r>
      <w:proofErr w:type="gramStart"/>
      <w:r w:rsidRPr="001A6EE8">
        <w:t>確保配適結果</w:t>
      </w:r>
      <w:proofErr w:type="gramEnd"/>
      <w:r w:rsidRPr="001A6EE8">
        <w:t>的準確性，也能維持整體分布的連續性與平滑性。</w:t>
      </w:r>
    </w:p>
    <w:p w14:paraId="3D53A646" w14:textId="6AAA85B0" w:rsidR="00A70ECC" w:rsidRDefault="00A70ECC" w:rsidP="00A70ECC">
      <w:pPr>
        <w:pStyle w:val="aa"/>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25"/>
                    <a:stretch>
                      <a:fillRect/>
                    </a:stretch>
                  </pic:blipFill>
                  <pic:spPr>
                    <a:xfrm>
                      <a:off x="0" y="0"/>
                      <a:ext cx="4680000" cy="3154487"/>
                    </a:xfrm>
                    <a:prstGeom prst="rect">
                      <a:avLst/>
                    </a:prstGeom>
                  </pic:spPr>
                </pic:pic>
              </a:graphicData>
            </a:graphic>
          </wp:inline>
        </w:drawing>
      </w:r>
    </w:p>
    <w:p w14:paraId="12C9ECA9" w14:textId="080AA1D6" w:rsidR="00A70ECC" w:rsidRDefault="00A70ECC" w:rsidP="00A70ECC">
      <w:pPr>
        <w:pStyle w:val="aa"/>
        <w:spacing w:before="180" w:after="180"/>
        <w:rPr>
          <w:rFonts w:hint="eastAsia"/>
        </w:rPr>
      </w:pPr>
      <w:r w:rsidRPr="00A70ECC">
        <w:lastRenderedPageBreak/>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26"/>
                    <a:stretch>
                      <a:fillRect/>
                    </a:stretch>
                  </pic:blipFill>
                  <pic:spPr>
                    <a:xfrm>
                      <a:off x="0" y="0"/>
                      <a:ext cx="4680000" cy="3022959"/>
                    </a:xfrm>
                    <a:prstGeom prst="rect">
                      <a:avLst/>
                    </a:prstGeom>
                  </pic:spPr>
                </pic:pic>
              </a:graphicData>
            </a:graphic>
          </wp:inline>
        </w:drawing>
      </w:r>
    </w:p>
    <w:p w14:paraId="16B932D4" w14:textId="742605C3" w:rsidR="00A70ECC" w:rsidRDefault="00A70ECC" w:rsidP="00A70ECC">
      <w:pPr>
        <w:pStyle w:val="aa"/>
        <w:spacing w:before="180" w:after="180"/>
      </w:pPr>
      <w:r w:rsidRPr="00A70ECC">
        <w:drawing>
          <wp:inline distT="0" distB="0" distL="0" distR="0" wp14:anchorId="71B807CB" wp14:editId="755DE315">
            <wp:extent cx="4680000" cy="3154487"/>
            <wp:effectExtent l="0" t="0" r="6350" b="8255"/>
            <wp:docPr id="1799137356"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37356" name="圖片 1" descr="一張含有 文字, 螢幕擷取畫面, 行, 繪圖 的圖片&#10;&#10;自動產生的描述"/>
                    <pic:cNvPicPr/>
                  </pic:nvPicPr>
                  <pic:blipFill>
                    <a:blip r:embed="rId27"/>
                    <a:stretch>
                      <a:fillRect/>
                    </a:stretch>
                  </pic:blipFill>
                  <pic:spPr>
                    <a:xfrm>
                      <a:off x="0" y="0"/>
                      <a:ext cx="4680000" cy="3154487"/>
                    </a:xfrm>
                    <a:prstGeom prst="rect">
                      <a:avLst/>
                    </a:prstGeom>
                  </pic:spPr>
                </pic:pic>
              </a:graphicData>
            </a:graphic>
          </wp:inline>
        </w:drawing>
      </w:r>
    </w:p>
    <w:p w14:paraId="29C809D9" w14:textId="382E70CE" w:rsidR="00A70ECC" w:rsidRPr="001A6EE8" w:rsidRDefault="00A70ECC" w:rsidP="00A70ECC">
      <w:pPr>
        <w:pStyle w:val="aa"/>
        <w:spacing w:before="180" w:after="180"/>
        <w:rPr>
          <w:rFonts w:hint="eastAsia"/>
        </w:rPr>
      </w:pPr>
      <w:r w:rsidRPr="00A70ECC">
        <w:lastRenderedPageBreak/>
        <w:drawing>
          <wp:inline distT="0" distB="0" distL="0" distR="0" wp14:anchorId="68AA6946" wp14:editId="5EE0E6EE">
            <wp:extent cx="4680000" cy="3022959"/>
            <wp:effectExtent l="0" t="0" r="6350" b="6350"/>
            <wp:docPr id="103684534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45340" name="圖片 1" descr="一張含有 文字, 螢幕擷取畫面, 圖表, 行 的圖片&#10;&#10;自動產生的描述"/>
                    <pic:cNvPicPr/>
                  </pic:nvPicPr>
                  <pic:blipFill>
                    <a:blip r:embed="rId26"/>
                    <a:stretch>
                      <a:fillRect/>
                    </a:stretch>
                  </pic:blipFill>
                  <pic:spPr>
                    <a:xfrm>
                      <a:off x="0" y="0"/>
                      <a:ext cx="4680000" cy="3022959"/>
                    </a:xfrm>
                    <a:prstGeom prst="rect">
                      <a:avLst/>
                    </a:prstGeom>
                  </pic:spPr>
                </pic:pic>
              </a:graphicData>
            </a:graphic>
          </wp:inline>
        </w:drawing>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21" w:name="_Toc182815181"/>
      <w:r>
        <w:rPr>
          <w:rFonts w:hint="eastAsia"/>
        </w:rPr>
        <w:lastRenderedPageBreak/>
        <w:t>第五章、</w:t>
      </w:r>
      <w:bookmarkEnd w:id="21"/>
      <w:r w:rsidR="00404225">
        <w:rPr>
          <w:rFonts w:hint="eastAsia"/>
        </w:rPr>
        <w:t>實證結果分析</w:t>
      </w:r>
    </w:p>
    <w:p w14:paraId="001FD9AD" w14:textId="40CACEDD" w:rsidR="0012721A" w:rsidRDefault="00EC4CA2" w:rsidP="00404225">
      <w:pPr>
        <w:spacing w:before="180" w:after="180"/>
        <w:ind w:firstLine="480"/>
        <w:rPr>
          <w:b/>
          <w:bCs/>
          <w:color w:val="ED7D31" w:themeColor="accent2"/>
        </w:rPr>
      </w:pPr>
      <w:r w:rsidRPr="00EC4CA2">
        <w:rPr>
          <w:rFonts w:hint="eastAsia"/>
          <w:b/>
          <w:bCs/>
          <w:color w:val="ED7D31" w:themeColor="accent2"/>
        </w:rPr>
        <w:t>參考</w:t>
      </w:r>
      <w:r w:rsidRPr="00EC4CA2">
        <w:rPr>
          <w:rFonts w:hint="eastAsia"/>
          <w:b/>
          <w:bCs/>
          <w:color w:val="ED7D31" w:themeColor="accent2"/>
        </w:rPr>
        <w:t>GPD</w:t>
      </w:r>
      <w:r w:rsidRPr="00EC4CA2">
        <w:rPr>
          <w:rFonts w:hint="eastAsia"/>
          <w:b/>
          <w:bCs/>
          <w:color w:val="ED7D31" w:themeColor="accent2"/>
        </w:rPr>
        <w:t>那篇論文、</w:t>
      </w:r>
      <w:proofErr w:type="spellStart"/>
      <w:r w:rsidRPr="00EC4CA2">
        <w:rPr>
          <w:rFonts w:hint="eastAsia"/>
          <w:b/>
          <w:bCs/>
          <w:color w:val="ED7D31" w:themeColor="accent2"/>
        </w:rPr>
        <w:t>Jackwerth</w:t>
      </w:r>
      <w:proofErr w:type="spellEnd"/>
      <w:r w:rsidRPr="00EC4CA2">
        <w:rPr>
          <w:rFonts w:hint="eastAsia"/>
          <w:b/>
          <w:bCs/>
          <w:color w:val="ED7D31" w:themeColor="accent2"/>
        </w:rPr>
        <w:t>、</w:t>
      </w:r>
      <w:proofErr w:type="gramStart"/>
      <w:r w:rsidRPr="00EC4CA2">
        <w:rPr>
          <w:rFonts w:hint="eastAsia"/>
          <w:b/>
          <w:bCs/>
          <w:color w:val="ED7D31" w:themeColor="accent2"/>
        </w:rPr>
        <w:t>韻軒學</w:t>
      </w:r>
      <w:proofErr w:type="gramEnd"/>
      <w:r w:rsidRPr="00EC4CA2">
        <w:rPr>
          <w:rFonts w:hint="eastAsia"/>
          <w:b/>
          <w:bCs/>
          <w:color w:val="ED7D31" w:themeColor="accent2"/>
        </w:rPr>
        <w:t>姐</w:t>
      </w:r>
    </w:p>
    <w:p w14:paraId="0A80140A" w14:textId="6C031A39" w:rsidR="00EC4CA2" w:rsidRDefault="00EC4CA2" w:rsidP="00404225">
      <w:pPr>
        <w:spacing w:before="180" w:after="180"/>
        <w:ind w:firstLine="480"/>
        <w:rPr>
          <w:b/>
          <w:bCs/>
          <w:color w:val="ED7D31" w:themeColor="accent2"/>
        </w:rPr>
      </w:pPr>
      <w:r>
        <w:rPr>
          <w:rFonts w:hint="eastAsia"/>
          <w:b/>
          <w:bCs/>
          <w:color w:val="ED7D31" w:themeColor="accent2"/>
        </w:rPr>
        <w:t>兩個方法有什麼異同？</w:t>
      </w:r>
    </w:p>
    <w:p w14:paraId="1E29C18E" w14:textId="5B3BF8C6" w:rsidR="00EC4CA2" w:rsidRDefault="00EC4CA2" w:rsidP="00404225">
      <w:pPr>
        <w:spacing w:before="180" w:after="180"/>
        <w:ind w:firstLine="480"/>
        <w:rPr>
          <w:b/>
          <w:bCs/>
          <w:color w:val="ED7D31" w:themeColor="accent2"/>
        </w:rPr>
      </w:pPr>
      <w:r>
        <w:rPr>
          <w:rFonts w:hint="eastAsia"/>
          <w:b/>
          <w:bCs/>
          <w:color w:val="ED7D31" w:themeColor="accent2"/>
        </w:rPr>
        <w:t>比較</w:t>
      </w:r>
      <w:r w:rsidR="00151470">
        <w:rPr>
          <w:rFonts w:hint="eastAsia"/>
          <w:b/>
          <w:bCs/>
          <w:color w:val="ED7D31" w:themeColor="accent2"/>
        </w:rPr>
        <w:t>實際買權價格</w:t>
      </w:r>
      <w:r>
        <w:rPr>
          <w:rFonts w:hint="eastAsia"/>
          <w:b/>
          <w:bCs/>
          <w:color w:val="ED7D31" w:themeColor="accent2"/>
        </w:rPr>
        <w:t>差異</w:t>
      </w:r>
    </w:p>
    <w:p w14:paraId="2336B26B" w14:textId="734E2175" w:rsidR="00A96F87" w:rsidRPr="00EC4CA2" w:rsidRDefault="00A96F87" w:rsidP="00404225">
      <w:pPr>
        <w:spacing w:before="180" w:after="180"/>
        <w:ind w:firstLine="480"/>
        <w:rPr>
          <w:b/>
          <w:bCs/>
          <w:color w:val="ED7D31" w:themeColor="accent2"/>
        </w:rPr>
      </w:pPr>
      <w:r>
        <w:rPr>
          <w:rFonts w:hint="eastAsia"/>
          <w:b/>
          <w:bCs/>
          <w:color w:val="ED7D31" w:themeColor="accent2"/>
        </w:rPr>
        <w:t>跑每天的</w:t>
      </w:r>
      <w:proofErr w:type="gramStart"/>
      <w:r>
        <w:rPr>
          <w:rFonts w:hint="eastAsia"/>
          <w:b/>
          <w:bCs/>
          <w:color w:val="ED7D31" w:themeColor="accent2"/>
        </w:rPr>
        <w:t>迴</w:t>
      </w:r>
      <w:proofErr w:type="gramEnd"/>
      <w:r>
        <w:rPr>
          <w:rFonts w:hint="eastAsia"/>
          <w:b/>
          <w:bCs/>
          <w:color w:val="ED7D31" w:themeColor="accent2"/>
        </w:rPr>
        <w:t>歸，找每天</w:t>
      </w:r>
      <w:r>
        <w:rPr>
          <w:rFonts w:hint="eastAsia"/>
          <w:b/>
          <w:bCs/>
          <w:color w:val="ED7D31" w:themeColor="accent2"/>
        </w:rPr>
        <w:t>RND</w:t>
      </w:r>
      <w:r>
        <w:rPr>
          <w:rFonts w:hint="eastAsia"/>
          <w:b/>
          <w:bCs/>
          <w:color w:val="ED7D31" w:themeColor="accent2"/>
        </w:rPr>
        <w:t>的</w:t>
      </w:r>
      <w:r>
        <w:rPr>
          <w:rFonts w:hint="eastAsia"/>
          <w:b/>
          <w:bCs/>
          <w:color w:val="ED7D31" w:themeColor="accent2"/>
        </w:rPr>
        <w:t>std, skewness, kurtosis</w:t>
      </w:r>
    </w:p>
    <w:p w14:paraId="3087C4F3" w14:textId="194B2A13" w:rsidR="00404225" w:rsidRDefault="00404225">
      <w:pPr>
        <w:widowControl/>
        <w:spacing w:before="180" w:after="180" w:line="240" w:lineRule="auto"/>
        <w:ind w:firstLineChars="0" w:firstLine="0"/>
        <w:jc w:val="left"/>
      </w:pPr>
      <w:r>
        <w:br w:type="page"/>
      </w:r>
    </w:p>
    <w:p w14:paraId="2C1F7C6F" w14:textId="58B9D0BA" w:rsidR="00CE12CA" w:rsidRDefault="0073610D" w:rsidP="00404225">
      <w:pPr>
        <w:pStyle w:val="1"/>
        <w:spacing w:before="180" w:after="180"/>
      </w:pPr>
      <w:bookmarkStart w:id="22" w:name="_Toc182815183"/>
      <w:r>
        <w:rPr>
          <w:rFonts w:hint="eastAsia"/>
        </w:rPr>
        <w:lastRenderedPageBreak/>
        <w:t>參考文獻</w:t>
      </w:r>
      <w:bookmarkEnd w:id="22"/>
    </w:p>
    <w:sectPr w:rsidR="00CE12C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BD6F8D" w14:textId="77777777" w:rsidR="009A78D0" w:rsidRDefault="009A78D0" w:rsidP="001C4CCF">
      <w:pPr>
        <w:spacing w:before="120" w:after="120" w:line="240" w:lineRule="auto"/>
        <w:ind w:firstLine="480"/>
      </w:pPr>
      <w:r>
        <w:separator/>
      </w:r>
    </w:p>
  </w:endnote>
  <w:endnote w:type="continuationSeparator" w:id="0">
    <w:p w14:paraId="722D9AEE" w14:textId="77777777" w:rsidR="009A78D0" w:rsidRDefault="009A78D0"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B4A13" w14:textId="77777777" w:rsidR="009A78D0" w:rsidRDefault="009A78D0" w:rsidP="001C4CCF">
      <w:pPr>
        <w:spacing w:before="120" w:after="120" w:line="240" w:lineRule="auto"/>
        <w:ind w:firstLine="480"/>
      </w:pPr>
      <w:r>
        <w:separator/>
      </w:r>
    </w:p>
  </w:footnote>
  <w:footnote w:type="continuationSeparator" w:id="0">
    <w:p w14:paraId="3671CE53" w14:textId="77777777" w:rsidR="009A78D0" w:rsidRDefault="009A78D0" w:rsidP="001C4CCF">
      <w:pPr>
        <w:spacing w:before="120" w:after="120" w:line="240" w:lineRule="auto"/>
        <w:ind w:firstLine="480"/>
      </w:pPr>
      <w:r>
        <w:continuationSeparator/>
      </w:r>
    </w:p>
  </w:footnote>
  <w:footnote w:id="1">
    <w:p w14:paraId="33378461" w14:textId="02D4436A" w:rsidR="002A2A2A" w:rsidRPr="00D20BE4" w:rsidRDefault="002A2A2A" w:rsidP="00D20BE4">
      <w:pPr>
        <w:pStyle w:val="af"/>
        <w:spacing w:before="180" w:after="180"/>
        <w:ind w:firstLine="400"/>
      </w:pPr>
      <w:r>
        <w:rPr>
          <w:rStyle w:val="af1"/>
        </w:rPr>
        <w:footnoteRef/>
      </w:r>
      <w:r>
        <w:t xml:space="preserve"> </w:t>
      </w:r>
      <w:proofErr w:type="spellStart"/>
      <w:r>
        <w:rPr>
          <w:rFonts w:hint="eastAsia"/>
        </w:rPr>
        <w:t>Deribit</w:t>
      </w:r>
      <w:proofErr w:type="spellEnd"/>
      <w:r>
        <w:rPr>
          <w:rFonts w:hint="eastAsia"/>
        </w:rPr>
        <w:t>交易所官方網站：</w:t>
      </w:r>
      <w:r w:rsidR="00FF392E">
        <w:fldChar w:fldCharType="begin"/>
      </w:r>
      <w:r w:rsidR="00FF392E">
        <w:instrText>HYPERLINK "https://www.deribit.com/"</w:instrText>
      </w:r>
      <w:r w:rsidR="00FF392E">
        <w:fldChar w:fldCharType="separate"/>
      </w:r>
      <w:r w:rsidR="00FF392E">
        <w:rPr>
          <w:rStyle w:val="af4"/>
        </w:rPr>
        <w:t>https://www.deribit.com/</w:t>
      </w:r>
      <w:r w:rsidR="00FF392E">
        <w:fldChar w:fldCharType="end"/>
      </w:r>
    </w:p>
  </w:footnote>
  <w:footnote w:id="2">
    <w:p w14:paraId="1EDDA532" w14:textId="1F1AC866" w:rsidR="00FF392E" w:rsidRDefault="00FF392E">
      <w:pPr>
        <w:pStyle w:val="af"/>
        <w:spacing w:before="180" w:after="180"/>
        <w:ind w:firstLine="400"/>
      </w:pPr>
      <w:r>
        <w:rPr>
          <w:rStyle w:val="af1"/>
        </w:rPr>
        <w:footnoteRef/>
      </w:r>
      <w:r>
        <w:t xml:space="preserve"> </w:t>
      </w:r>
      <w:r>
        <w:rPr>
          <w:rFonts w:hint="eastAsia"/>
        </w:rPr>
        <w:t>資料來源：</w:t>
      </w:r>
      <w:r>
        <w:fldChar w:fldCharType="begin"/>
      </w:r>
      <w:r>
        <w:instrText>HYPERLINK "https://www.theblock.co/data/crypto-markets/options"</w:instrText>
      </w:r>
      <w:r>
        <w:fldChar w:fldCharType="separate"/>
      </w:r>
      <w:r>
        <w:rPr>
          <w:rStyle w:val="af4"/>
        </w:rPr>
        <w:t>https://www.theblock.co/data/crypto-markets/options</w:t>
      </w:r>
      <w:r>
        <w:fldChar w:fldCharType="end"/>
      </w:r>
    </w:p>
  </w:footnote>
  <w:footnote w:id="3">
    <w:p w14:paraId="3751F5D9" w14:textId="31ED9626" w:rsidR="006A639C" w:rsidRDefault="006A639C">
      <w:pPr>
        <w:pStyle w:val="af"/>
        <w:spacing w:before="180" w:after="180"/>
        <w:ind w:firstLine="400"/>
      </w:pPr>
      <w:r>
        <w:rPr>
          <w:rStyle w:val="af1"/>
        </w:rPr>
        <w:footnoteRef/>
      </w:r>
      <w:r>
        <w:rPr>
          <w:rFonts w:hint="eastAsia"/>
        </w:rPr>
        <w:t xml:space="preserve"> </w:t>
      </w:r>
      <w:proofErr w:type="spellStart"/>
      <w:r>
        <w:rPr>
          <w:rFonts w:hint="eastAsia"/>
        </w:rPr>
        <w:t>Deribit</w:t>
      </w:r>
      <w:proofErr w:type="spellEnd"/>
      <w:r>
        <w:rPr>
          <w:rFonts w:hint="eastAsia"/>
        </w:rPr>
        <w:t>選擇權合約說明：</w:t>
      </w:r>
      <w:hyperlink r:id="rId1"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19"/>
  </w:num>
  <w:num w:numId="2" w16cid:durableId="396368862">
    <w:abstractNumId w:val="16"/>
  </w:num>
  <w:num w:numId="3" w16cid:durableId="164177961">
    <w:abstractNumId w:val="11"/>
  </w:num>
  <w:num w:numId="4" w16cid:durableId="1695351208">
    <w:abstractNumId w:val="18"/>
  </w:num>
  <w:num w:numId="5" w16cid:durableId="1314259761">
    <w:abstractNumId w:val="14"/>
  </w:num>
  <w:num w:numId="6" w16cid:durableId="1586499273">
    <w:abstractNumId w:val="10"/>
  </w:num>
  <w:num w:numId="7" w16cid:durableId="1924871501">
    <w:abstractNumId w:val="17"/>
  </w:num>
  <w:num w:numId="8" w16cid:durableId="2020084510">
    <w:abstractNumId w:val="8"/>
  </w:num>
  <w:num w:numId="9" w16cid:durableId="84423681">
    <w:abstractNumId w:val="2"/>
  </w:num>
  <w:num w:numId="10" w16cid:durableId="833880678">
    <w:abstractNumId w:val="5"/>
  </w:num>
  <w:num w:numId="11" w16cid:durableId="1789004280">
    <w:abstractNumId w:val="12"/>
  </w:num>
  <w:num w:numId="12" w16cid:durableId="1722898519">
    <w:abstractNumId w:val="6"/>
  </w:num>
  <w:num w:numId="13" w16cid:durableId="962811505">
    <w:abstractNumId w:val="9"/>
  </w:num>
  <w:num w:numId="14" w16cid:durableId="1621257747">
    <w:abstractNumId w:val="15"/>
  </w:num>
  <w:num w:numId="15" w16cid:durableId="1069961925">
    <w:abstractNumId w:val="13"/>
  </w:num>
  <w:num w:numId="16" w16cid:durableId="1538084520">
    <w:abstractNumId w:val="1"/>
  </w:num>
  <w:num w:numId="17" w16cid:durableId="1553735742">
    <w:abstractNumId w:val="0"/>
  </w:num>
  <w:num w:numId="18" w16cid:durableId="865992748">
    <w:abstractNumId w:val="7"/>
  </w:num>
  <w:num w:numId="19" w16cid:durableId="1331524736">
    <w:abstractNumId w:val="3"/>
  </w:num>
  <w:num w:numId="20" w16cid:durableId="20051575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10512"/>
    <w:rsid w:val="00011B2D"/>
    <w:rsid w:val="0001476B"/>
    <w:rsid w:val="00016079"/>
    <w:rsid w:val="000235ED"/>
    <w:rsid w:val="00024747"/>
    <w:rsid w:val="00030F3D"/>
    <w:rsid w:val="00031B9B"/>
    <w:rsid w:val="00032567"/>
    <w:rsid w:val="000371D9"/>
    <w:rsid w:val="00040BE8"/>
    <w:rsid w:val="00044F9A"/>
    <w:rsid w:val="00046AD7"/>
    <w:rsid w:val="000514EA"/>
    <w:rsid w:val="00052FE1"/>
    <w:rsid w:val="00053374"/>
    <w:rsid w:val="00056AB0"/>
    <w:rsid w:val="0007168F"/>
    <w:rsid w:val="00074155"/>
    <w:rsid w:val="0008389B"/>
    <w:rsid w:val="00084FEA"/>
    <w:rsid w:val="0009304E"/>
    <w:rsid w:val="000A6DD5"/>
    <w:rsid w:val="000B2681"/>
    <w:rsid w:val="000B35CE"/>
    <w:rsid w:val="000B7B11"/>
    <w:rsid w:val="000C67BD"/>
    <w:rsid w:val="000E0357"/>
    <w:rsid w:val="000E34B5"/>
    <w:rsid w:val="000E4C3D"/>
    <w:rsid w:val="000E51BD"/>
    <w:rsid w:val="000E56AA"/>
    <w:rsid w:val="000E6321"/>
    <w:rsid w:val="000F11D8"/>
    <w:rsid w:val="000F5196"/>
    <w:rsid w:val="0010376E"/>
    <w:rsid w:val="00110614"/>
    <w:rsid w:val="0011729B"/>
    <w:rsid w:val="0012177C"/>
    <w:rsid w:val="00122FA0"/>
    <w:rsid w:val="00124244"/>
    <w:rsid w:val="0012601A"/>
    <w:rsid w:val="0012631B"/>
    <w:rsid w:val="0012721A"/>
    <w:rsid w:val="00142AC2"/>
    <w:rsid w:val="001435BB"/>
    <w:rsid w:val="00151470"/>
    <w:rsid w:val="00162422"/>
    <w:rsid w:val="00175851"/>
    <w:rsid w:val="0017684B"/>
    <w:rsid w:val="00187B87"/>
    <w:rsid w:val="00193D2A"/>
    <w:rsid w:val="00195C95"/>
    <w:rsid w:val="001A292E"/>
    <w:rsid w:val="001A6EE8"/>
    <w:rsid w:val="001B0DC3"/>
    <w:rsid w:val="001B4A7C"/>
    <w:rsid w:val="001B4D74"/>
    <w:rsid w:val="001B5A34"/>
    <w:rsid w:val="001C375F"/>
    <w:rsid w:val="001C4CCF"/>
    <w:rsid w:val="001C7481"/>
    <w:rsid w:val="001D0C18"/>
    <w:rsid w:val="001D27B3"/>
    <w:rsid w:val="001D3715"/>
    <w:rsid w:val="001E1E99"/>
    <w:rsid w:val="001F069E"/>
    <w:rsid w:val="001F1765"/>
    <w:rsid w:val="00205D84"/>
    <w:rsid w:val="00206F16"/>
    <w:rsid w:val="002116B3"/>
    <w:rsid w:val="00213679"/>
    <w:rsid w:val="00213E82"/>
    <w:rsid w:val="00220B8F"/>
    <w:rsid w:val="00221976"/>
    <w:rsid w:val="002241FA"/>
    <w:rsid w:val="00224FF9"/>
    <w:rsid w:val="00225C55"/>
    <w:rsid w:val="00235F9F"/>
    <w:rsid w:val="00236D2C"/>
    <w:rsid w:val="0024171A"/>
    <w:rsid w:val="002451AB"/>
    <w:rsid w:val="00250604"/>
    <w:rsid w:val="002549B3"/>
    <w:rsid w:val="00257875"/>
    <w:rsid w:val="0026154C"/>
    <w:rsid w:val="0026420B"/>
    <w:rsid w:val="00265CDD"/>
    <w:rsid w:val="0027238B"/>
    <w:rsid w:val="00274E81"/>
    <w:rsid w:val="00275C2A"/>
    <w:rsid w:val="002812B7"/>
    <w:rsid w:val="0028185C"/>
    <w:rsid w:val="00283E30"/>
    <w:rsid w:val="00290B69"/>
    <w:rsid w:val="002914A5"/>
    <w:rsid w:val="002A2A2A"/>
    <w:rsid w:val="002C02EC"/>
    <w:rsid w:val="002C32E3"/>
    <w:rsid w:val="002D44E0"/>
    <w:rsid w:val="002D4E7E"/>
    <w:rsid w:val="002E7B1A"/>
    <w:rsid w:val="002F31B5"/>
    <w:rsid w:val="00305489"/>
    <w:rsid w:val="003145D8"/>
    <w:rsid w:val="00321AF4"/>
    <w:rsid w:val="0032294F"/>
    <w:rsid w:val="00323AF2"/>
    <w:rsid w:val="00346E16"/>
    <w:rsid w:val="00353420"/>
    <w:rsid w:val="00354949"/>
    <w:rsid w:val="003643C9"/>
    <w:rsid w:val="0036511B"/>
    <w:rsid w:val="0036771E"/>
    <w:rsid w:val="003819B4"/>
    <w:rsid w:val="00382A2D"/>
    <w:rsid w:val="00384265"/>
    <w:rsid w:val="0038596A"/>
    <w:rsid w:val="00387F38"/>
    <w:rsid w:val="0039058D"/>
    <w:rsid w:val="00392A8C"/>
    <w:rsid w:val="003A010D"/>
    <w:rsid w:val="003A2FCD"/>
    <w:rsid w:val="003A7CA9"/>
    <w:rsid w:val="003B1AD5"/>
    <w:rsid w:val="003B4B4D"/>
    <w:rsid w:val="003C0819"/>
    <w:rsid w:val="003C52A1"/>
    <w:rsid w:val="003D0FC6"/>
    <w:rsid w:val="003D7C9D"/>
    <w:rsid w:val="003D7CD6"/>
    <w:rsid w:val="003E4990"/>
    <w:rsid w:val="003E53B0"/>
    <w:rsid w:val="00402578"/>
    <w:rsid w:val="00402714"/>
    <w:rsid w:val="00404225"/>
    <w:rsid w:val="00407E5F"/>
    <w:rsid w:val="0041419D"/>
    <w:rsid w:val="004142B6"/>
    <w:rsid w:val="00415057"/>
    <w:rsid w:val="0041619C"/>
    <w:rsid w:val="00423BA8"/>
    <w:rsid w:val="00427109"/>
    <w:rsid w:val="00427613"/>
    <w:rsid w:val="00435E0D"/>
    <w:rsid w:val="00461853"/>
    <w:rsid w:val="00463C12"/>
    <w:rsid w:val="00466389"/>
    <w:rsid w:val="00470204"/>
    <w:rsid w:val="00472B0B"/>
    <w:rsid w:val="00473435"/>
    <w:rsid w:val="00484866"/>
    <w:rsid w:val="00494A77"/>
    <w:rsid w:val="00496610"/>
    <w:rsid w:val="004A3BE2"/>
    <w:rsid w:val="004A52F2"/>
    <w:rsid w:val="004B43D7"/>
    <w:rsid w:val="004B64B4"/>
    <w:rsid w:val="004C2212"/>
    <w:rsid w:val="004C67FB"/>
    <w:rsid w:val="004D7F17"/>
    <w:rsid w:val="004F559A"/>
    <w:rsid w:val="004F5F74"/>
    <w:rsid w:val="004F631C"/>
    <w:rsid w:val="004F7EE0"/>
    <w:rsid w:val="00506C97"/>
    <w:rsid w:val="00514310"/>
    <w:rsid w:val="005220FD"/>
    <w:rsid w:val="00523FCE"/>
    <w:rsid w:val="0052435A"/>
    <w:rsid w:val="00527792"/>
    <w:rsid w:val="00531C6E"/>
    <w:rsid w:val="00533897"/>
    <w:rsid w:val="00536E9A"/>
    <w:rsid w:val="0054114A"/>
    <w:rsid w:val="005453E3"/>
    <w:rsid w:val="0055125C"/>
    <w:rsid w:val="00554F86"/>
    <w:rsid w:val="005568D9"/>
    <w:rsid w:val="00556A89"/>
    <w:rsid w:val="00560A40"/>
    <w:rsid w:val="0056376C"/>
    <w:rsid w:val="005670CD"/>
    <w:rsid w:val="0057431E"/>
    <w:rsid w:val="00582167"/>
    <w:rsid w:val="005830E5"/>
    <w:rsid w:val="005855DB"/>
    <w:rsid w:val="005A1503"/>
    <w:rsid w:val="005A4D09"/>
    <w:rsid w:val="005A6321"/>
    <w:rsid w:val="005A76A0"/>
    <w:rsid w:val="005B1DEE"/>
    <w:rsid w:val="005B25EF"/>
    <w:rsid w:val="005C0960"/>
    <w:rsid w:val="005D15A4"/>
    <w:rsid w:val="005D344F"/>
    <w:rsid w:val="005E059C"/>
    <w:rsid w:val="005E4298"/>
    <w:rsid w:val="005E5DE9"/>
    <w:rsid w:val="005E7638"/>
    <w:rsid w:val="005F66D1"/>
    <w:rsid w:val="00601A99"/>
    <w:rsid w:val="00601FDB"/>
    <w:rsid w:val="00604130"/>
    <w:rsid w:val="00604430"/>
    <w:rsid w:val="00610A0B"/>
    <w:rsid w:val="00613C88"/>
    <w:rsid w:val="006235BB"/>
    <w:rsid w:val="0062587E"/>
    <w:rsid w:val="00626099"/>
    <w:rsid w:val="00631166"/>
    <w:rsid w:val="00645DB1"/>
    <w:rsid w:val="006467BB"/>
    <w:rsid w:val="00646BB2"/>
    <w:rsid w:val="006476CE"/>
    <w:rsid w:val="006527EC"/>
    <w:rsid w:val="0065282E"/>
    <w:rsid w:val="00653CFB"/>
    <w:rsid w:val="00654B34"/>
    <w:rsid w:val="00657271"/>
    <w:rsid w:val="00657B1F"/>
    <w:rsid w:val="00666B54"/>
    <w:rsid w:val="006746B2"/>
    <w:rsid w:val="00676CC7"/>
    <w:rsid w:val="00681D11"/>
    <w:rsid w:val="00682CB2"/>
    <w:rsid w:val="00683DC9"/>
    <w:rsid w:val="00684849"/>
    <w:rsid w:val="006A058E"/>
    <w:rsid w:val="006A08C1"/>
    <w:rsid w:val="006A2B39"/>
    <w:rsid w:val="006A2DA5"/>
    <w:rsid w:val="006A639C"/>
    <w:rsid w:val="006B09C7"/>
    <w:rsid w:val="006B50EE"/>
    <w:rsid w:val="006B5E4E"/>
    <w:rsid w:val="006C5FDE"/>
    <w:rsid w:val="006C70DC"/>
    <w:rsid w:val="006D399C"/>
    <w:rsid w:val="006E13A6"/>
    <w:rsid w:val="006F2A22"/>
    <w:rsid w:val="00701E33"/>
    <w:rsid w:val="00705918"/>
    <w:rsid w:val="0070684E"/>
    <w:rsid w:val="00710703"/>
    <w:rsid w:val="00716605"/>
    <w:rsid w:val="00716965"/>
    <w:rsid w:val="00717A90"/>
    <w:rsid w:val="00717F46"/>
    <w:rsid w:val="00720E4C"/>
    <w:rsid w:val="00727C07"/>
    <w:rsid w:val="00730202"/>
    <w:rsid w:val="00731282"/>
    <w:rsid w:val="00734D49"/>
    <w:rsid w:val="0073610D"/>
    <w:rsid w:val="0074744B"/>
    <w:rsid w:val="00750A47"/>
    <w:rsid w:val="007637A9"/>
    <w:rsid w:val="00764F78"/>
    <w:rsid w:val="00765613"/>
    <w:rsid w:val="00767608"/>
    <w:rsid w:val="0077361A"/>
    <w:rsid w:val="007749D3"/>
    <w:rsid w:val="00775E82"/>
    <w:rsid w:val="00787D31"/>
    <w:rsid w:val="00791C43"/>
    <w:rsid w:val="00791EA7"/>
    <w:rsid w:val="007950D0"/>
    <w:rsid w:val="007A6E58"/>
    <w:rsid w:val="007C0373"/>
    <w:rsid w:val="007C4ECD"/>
    <w:rsid w:val="007C6E8A"/>
    <w:rsid w:val="007C6F2E"/>
    <w:rsid w:val="007D6678"/>
    <w:rsid w:val="007E1E54"/>
    <w:rsid w:val="007E66F6"/>
    <w:rsid w:val="007E75C0"/>
    <w:rsid w:val="007F292A"/>
    <w:rsid w:val="007F2CA7"/>
    <w:rsid w:val="007F37F0"/>
    <w:rsid w:val="007F74DE"/>
    <w:rsid w:val="00801AAB"/>
    <w:rsid w:val="00803D78"/>
    <w:rsid w:val="00804DA0"/>
    <w:rsid w:val="00806122"/>
    <w:rsid w:val="00806786"/>
    <w:rsid w:val="0081184A"/>
    <w:rsid w:val="0081515F"/>
    <w:rsid w:val="00816A1B"/>
    <w:rsid w:val="00817714"/>
    <w:rsid w:val="008214E7"/>
    <w:rsid w:val="0082413A"/>
    <w:rsid w:val="00830EEC"/>
    <w:rsid w:val="008503EB"/>
    <w:rsid w:val="00852AA5"/>
    <w:rsid w:val="00853AEB"/>
    <w:rsid w:val="00865287"/>
    <w:rsid w:val="00870186"/>
    <w:rsid w:val="008751EC"/>
    <w:rsid w:val="00875BFD"/>
    <w:rsid w:val="0088017E"/>
    <w:rsid w:val="00882547"/>
    <w:rsid w:val="00886807"/>
    <w:rsid w:val="00890FE8"/>
    <w:rsid w:val="008A610B"/>
    <w:rsid w:val="008B3FDC"/>
    <w:rsid w:val="008B468E"/>
    <w:rsid w:val="008C1437"/>
    <w:rsid w:val="008C4933"/>
    <w:rsid w:val="008D031B"/>
    <w:rsid w:val="008D080D"/>
    <w:rsid w:val="008D5149"/>
    <w:rsid w:val="008D6AEC"/>
    <w:rsid w:val="008E1AF4"/>
    <w:rsid w:val="008E3193"/>
    <w:rsid w:val="008E3E9E"/>
    <w:rsid w:val="008E5DE5"/>
    <w:rsid w:val="008F14ED"/>
    <w:rsid w:val="00900D70"/>
    <w:rsid w:val="009039FA"/>
    <w:rsid w:val="00906EB0"/>
    <w:rsid w:val="00907B6B"/>
    <w:rsid w:val="00910484"/>
    <w:rsid w:val="0091402F"/>
    <w:rsid w:val="0091593D"/>
    <w:rsid w:val="00926EE0"/>
    <w:rsid w:val="00935478"/>
    <w:rsid w:val="00942A2F"/>
    <w:rsid w:val="00943B97"/>
    <w:rsid w:val="009455B8"/>
    <w:rsid w:val="00951C44"/>
    <w:rsid w:val="00955B12"/>
    <w:rsid w:val="00962EA8"/>
    <w:rsid w:val="009703DB"/>
    <w:rsid w:val="00972409"/>
    <w:rsid w:val="00973643"/>
    <w:rsid w:val="00974AD3"/>
    <w:rsid w:val="009773DB"/>
    <w:rsid w:val="00985E70"/>
    <w:rsid w:val="00987726"/>
    <w:rsid w:val="00987819"/>
    <w:rsid w:val="00992A58"/>
    <w:rsid w:val="00994121"/>
    <w:rsid w:val="009A24CB"/>
    <w:rsid w:val="009A78D0"/>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7680"/>
    <w:rsid w:val="009F20CD"/>
    <w:rsid w:val="009F55DC"/>
    <w:rsid w:val="009F634B"/>
    <w:rsid w:val="00A00028"/>
    <w:rsid w:val="00A013CD"/>
    <w:rsid w:val="00A214DE"/>
    <w:rsid w:val="00A25A04"/>
    <w:rsid w:val="00A2663C"/>
    <w:rsid w:val="00A305AC"/>
    <w:rsid w:val="00A343E5"/>
    <w:rsid w:val="00A50D4D"/>
    <w:rsid w:val="00A644AA"/>
    <w:rsid w:val="00A66B01"/>
    <w:rsid w:val="00A70A1B"/>
    <w:rsid w:val="00A70ECC"/>
    <w:rsid w:val="00A710BF"/>
    <w:rsid w:val="00A8621D"/>
    <w:rsid w:val="00A92DEA"/>
    <w:rsid w:val="00A934BB"/>
    <w:rsid w:val="00A96F87"/>
    <w:rsid w:val="00AB133B"/>
    <w:rsid w:val="00AB2758"/>
    <w:rsid w:val="00AB3ACB"/>
    <w:rsid w:val="00AC1297"/>
    <w:rsid w:val="00AC23C0"/>
    <w:rsid w:val="00AC75BE"/>
    <w:rsid w:val="00AD284F"/>
    <w:rsid w:val="00AD704C"/>
    <w:rsid w:val="00AE1107"/>
    <w:rsid w:val="00AF3083"/>
    <w:rsid w:val="00AF4CB0"/>
    <w:rsid w:val="00AF5D80"/>
    <w:rsid w:val="00AF758B"/>
    <w:rsid w:val="00B11D41"/>
    <w:rsid w:val="00B14E00"/>
    <w:rsid w:val="00B162E6"/>
    <w:rsid w:val="00B20A25"/>
    <w:rsid w:val="00B21E34"/>
    <w:rsid w:val="00B3145E"/>
    <w:rsid w:val="00B348B8"/>
    <w:rsid w:val="00B377A6"/>
    <w:rsid w:val="00B40CFC"/>
    <w:rsid w:val="00B4199B"/>
    <w:rsid w:val="00B42346"/>
    <w:rsid w:val="00B47E73"/>
    <w:rsid w:val="00B519E3"/>
    <w:rsid w:val="00B5230A"/>
    <w:rsid w:val="00B53880"/>
    <w:rsid w:val="00B565B1"/>
    <w:rsid w:val="00B60CD3"/>
    <w:rsid w:val="00B61431"/>
    <w:rsid w:val="00B6390B"/>
    <w:rsid w:val="00B665F4"/>
    <w:rsid w:val="00B66B76"/>
    <w:rsid w:val="00B86AE6"/>
    <w:rsid w:val="00B9105A"/>
    <w:rsid w:val="00BA0521"/>
    <w:rsid w:val="00BA0540"/>
    <w:rsid w:val="00BA4DE9"/>
    <w:rsid w:val="00BA74F6"/>
    <w:rsid w:val="00BA7CF4"/>
    <w:rsid w:val="00BC378B"/>
    <w:rsid w:val="00BD06D2"/>
    <w:rsid w:val="00BD071F"/>
    <w:rsid w:val="00BF0B1C"/>
    <w:rsid w:val="00BF138D"/>
    <w:rsid w:val="00BF32FB"/>
    <w:rsid w:val="00BF4AA0"/>
    <w:rsid w:val="00C04D35"/>
    <w:rsid w:val="00C1570D"/>
    <w:rsid w:val="00C23924"/>
    <w:rsid w:val="00C276F9"/>
    <w:rsid w:val="00C30021"/>
    <w:rsid w:val="00C34BB2"/>
    <w:rsid w:val="00C40C3F"/>
    <w:rsid w:val="00C451F7"/>
    <w:rsid w:val="00C52650"/>
    <w:rsid w:val="00C54885"/>
    <w:rsid w:val="00C605B8"/>
    <w:rsid w:val="00C61AE1"/>
    <w:rsid w:val="00C7394B"/>
    <w:rsid w:val="00C7484F"/>
    <w:rsid w:val="00C849DF"/>
    <w:rsid w:val="00C84D8E"/>
    <w:rsid w:val="00C84F89"/>
    <w:rsid w:val="00C86AA3"/>
    <w:rsid w:val="00C873F8"/>
    <w:rsid w:val="00C96DE9"/>
    <w:rsid w:val="00CA36F0"/>
    <w:rsid w:val="00CA4918"/>
    <w:rsid w:val="00CB31CF"/>
    <w:rsid w:val="00CB7A0C"/>
    <w:rsid w:val="00CC1EDD"/>
    <w:rsid w:val="00CC2AA8"/>
    <w:rsid w:val="00CC4CB8"/>
    <w:rsid w:val="00CC7872"/>
    <w:rsid w:val="00CD7500"/>
    <w:rsid w:val="00CE12CA"/>
    <w:rsid w:val="00CE50A4"/>
    <w:rsid w:val="00CE7B4A"/>
    <w:rsid w:val="00CF650B"/>
    <w:rsid w:val="00CF65C5"/>
    <w:rsid w:val="00D01F9A"/>
    <w:rsid w:val="00D052BF"/>
    <w:rsid w:val="00D0543D"/>
    <w:rsid w:val="00D06B02"/>
    <w:rsid w:val="00D137AD"/>
    <w:rsid w:val="00D20BE4"/>
    <w:rsid w:val="00D25173"/>
    <w:rsid w:val="00D43390"/>
    <w:rsid w:val="00D46F4D"/>
    <w:rsid w:val="00D5107F"/>
    <w:rsid w:val="00D53CDB"/>
    <w:rsid w:val="00D57591"/>
    <w:rsid w:val="00D577EB"/>
    <w:rsid w:val="00D63026"/>
    <w:rsid w:val="00D638B5"/>
    <w:rsid w:val="00D64CE5"/>
    <w:rsid w:val="00D67F91"/>
    <w:rsid w:val="00D71F61"/>
    <w:rsid w:val="00D72805"/>
    <w:rsid w:val="00D72F07"/>
    <w:rsid w:val="00D75654"/>
    <w:rsid w:val="00D859BC"/>
    <w:rsid w:val="00D8601D"/>
    <w:rsid w:val="00D93BDB"/>
    <w:rsid w:val="00D960EA"/>
    <w:rsid w:val="00DA497E"/>
    <w:rsid w:val="00DA5AA9"/>
    <w:rsid w:val="00DA6A69"/>
    <w:rsid w:val="00DB10C1"/>
    <w:rsid w:val="00DB7417"/>
    <w:rsid w:val="00DC5D5F"/>
    <w:rsid w:val="00DD2DBC"/>
    <w:rsid w:val="00DD6901"/>
    <w:rsid w:val="00DE06FF"/>
    <w:rsid w:val="00DE318B"/>
    <w:rsid w:val="00DE3699"/>
    <w:rsid w:val="00DF7014"/>
    <w:rsid w:val="00E06DB1"/>
    <w:rsid w:val="00E20F97"/>
    <w:rsid w:val="00E21AD3"/>
    <w:rsid w:val="00E24A26"/>
    <w:rsid w:val="00E25CCC"/>
    <w:rsid w:val="00E410D8"/>
    <w:rsid w:val="00E453C8"/>
    <w:rsid w:val="00E459AE"/>
    <w:rsid w:val="00E52D5F"/>
    <w:rsid w:val="00E5598D"/>
    <w:rsid w:val="00E60DAF"/>
    <w:rsid w:val="00E6602F"/>
    <w:rsid w:val="00E67017"/>
    <w:rsid w:val="00E673AD"/>
    <w:rsid w:val="00E743A6"/>
    <w:rsid w:val="00E74967"/>
    <w:rsid w:val="00E76F46"/>
    <w:rsid w:val="00E83066"/>
    <w:rsid w:val="00E83DB1"/>
    <w:rsid w:val="00E85726"/>
    <w:rsid w:val="00E923AC"/>
    <w:rsid w:val="00E97FD8"/>
    <w:rsid w:val="00EA6491"/>
    <w:rsid w:val="00EB225D"/>
    <w:rsid w:val="00EB5CE1"/>
    <w:rsid w:val="00EC48E7"/>
    <w:rsid w:val="00EC4CA2"/>
    <w:rsid w:val="00EC5B94"/>
    <w:rsid w:val="00ED3B39"/>
    <w:rsid w:val="00ED61D0"/>
    <w:rsid w:val="00ED770A"/>
    <w:rsid w:val="00EE46F3"/>
    <w:rsid w:val="00EF4FE7"/>
    <w:rsid w:val="00F00B8D"/>
    <w:rsid w:val="00F0399E"/>
    <w:rsid w:val="00F03E10"/>
    <w:rsid w:val="00F0423B"/>
    <w:rsid w:val="00F145BE"/>
    <w:rsid w:val="00F276FE"/>
    <w:rsid w:val="00F362D1"/>
    <w:rsid w:val="00F36D4C"/>
    <w:rsid w:val="00F40883"/>
    <w:rsid w:val="00F4379F"/>
    <w:rsid w:val="00F54A2B"/>
    <w:rsid w:val="00F564B1"/>
    <w:rsid w:val="00F67FB5"/>
    <w:rsid w:val="00F7013E"/>
    <w:rsid w:val="00F70BCC"/>
    <w:rsid w:val="00F8525E"/>
    <w:rsid w:val="00F86E11"/>
    <w:rsid w:val="00F909BF"/>
    <w:rsid w:val="00F97637"/>
    <w:rsid w:val="00FA17A1"/>
    <w:rsid w:val="00FA3E79"/>
    <w:rsid w:val="00FA3EA0"/>
    <w:rsid w:val="00FA4B71"/>
    <w:rsid w:val="00FB218D"/>
    <w:rsid w:val="00FB3472"/>
    <w:rsid w:val="00FB35F3"/>
    <w:rsid w:val="00FC1861"/>
    <w:rsid w:val="00FC5180"/>
    <w:rsid w:val="00FC5782"/>
    <w:rsid w:val="00FD3081"/>
    <w:rsid w:val="00FD6825"/>
    <w:rsid w:val="00FE09E2"/>
    <w:rsid w:val="00FE47A7"/>
    <w:rsid w:val="00FE59E1"/>
    <w:rsid w:val="00FF392E"/>
    <w:rsid w:val="00FF4476"/>
    <w:rsid w:val="00FF549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s://www.deribit.com/kb/option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1487</Words>
  <Characters>8478</Characters>
  <Application>Microsoft Office Word</Application>
  <DocSecurity>0</DocSecurity>
  <Lines>70</Lines>
  <Paragraphs>19</Paragraphs>
  <ScaleCrop>false</ScaleCrop>
  <Company/>
  <LinksUpToDate>false</LinksUpToDate>
  <CharactersWithSpaces>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士誠 王</cp:lastModifiedBy>
  <cp:revision>2</cp:revision>
  <cp:lastPrinted>2025-01-31T04:44:00Z</cp:lastPrinted>
  <dcterms:created xsi:type="dcterms:W3CDTF">2025-01-31T09:24:00Z</dcterms:created>
  <dcterms:modified xsi:type="dcterms:W3CDTF">2025-01-31T09:24:00Z</dcterms:modified>
</cp:coreProperties>
</file>