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93B9674" w14:textId="77777777" w:rsidR="00B565B1" w:rsidRDefault="00B565B1" w:rsidP="00007CC0">
      <w:pPr>
        <w:spacing w:beforeLines="0" w:before="0" w:afterLines="0" w:after="0"/>
        <w:ind w:firstLineChars="0" w:firstLine="0"/>
        <w:rPr>
          <w:rFonts w:hint="eastAsia"/>
        </w:rPr>
      </w:pPr>
    </w:p>
    <w:p w14:paraId="79028519" w14:textId="7777777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r w:rsidR="00007CC0">
        <w:rPr>
          <w:rFonts w:hint="eastAsia"/>
          <w:b/>
          <w:bCs/>
          <w:sz w:val="40"/>
        </w:rPr>
        <w:t>尾部配適方法</w:t>
      </w:r>
    </w:p>
    <w:p w14:paraId="66D4767C" w14:textId="14A2C412" w:rsidR="00E923AC" w:rsidRPr="00B565B1"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與報酬率預測能力：比特幣選擇權之實證分析</w:t>
      </w:r>
    </w:p>
    <w:p w14:paraId="7BB6B67B" w14:textId="77777777" w:rsidR="00E923AC" w:rsidRPr="00B565B1" w:rsidRDefault="00E923AC" w:rsidP="00E24A26">
      <w:pPr>
        <w:spacing w:beforeLines="0" w:before="0" w:afterLines="0" w:after="0"/>
        <w:ind w:firstLineChars="0" w:firstLine="0"/>
        <w:rPr>
          <w:rFonts w:hint="eastAsia"/>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01FAAFF0" w:rsidR="00E923AC" w:rsidRPr="00B565B1" w:rsidRDefault="00E923AC" w:rsidP="00E24A26">
      <w:pPr>
        <w:spacing w:beforeLines="0" w:before="0" w:afterLines="0" w:after="0" w:line="276" w:lineRule="auto"/>
        <w:ind w:leftChars="1100" w:left="2640" w:firstLineChars="0" w:firstLine="0"/>
        <w:jc w:val="left"/>
        <w:rPr>
          <w:b/>
          <w:bCs/>
          <w:sz w:val="36"/>
        </w:rPr>
      </w:pPr>
      <w:r w:rsidRPr="00BC0ED0">
        <w:rPr>
          <w:rFonts w:hint="eastAsia"/>
          <w:b/>
          <w:bCs/>
          <w:spacing w:val="199"/>
          <w:w w:val="59"/>
          <w:kern w:val="0"/>
          <w:sz w:val="36"/>
          <w:fitText w:val="1440" w:id="-769911808"/>
        </w:rPr>
        <w:t>研究</w:t>
      </w:r>
      <w:r w:rsidRPr="00BC0ED0">
        <w:rPr>
          <w:rFonts w:hint="eastAsia"/>
          <w:b/>
          <w:bCs/>
          <w:w w:val="59"/>
          <w:kern w:val="0"/>
          <w:sz w:val="36"/>
          <w:fitText w:val="1440" w:id="-769911808"/>
        </w:rPr>
        <w:t>生</w:t>
      </w:r>
      <w:r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r>
        <w:rPr>
          <w:rFonts w:hint="eastAsia"/>
        </w:rPr>
        <w:lastRenderedPageBreak/>
        <w:t>誌謝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本研究採用全球最大比特幣選擇權交易平台</w:t>
      </w:r>
      <w:r w:rsidRPr="00FC6694">
        <w:t>Deribit</w:t>
      </w:r>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34343E00"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AF4043">
        <w:rPr>
          <w:rFonts w:hint="eastAsia"/>
        </w:rPr>
        <w:t>圖</w:t>
      </w:r>
      <w:r w:rsidR="00AF4043">
        <w:rPr>
          <w:rFonts w:hint="eastAsia"/>
        </w:rPr>
        <w:t>3-</w:t>
      </w:r>
      <w:r w:rsidR="00AF4043">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26C8D955"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F4043">
        <w:rPr>
          <w:noProof/>
        </w:rPr>
        <w:t>1</w:t>
      </w:r>
      <w:r>
        <w:fldChar w:fldCharType="end"/>
      </w:r>
      <w:bookmarkEnd w:id="3"/>
      <w:r>
        <w:rPr>
          <w:rFonts w:hint="eastAsia"/>
        </w:rPr>
        <w:t>：比特幣選擇權市場交易量與未平倉量數據統計</w:t>
      </w:r>
      <w:r>
        <w:br/>
      </w:r>
      <w:r>
        <w:rPr>
          <w:rFonts w:hint="eastAsia"/>
        </w:rPr>
        <w:t>（資料來源：</w:t>
      </w:r>
      <w:r>
        <w:rPr>
          <w:rFonts w:hint="eastAsia"/>
        </w:rPr>
        <w:t>The Block</w:t>
      </w:r>
      <w:r w:rsidR="00387F38">
        <w:rPr>
          <w:rFonts w:hint="eastAsia"/>
        </w:rPr>
        <w:t>官方網站）</w:t>
      </w:r>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比特幣選擇權交易市場概況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0B597930" w:rsidR="007E75C0" w:rsidRDefault="00182BF8" w:rsidP="00182BF8">
      <w:pPr>
        <w:spacing w:before="180" w:after="180"/>
        <w:ind w:firstLine="480"/>
        <w:rPr>
          <w:rFonts w:hint="eastAsia"/>
        </w:rPr>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AF4043">
        <w:rPr>
          <w:rFonts w:hint="eastAsia"/>
        </w:rPr>
        <w:t>圖</w:t>
      </w:r>
      <w:r w:rsidR="00AF4043">
        <w:rPr>
          <w:rFonts w:hint="eastAsia"/>
        </w:rPr>
        <w:t>3-</w:t>
      </w:r>
      <w:r w:rsidR="00AF4043">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AF4043">
        <w:rPr>
          <w:rFonts w:hint="eastAsia"/>
        </w:rPr>
        <w:t>圖</w:t>
      </w:r>
      <w:r w:rsidR="00AF4043">
        <w:rPr>
          <w:rFonts w:hint="eastAsia"/>
        </w:rPr>
        <w:t>3-</w:t>
      </w:r>
      <w:r w:rsidR="00AF4043">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w:t>
      </w:r>
      <w:r w:rsidRPr="00182BF8">
        <w:lastRenderedPageBreak/>
        <w:t>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10AE5909" w:rsidR="00663F14" w:rsidRPr="00FB35F3" w:rsidRDefault="00B634F1" w:rsidP="00B634F1">
      <w:pPr>
        <w:pStyle w:val="a9"/>
        <w:spacing w:before="180" w:after="180"/>
      </w:pPr>
      <w:bookmarkStart w:id="4"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F4043">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w:t>
      </w:r>
      <w:r>
        <w:rPr>
          <w:rFonts w:hint="eastAsia"/>
        </w:rPr>
        <w:t>筆數</w:t>
      </w:r>
    </w:p>
    <w:p w14:paraId="56C128DB" w14:textId="52C871E4" w:rsidR="002F31B5" w:rsidRDefault="0092596A" w:rsidP="002F31B5">
      <w:pPr>
        <w:pStyle w:val="aa"/>
        <w:keepNext/>
        <w:spacing w:before="180" w:after="180"/>
        <w:rPr>
          <w:rFonts w:hint="eastAsia"/>
        </w:rPr>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1838393D" w:rsidR="00B53910" w:rsidRDefault="002F31B5" w:rsidP="008E3193">
      <w:pPr>
        <w:pStyle w:val="a9"/>
        <w:spacing w:before="180" w:after="180"/>
      </w:pPr>
      <w:bookmarkStart w:id="5"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F4043">
        <w:rPr>
          <w:noProof/>
        </w:rPr>
        <w:t>3</w:t>
      </w:r>
      <w:r>
        <w:fldChar w:fldCharType="end"/>
      </w:r>
      <w:bookmarkEnd w:id="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p>
    <w:p w14:paraId="26B0396F" w14:textId="0AA18620"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AF4043">
        <w:rPr>
          <w:rFonts w:hint="eastAsia"/>
        </w:rPr>
        <w:t>圖</w:t>
      </w:r>
      <w:r w:rsidR="00AF4043">
        <w:rPr>
          <w:rFonts w:hint="eastAsia"/>
        </w:rPr>
        <w:t>3-</w:t>
      </w:r>
      <w:r w:rsidR="00AF4043">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183A0C1A" w:rsidR="00B53910" w:rsidRPr="00B53910" w:rsidRDefault="00B53910" w:rsidP="00B53910">
      <w:pPr>
        <w:pStyle w:val="a9"/>
        <w:spacing w:before="180" w:after="180"/>
        <w:rPr>
          <w:rFonts w:hint="eastAsia"/>
        </w:rPr>
      </w:pPr>
      <w:bookmarkStart w:id="6"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F4043">
        <w:rPr>
          <w:noProof/>
        </w:rPr>
        <w:t>4</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p>
    <w:p w14:paraId="51E8C060" w14:textId="5EEAD4D9"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AF4043">
        <w:rPr>
          <w:rFonts w:hint="eastAsia"/>
        </w:rPr>
        <w:t>圖</w:t>
      </w:r>
      <w:r w:rsidR="00AF4043">
        <w:rPr>
          <w:rFonts w:hint="eastAsia"/>
        </w:rPr>
        <w:t>3-</w:t>
      </w:r>
      <w:r w:rsidR="00AF4043">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w:t>
      </w:r>
      <w:r w:rsidRPr="00B53910">
        <w:lastRenderedPageBreak/>
        <w:t>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4C89EF21" w:rsidR="00B53910" w:rsidRPr="00B53910" w:rsidRDefault="00B53910" w:rsidP="00B53910">
      <w:pPr>
        <w:pStyle w:val="a9"/>
        <w:spacing w:before="180" w:after="180"/>
        <w:rPr>
          <w:rFonts w:hint="eastAsia"/>
        </w:rPr>
      </w:pPr>
      <w:bookmarkStart w:id="7"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AF4043">
        <w:rPr>
          <w:noProof/>
        </w:rPr>
        <w:t>5</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w:t>
      </w:r>
      <w:r>
        <w:rPr>
          <w:rFonts w:hint="eastAsia"/>
        </w:rPr>
        <w:t>賣</w:t>
      </w:r>
      <w:r>
        <w:rPr>
          <w:rFonts w:hint="eastAsia"/>
        </w:rPr>
        <w:t>權總交易量熱圖</w:t>
      </w:r>
    </w:p>
    <w:p w14:paraId="3A706421" w14:textId="56982CCD" w:rsidR="00B53910" w:rsidRPr="00B53910" w:rsidRDefault="00B53910" w:rsidP="00E748C3">
      <w:pPr>
        <w:spacing w:before="180" w:after="180"/>
        <w:ind w:firstLine="480"/>
        <w:rPr>
          <w:rFonts w:hint="eastAsia"/>
        </w:rPr>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 w:name="_Toc182815179"/>
      <w:r>
        <w:rPr>
          <w:rFonts w:hint="eastAsia"/>
        </w:rPr>
        <w:lastRenderedPageBreak/>
        <w:t>第四章、</w:t>
      </w:r>
      <w:bookmarkEnd w:id="8"/>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0756E15C" w:rsidR="003643C9" w:rsidRDefault="003643C9" w:rsidP="00646BB2">
            <w:pPr>
              <w:pStyle w:val="a9"/>
              <w:spacing w:before="180" w:after="180"/>
              <w:jc w:val="right"/>
            </w:pPr>
            <w:bookmarkStart w:id="9" w:name="_Ref183666859"/>
            <w:r>
              <w:t>(</w:t>
            </w:r>
            <w:r w:rsidR="00B079F1">
              <w:fldChar w:fldCharType="begin"/>
            </w:r>
            <w:r w:rsidR="00B079F1">
              <w:instrText xml:space="preserve"> SEQ ( \* ARABIC </w:instrText>
            </w:r>
            <w:r w:rsidR="00B079F1">
              <w:fldChar w:fldCharType="separate"/>
            </w:r>
            <w:r w:rsidR="00AF4043">
              <w:rPr>
                <w:noProof/>
              </w:rPr>
              <w:t>1</w:t>
            </w:r>
            <w:r w:rsidR="00B079F1">
              <w:rPr>
                <w:noProof/>
              </w:rPr>
              <w:fldChar w:fldCharType="end"/>
            </w:r>
            <w:r>
              <w:rPr>
                <w:rFonts w:hint="eastAsia"/>
              </w:rPr>
              <w:t>)</w:t>
            </w:r>
            <w:bookmarkEnd w:id="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48D766B4" w:rsidR="00764F78" w:rsidRPr="00764F78" w:rsidRDefault="00646BB2" w:rsidP="00764F78">
            <w:pPr>
              <w:pStyle w:val="a9"/>
              <w:spacing w:before="180" w:after="180"/>
              <w:jc w:val="right"/>
            </w:pPr>
            <w:bookmarkStart w:id="10" w:name="_Ref183663957"/>
            <w:bookmarkStart w:id="11" w:name="_Ref183663960"/>
            <w:r>
              <w:t>(</w:t>
            </w:r>
            <w:r w:rsidR="00B079F1">
              <w:fldChar w:fldCharType="begin"/>
            </w:r>
            <w:r w:rsidR="00B079F1">
              <w:instrText xml:space="preserve"> SEQ ( \* ARABIC </w:instrText>
            </w:r>
            <w:r w:rsidR="00B079F1">
              <w:fldChar w:fldCharType="separate"/>
            </w:r>
            <w:r w:rsidR="00AF4043">
              <w:rPr>
                <w:noProof/>
              </w:rPr>
              <w:t>2</w:t>
            </w:r>
            <w:r w:rsidR="00B079F1">
              <w:rPr>
                <w:noProof/>
              </w:rPr>
              <w:fldChar w:fldCharType="end"/>
            </w:r>
            <w:bookmarkEnd w:id="10"/>
            <w:r>
              <w:rPr>
                <w:rFonts w:hint="eastAsia"/>
              </w:rPr>
              <w:t>)</w:t>
            </w:r>
            <w:bookmarkEnd w:id="11"/>
          </w:p>
        </w:tc>
      </w:tr>
    </w:tbl>
    <w:p w14:paraId="7ACA79FE" w14:textId="2919415B"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AF4043">
        <w:t>(</w:t>
      </w:r>
      <w:r w:rsidR="00AF4043">
        <w:rPr>
          <w:noProof/>
        </w:rPr>
        <w:t>2</w:t>
      </w:r>
      <w:r w:rsidR="00AF4043">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77E0F15" w:rsidR="00C451F7" w:rsidRPr="00764F78" w:rsidRDefault="00C451F7" w:rsidP="009703DB">
            <w:pPr>
              <w:pStyle w:val="a9"/>
              <w:spacing w:before="180" w:after="180"/>
              <w:jc w:val="right"/>
            </w:pPr>
            <w:bookmarkStart w:id="12" w:name="_Ref183665445"/>
            <w:r>
              <w:t>(</w:t>
            </w:r>
            <w:r w:rsidR="00B079F1">
              <w:fldChar w:fldCharType="begin"/>
            </w:r>
            <w:r w:rsidR="00B079F1">
              <w:instrText xml:space="preserve"> SEQ ( \* ARABIC </w:instrText>
            </w:r>
            <w:r w:rsidR="00B079F1">
              <w:fldChar w:fldCharType="separate"/>
            </w:r>
            <w:r w:rsidR="00AF4043">
              <w:rPr>
                <w:noProof/>
              </w:rPr>
              <w:t>3</w:t>
            </w:r>
            <w:r w:rsidR="00B079F1">
              <w:rPr>
                <w:noProof/>
              </w:rPr>
              <w:fldChar w:fldCharType="end"/>
            </w:r>
            <w:r>
              <w:rPr>
                <w:rFonts w:hint="eastAsia"/>
              </w:rPr>
              <w:t>)</w:t>
            </w:r>
            <w:bookmarkEnd w:id="12"/>
          </w:p>
        </w:tc>
      </w:tr>
    </w:tbl>
    <w:p w14:paraId="072B8C89" w14:textId="03227315"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AF4043">
        <w:t>(</w:t>
      </w:r>
      <w:r w:rsidR="00AF4043">
        <w:rPr>
          <w:noProof/>
        </w:rPr>
        <w:t>2</w:t>
      </w:r>
      <w:r w:rsidR="00AF4043">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AF4043">
        <w:t>(</w:t>
      </w:r>
      <w:r w:rsidR="00AF4043">
        <w:rPr>
          <w:noProof/>
        </w:rPr>
        <w:t>3</w:t>
      </w:r>
      <w:r w:rsidR="00AF4043">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D468E7D" w:rsidR="006A2DA5" w:rsidRPr="00764F78" w:rsidRDefault="006A2DA5" w:rsidP="00495049">
            <w:pPr>
              <w:pStyle w:val="a9"/>
              <w:spacing w:before="180" w:after="180"/>
              <w:ind w:firstLine="480"/>
              <w:jc w:val="right"/>
            </w:pPr>
            <w:bookmarkStart w:id="13" w:name="_Ref189214718"/>
            <w:r>
              <w:t>(</w:t>
            </w:r>
            <w:r w:rsidR="00B079F1">
              <w:fldChar w:fldCharType="begin"/>
            </w:r>
            <w:r w:rsidR="00B079F1">
              <w:instrText xml:space="preserve"> SEQ ( \* ARABIC </w:instrText>
            </w:r>
            <w:r w:rsidR="00B079F1">
              <w:fldChar w:fldCharType="separate"/>
            </w:r>
            <w:r w:rsidR="00AF4043">
              <w:rPr>
                <w:noProof/>
              </w:rPr>
              <w:t>4</w:t>
            </w:r>
            <w:r w:rsidR="00B079F1">
              <w:rPr>
                <w:noProof/>
              </w:rPr>
              <w:fldChar w:fldCharType="end"/>
            </w:r>
            <w:r>
              <w:rPr>
                <w:rFonts w:hint="eastAsia"/>
              </w:rPr>
              <w:t>)</w:t>
            </w:r>
            <w:bookmarkEnd w:id="13"/>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5FDD7AAE" w:rsidR="006A2DA5" w:rsidRDefault="006A2DA5" w:rsidP="00495049">
            <w:pPr>
              <w:pStyle w:val="a9"/>
              <w:spacing w:before="180" w:after="180"/>
              <w:ind w:firstLine="480"/>
              <w:jc w:val="right"/>
            </w:pPr>
            <w:bookmarkStart w:id="14" w:name="_Ref183666874"/>
            <w:r>
              <w:t>(</w:t>
            </w:r>
            <w:r w:rsidR="00B079F1">
              <w:fldChar w:fldCharType="begin"/>
            </w:r>
            <w:r w:rsidR="00B079F1">
              <w:instrText xml:space="preserve"> SEQ ( \* ARABIC </w:instrText>
            </w:r>
            <w:r w:rsidR="00B079F1">
              <w:fldChar w:fldCharType="separate"/>
            </w:r>
            <w:r w:rsidR="00AF4043">
              <w:rPr>
                <w:noProof/>
              </w:rPr>
              <w:t>5</w:t>
            </w:r>
            <w:r w:rsidR="00B079F1">
              <w:rPr>
                <w:noProof/>
              </w:rPr>
              <w:fldChar w:fldCharType="end"/>
            </w:r>
            <w:r>
              <w:rPr>
                <w:rFonts w:hint="eastAsia"/>
              </w:rPr>
              <w:t>)</w:t>
            </w:r>
            <w:bookmarkEnd w:id="14"/>
          </w:p>
        </w:tc>
      </w:tr>
    </w:tbl>
    <w:p w14:paraId="41486D5F" w14:textId="5F37B1AD"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AF4043">
        <w:t>(</w:t>
      </w:r>
      <w:r w:rsidR="00AF4043">
        <w:rPr>
          <w:noProof/>
        </w:rPr>
        <w:t>1</w:t>
      </w:r>
      <w:r w:rsidR="00AF4043">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AF4043">
        <w:t>(</w:t>
      </w:r>
      <w:r w:rsidR="00AF4043">
        <w:rPr>
          <w:noProof/>
        </w:rPr>
        <w:t>5</w:t>
      </w:r>
      <w:r w:rsidR="00AF4043">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AF4043">
        <w:t>(</w:t>
      </w:r>
      <w:r w:rsidR="00AF4043">
        <w:rPr>
          <w:noProof/>
        </w:rPr>
        <w:t>2</w:t>
      </w:r>
      <w:r w:rsidR="00AF4043">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AF4043">
        <w:t>(</w:t>
      </w:r>
      <w:r w:rsidR="00AF4043">
        <w:rPr>
          <w:noProof/>
        </w:rPr>
        <w:t>5</w:t>
      </w:r>
      <w:r w:rsidR="00AF4043">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C320539" w:rsidR="007C0373" w:rsidRPr="007C0373" w:rsidRDefault="004F631C" w:rsidP="007C0373">
            <w:pPr>
              <w:pStyle w:val="a9"/>
              <w:spacing w:before="180" w:after="180"/>
              <w:ind w:firstLine="480"/>
              <w:jc w:val="right"/>
            </w:pPr>
            <w:r>
              <w:t>(</w:t>
            </w:r>
            <w:r w:rsidR="00B079F1">
              <w:fldChar w:fldCharType="begin"/>
            </w:r>
            <w:r w:rsidR="00B079F1">
              <w:instrText xml:space="preserve"> SEQ ( \* ARABIC </w:instrText>
            </w:r>
            <w:r w:rsidR="00B079F1">
              <w:fldChar w:fldCharType="separate"/>
            </w:r>
            <w:r w:rsidR="00AF4043">
              <w:rPr>
                <w:noProof/>
              </w:rPr>
              <w:t>6</w:t>
            </w:r>
            <w:r w:rsidR="00B079F1">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A8475CC" w:rsidR="004F631C" w:rsidRDefault="004F631C" w:rsidP="00495049">
            <w:pPr>
              <w:pStyle w:val="a9"/>
              <w:spacing w:before="180" w:after="180"/>
              <w:ind w:firstLine="480"/>
              <w:jc w:val="right"/>
            </w:pPr>
            <w:r>
              <w:t>(</w:t>
            </w:r>
            <w:r w:rsidR="00B079F1">
              <w:fldChar w:fldCharType="begin"/>
            </w:r>
            <w:r w:rsidR="00B079F1">
              <w:instrText xml:space="preserve"> SEQ ( \* ARABIC </w:instrText>
            </w:r>
            <w:r w:rsidR="00B079F1">
              <w:fldChar w:fldCharType="separate"/>
            </w:r>
            <w:r w:rsidR="00AF4043">
              <w:rPr>
                <w:noProof/>
              </w:rPr>
              <w:t>7</w:t>
            </w:r>
            <w:r w:rsidR="00B079F1">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44DC6FC6" w:rsidR="004F631C" w:rsidRDefault="00415057" w:rsidP="004F631C">
            <w:pPr>
              <w:pStyle w:val="a9"/>
              <w:spacing w:before="180" w:after="180"/>
              <w:ind w:firstLine="480"/>
              <w:jc w:val="right"/>
            </w:pPr>
            <w:r>
              <w:t>(</w:t>
            </w:r>
            <w:r w:rsidR="00B079F1">
              <w:fldChar w:fldCharType="begin"/>
            </w:r>
            <w:r w:rsidR="00B079F1">
              <w:instrText xml:space="preserve"> SEQ ( \* ARABIC </w:instrText>
            </w:r>
            <w:r w:rsidR="00B079F1">
              <w:fldChar w:fldCharType="separate"/>
            </w:r>
            <w:r w:rsidR="00AF4043">
              <w:rPr>
                <w:noProof/>
              </w:rPr>
              <w:t>8</w:t>
            </w:r>
            <w:r w:rsidR="00B079F1">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B395DF0" w:rsidR="004F631C" w:rsidRDefault="00415057" w:rsidP="004F631C">
            <w:pPr>
              <w:pStyle w:val="a9"/>
              <w:spacing w:before="180" w:after="180"/>
              <w:ind w:firstLine="480"/>
              <w:jc w:val="right"/>
            </w:pPr>
            <w:r>
              <w:t>(</w:t>
            </w:r>
            <w:r w:rsidR="00B079F1">
              <w:fldChar w:fldCharType="begin"/>
            </w:r>
            <w:r w:rsidR="00B079F1">
              <w:instrText xml:space="preserve"> SEQ ( \* ARABIC </w:instrText>
            </w:r>
            <w:r w:rsidR="00B079F1">
              <w:fldChar w:fldCharType="separate"/>
            </w:r>
            <w:r w:rsidR="00AF4043">
              <w:rPr>
                <w:noProof/>
              </w:rPr>
              <w:t>9</w:t>
            </w:r>
            <w:r w:rsidR="00B079F1">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0677048A"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AF4043">
        <w:t>(</w:t>
      </w:r>
      <w:r w:rsidR="00AF4043">
        <w:rPr>
          <w:noProof/>
        </w:rPr>
        <w:t>1</w:t>
      </w:r>
      <w:r w:rsidR="00AF4043">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rPr>
          <w:rFonts w:hint="eastAsia"/>
        </w:rPr>
      </w:pPr>
      <w:r>
        <w:rPr>
          <w:rFonts w:hint="eastAsia"/>
        </w:rPr>
        <w:t>4.2.1</w:t>
      </w:r>
      <w:r>
        <w:rPr>
          <w:rFonts w:hint="eastAsia"/>
        </w:rPr>
        <w:t>比特幣適用之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339996A3"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AF4043">
        <w:t>(</w:t>
      </w:r>
      <w:r w:rsidR="00AF4043">
        <w:rPr>
          <w:noProof/>
        </w:rPr>
        <w:t>10</w:t>
      </w:r>
      <w:r w:rsidR="00AF4043">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AF4043">
        <w:t>(</w:t>
      </w:r>
      <w:r w:rsidR="00AF4043">
        <w:rPr>
          <w:noProof/>
        </w:rPr>
        <w:t>11</w:t>
      </w:r>
      <w:r w:rsidR="00AF4043">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4A3ABDF3" w:rsidR="00C96DE9" w:rsidRDefault="00C96DE9" w:rsidP="00C96DE9">
            <w:pPr>
              <w:pStyle w:val="a9"/>
              <w:spacing w:before="180" w:after="180"/>
              <w:jc w:val="right"/>
            </w:pPr>
            <w:bookmarkStart w:id="15" w:name="_Ref184140393"/>
            <w:r>
              <w:t>(</w:t>
            </w:r>
            <w:r w:rsidR="00B079F1">
              <w:fldChar w:fldCharType="begin"/>
            </w:r>
            <w:r w:rsidR="00B079F1">
              <w:instrText xml:space="preserve"> SEQ ( \* ARABIC </w:instrText>
            </w:r>
            <w:r w:rsidR="00B079F1">
              <w:fldChar w:fldCharType="separate"/>
            </w:r>
            <w:r w:rsidR="00AF4043">
              <w:rPr>
                <w:noProof/>
              </w:rPr>
              <w:t>10</w:t>
            </w:r>
            <w:r w:rsidR="00B079F1">
              <w:rPr>
                <w:noProof/>
              </w:rPr>
              <w:fldChar w:fldCharType="end"/>
            </w:r>
            <w:r>
              <w:rPr>
                <w:rFonts w:hint="eastAsia"/>
              </w:rPr>
              <w:t>)</w:t>
            </w:r>
            <w:bookmarkEnd w:id="15"/>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655F1B0" w:rsidR="002116B3" w:rsidRDefault="002116B3" w:rsidP="002116B3">
            <w:pPr>
              <w:pStyle w:val="a9"/>
              <w:spacing w:before="180" w:after="180"/>
              <w:jc w:val="right"/>
            </w:pPr>
            <w:bookmarkStart w:id="16" w:name="_Ref184140413"/>
            <w:r>
              <w:t>(</w:t>
            </w:r>
            <w:r w:rsidR="00B079F1">
              <w:fldChar w:fldCharType="begin"/>
            </w:r>
            <w:r w:rsidR="00B079F1">
              <w:instrText xml:space="preserve"> SEQ ( \* ARABIC </w:instrText>
            </w:r>
            <w:r w:rsidR="00B079F1">
              <w:fldChar w:fldCharType="separate"/>
            </w:r>
            <w:r w:rsidR="00AF4043">
              <w:rPr>
                <w:noProof/>
              </w:rPr>
              <w:t>11</w:t>
            </w:r>
            <w:r w:rsidR="00B079F1">
              <w:rPr>
                <w:noProof/>
              </w:rPr>
              <w:fldChar w:fldCharType="end"/>
            </w:r>
            <w:r>
              <w:rPr>
                <w:rFonts w:hint="eastAsia"/>
              </w:rPr>
              <w:t>)</w:t>
            </w:r>
            <w:bookmarkEnd w:id="1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rPr>
          <w:rFonts w:hint="eastAsia"/>
        </w:rPr>
      </w:pPr>
      <w:r>
        <w:rPr>
          <w:rFonts w:hint="eastAsia"/>
        </w:rPr>
        <w:t>4.2.2</w:t>
      </w:r>
      <w:r>
        <w:rPr>
          <w:rFonts w:hint="eastAsia"/>
        </w:rPr>
        <w:t>比特幣選擇權隱含波動率計算</w:t>
      </w:r>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1D0F4B06" w:rsidR="00653CFB" w:rsidRDefault="00BC0ED0" w:rsidP="005F66D1">
      <w:pPr>
        <w:spacing w:before="180" w:after="180"/>
        <w:ind w:firstLine="480"/>
      </w:pPr>
      <w:r>
        <w:fldChar w:fldCharType="begin"/>
      </w:r>
      <w:r>
        <w:instrText xml:space="preserve"> ADDIN ZOTERO_ITEM CSL_CITATION {"citationID":"3issG5TW","properties":{"formattedCitation":"(Shimko, 1993)","plainCitation":"(Shimko, 1993)","noteIndex":0},"citationItems":[{"id":34,"uris":["http://zotero.org/users/16294904/items/BPVWMPA2"],"itemData":{"id":34,"type":"article-journal","container-title":"Risk","issue":"4","page":"33–37","source":"Google Scholar","title":"Bounds of probability","volume":"6","author":[{"family":"Shimko","given":"David"}],"issued":{"date-parts":[["1993"]]}}}],"schema":"https://github.com/citation-style-language/schema/raw/master/csl-citation.json"} </w:instrText>
      </w:r>
      <w:r>
        <w:fldChar w:fldCharType="separate"/>
      </w:r>
      <w:r w:rsidRPr="00BC0ED0">
        <w:t>(Shimko, 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6EBDE158" w:rsidR="00C40C3F" w:rsidRDefault="00BC0ED0" w:rsidP="00C40C3F">
      <w:pPr>
        <w:spacing w:before="180" w:after="180"/>
        <w:ind w:firstLine="480"/>
      </w:pPr>
      <w:r>
        <w:fldChar w:fldCharType="begin"/>
      </w:r>
      <w:r>
        <w:instrText xml:space="preserve"> ADDIN ZOTERO_ITEM CSL_CITATION {"citationID":"eIimM6bC","properties":{"formattedCitation":"(Figlewski,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fldChar w:fldCharType="separate"/>
      </w:r>
      <w:r w:rsidRPr="00BC0ED0">
        <w:t>(Figlewski, 2008)</w:t>
      </w:r>
      <w:r>
        <w:fldChar w:fldCharType="end"/>
      </w:r>
      <w:r>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66A75A3F"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AF4043">
        <w:rPr>
          <w:rFonts w:hint="eastAsia"/>
        </w:rPr>
        <w:t>圖</w:t>
      </w:r>
      <w:r w:rsidR="00AF4043">
        <w:rPr>
          <w:rFonts w:hint="eastAsia"/>
        </w:rPr>
        <w:t>4-</w:t>
      </w:r>
      <w:r w:rsidR="00AF4043">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w:t>
      </w:r>
      <w:r w:rsidRPr="004D7F17">
        <w:lastRenderedPageBreak/>
        <w:t>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AF4043">
        <w:rPr>
          <w:rFonts w:hint="eastAsia"/>
        </w:rPr>
        <w:t>圖</w:t>
      </w:r>
      <w:r w:rsidR="00AF4043">
        <w:rPr>
          <w:rFonts w:hint="eastAsia"/>
        </w:rPr>
        <w:t>4-</w:t>
      </w:r>
      <w:r w:rsidR="00AF4043">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AF4043">
        <w:rPr>
          <w:rFonts w:hint="eastAsia"/>
        </w:rPr>
        <w:t>圖</w:t>
      </w:r>
      <w:r w:rsidR="00AF4043">
        <w:rPr>
          <w:rFonts w:hint="eastAsia"/>
        </w:rPr>
        <w:t>4-</w:t>
      </w:r>
      <w:r w:rsidR="00AF4043">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0CA55A2C" w:rsidR="00473435" w:rsidRDefault="00473435" w:rsidP="00473435">
      <w:pPr>
        <w:pStyle w:val="a9"/>
        <w:spacing w:before="180" w:after="180"/>
      </w:pPr>
      <w:bookmarkStart w:id="17"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1</w:t>
      </w:r>
      <w:r>
        <w:fldChar w:fldCharType="end"/>
      </w:r>
      <w:bookmarkEnd w:id="1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5871D847" w:rsidR="00473435" w:rsidRDefault="00473435" w:rsidP="00473435">
      <w:pPr>
        <w:pStyle w:val="a9"/>
        <w:spacing w:before="180" w:after="180"/>
      </w:pPr>
      <w:bookmarkStart w:id="18"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2</w:t>
      </w:r>
      <w:r>
        <w:fldChar w:fldCharType="end"/>
      </w:r>
      <w:bookmarkEnd w:id="1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4C18A829" w:rsidR="009D4D5D" w:rsidRPr="009D4D5D" w:rsidRDefault="009D4D5D" w:rsidP="009D4D5D">
      <w:pPr>
        <w:pStyle w:val="a9"/>
        <w:spacing w:before="180" w:after="180"/>
      </w:pPr>
      <w:bookmarkStart w:id="19"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3</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rPr>
          <w:rFonts w:hint="eastAsia"/>
        </w:rPr>
      </w:pPr>
      <w:r>
        <w:rPr>
          <w:rFonts w:hint="eastAsia"/>
        </w:rPr>
        <w:t>4.2.3</w:t>
      </w:r>
      <w:r>
        <w:rPr>
          <w:rFonts w:hint="eastAsia"/>
        </w:rPr>
        <w:t>比特幣選擇權隱含波動率曲線擬合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w:t>
      </w:r>
      <w:r>
        <w:rPr>
          <w:rFonts w:hint="eastAsia"/>
        </w:rPr>
        <w:lastRenderedPageBreak/>
        <w:t>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DED9C39"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w:t>
      </w:r>
      <w:r>
        <w:rPr>
          <w:rFonts w:hint="eastAsia"/>
        </w:rPr>
        <w:lastRenderedPageBreak/>
        <w:t>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AF4043">
        <w:rPr>
          <w:rFonts w:hint="eastAsia"/>
        </w:rPr>
        <w:t>圖</w:t>
      </w:r>
      <w:r w:rsidR="00AF4043">
        <w:rPr>
          <w:rFonts w:hint="eastAsia"/>
        </w:rPr>
        <w:t>4-</w:t>
      </w:r>
      <w:r w:rsidR="00AF4043">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70621FC7" w:rsidR="00830EEC" w:rsidRPr="00716605" w:rsidRDefault="00C54885" w:rsidP="00C54885">
      <w:pPr>
        <w:pStyle w:val="a9"/>
        <w:spacing w:before="180" w:after="180"/>
      </w:pPr>
      <w:bookmarkStart w:id="20"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4</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rPr>
          <w:rFonts w:hint="eastAsia"/>
        </w:rPr>
      </w:pPr>
      <w:r>
        <w:rPr>
          <w:rFonts w:hint="eastAsia"/>
        </w:rPr>
        <w:t>4.2.4</w:t>
      </w:r>
      <w:r>
        <w:rPr>
          <w:rFonts w:hint="eastAsia"/>
        </w:rPr>
        <w:t>比特幣選擇權風險中立機率密度函數計算</w:t>
      </w:r>
    </w:p>
    <w:p w14:paraId="7E7B25F1" w14:textId="7B022A95"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AF4043">
        <w:t>(</w:t>
      </w:r>
      <w:r w:rsidR="00AF4043">
        <w:rPr>
          <w:noProof/>
        </w:rPr>
        <w:t>11</w:t>
      </w:r>
      <w:r w:rsidR="00AF4043">
        <w:rPr>
          <w:rFonts w:hint="eastAsia"/>
        </w:rPr>
        <w:t>)</w:t>
      </w:r>
      <w:r>
        <w:fldChar w:fldCharType="end"/>
      </w:r>
      <w:r w:rsidRPr="00852AA5">
        <w:t>），</w:t>
      </w:r>
      <w:r w:rsidRPr="00852AA5">
        <w:lastRenderedPageBreak/>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AF4043">
        <w:rPr>
          <w:rFonts w:hint="eastAsia"/>
        </w:rPr>
        <w:t>圖</w:t>
      </w:r>
      <w:r w:rsidR="00AF4043">
        <w:rPr>
          <w:rFonts w:hint="eastAsia"/>
        </w:rPr>
        <w:t>4-</w:t>
      </w:r>
      <w:r w:rsidR="00AF4043">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4D009F25" w:rsidR="00601A99" w:rsidRDefault="00601A99" w:rsidP="00601A99">
      <w:pPr>
        <w:pStyle w:val="a9"/>
        <w:spacing w:before="180" w:after="180"/>
      </w:pPr>
      <w:bookmarkStart w:id="21"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5</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41C9C488"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AF4043">
        <w:t>(</w:t>
      </w:r>
      <w:r w:rsidR="00AF4043">
        <w:rPr>
          <w:noProof/>
        </w:rPr>
        <w:t>4</w:t>
      </w:r>
      <w:r w:rsidR="00AF4043">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AF4043">
        <w:t>(</w:t>
      </w:r>
      <w:r w:rsidR="00AF4043">
        <w:rPr>
          <w:noProof/>
        </w:rPr>
        <w:t>5</w:t>
      </w:r>
      <w:r w:rsidR="00AF4043">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45F5FD37"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AF4043">
        <w:rPr>
          <w:rFonts w:hint="eastAsia"/>
        </w:rPr>
        <w:t>圖</w:t>
      </w:r>
      <w:r w:rsidR="00AF4043">
        <w:rPr>
          <w:rFonts w:hint="eastAsia"/>
        </w:rPr>
        <w:t>4-</w:t>
      </w:r>
      <w:r w:rsidR="00AF4043">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AF4043">
        <w:rPr>
          <w:rFonts w:hint="eastAsia"/>
        </w:rPr>
        <w:t>圖</w:t>
      </w:r>
      <w:r w:rsidR="00AF4043">
        <w:rPr>
          <w:rFonts w:hint="eastAsia"/>
        </w:rPr>
        <w:t>4-</w:t>
      </w:r>
      <w:r w:rsidR="00AF4043">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6"/>
                    <a:stretch>
                      <a:fillRect/>
                    </a:stretch>
                  </pic:blipFill>
                  <pic:spPr>
                    <a:xfrm>
                      <a:off x="0" y="0"/>
                      <a:ext cx="4680000" cy="3154487"/>
                    </a:xfrm>
                    <a:prstGeom prst="rect">
                      <a:avLst/>
                    </a:prstGeom>
                  </pic:spPr>
                </pic:pic>
              </a:graphicData>
            </a:graphic>
          </wp:inline>
        </w:drawing>
      </w:r>
    </w:p>
    <w:p w14:paraId="40848232" w14:textId="066EAF8A" w:rsidR="00506C97" w:rsidRDefault="00F36D4C" w:rsidP="00F36D4C">
      <w:pPr>
        <w:pStyle w:val="a9"/>
        <w:spacing w:before="180" w:after="180"/>
        <w:ind w:firstLine="480"/>
      </w:pPr>
      <w:bookmarkStart w:id="22"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6</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lastRenderedPageBreak/>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7"/>
                    <a:stretch>
                      <a:fillRect/>
                    </a:stretch>
                  </pic:blipFill>
                  <pic:spPr>
                    <a:xfrm>
                      <a:off x="0" y="0"/>
                      <a:ext cx="4680000" cy="3022959"/>
                    </a:xfrm>
                    <a:prstGeom prst="rect">
                      <a:avLst/>
                    </a:prstGeom>
                  </pic:spPr>
                </pic:pic>
              </a:graphicData>
            </a:graphic>
          </wp:inline>
        </w:drawing>
      </w:r>
    </w:p>
    <w:p w14:paraId="4CE8F0A4" w14:textId="2D00460F" w:rsidR="00F36D4C" w:rsidRPr="00506C97" w:rsidRDefault="00F36D4C" w:rsidP="00F36D4C">
      <w:pPr>
        <w:pStyle w:val="a9"/>
        <w:spacing w:before="180" w:after="180"/>
      </w:pPr>
      <w:bookmarkStart w:id="23"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7</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rPr>
          <w:rFonts w:hint="eastAsia"/>
        </w:rPr>
      </w:pPr>
      <w:r>
        <w:rPr>
          <w:rFonts w:hint="eastAsia"/>
        </w:rPr>
        <w:t>4.3.1</w:t>
      </w:r>
      <w:r>
        <w:rPr>
          <w:rFonts w:hint="eastAsia"/>
        </w:rPr>
        <w:t>尾部</w:t>
      </w:r>
      <w:r>
        <w:rPr>
          <w:rFonts w:hint="eastAsia"/>
        </w:rPr>
        <w:t>GEV</w:t>
      </w:r>
      <w:r>
        <w:rPr>
          <w:rFonts w:hint="eastAsia"/>
        </w:rPr>
        <w:t>雙點配適法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6E68245" w:rsidR="00896866" w:rsidRPr="00FE7792" w:rsidRDefault="00BB756F" w:rsidP="001A6EE8">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BC0ED0">
        <w:lastRenderedPageBreak/>
        <w:fldChar w:fldCharType="begin"/>
      </w:r>
      <w:r w:rsidR="00BC0ED0">
        <w:instrText xml:space="preserve"> ADDIN ZOTERO_ITEM CSL_CITATION {"citationID":"bxTUDTbf","properties":{"formattedCitation":"(Figlewski,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rPr>
          <w:rFonts w:hint="eastAsia"/>
        </w:rPr>
      </w:pPr>
      <w:r>
        <w:rPr>
          <w:rFonts w:hint="eastAsia"/>
        </w:rPr>
        <w:t>4.3.2 GPD</w:t>
      </w:r>
      <w:r>
        <w:rPr>
          <w:rFonts w:hint="eastAsia"/>
        </w:rPr>
        <w:t>分布理論</w:t>
      </w:r>
    </w:p>
    <w:p w14:paraId="2A6AA699" w14:textId="1EBC19A4" w:rsidR="00FB3472" w:rsidRDefault="00560A40" w:rsidP="00560A40">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BC0ED0">
        <w:rPr>
          <w:rFonts w:hint="eastAsia"/>
        </w:rPr>
        <w:t xml:space="preserve"> </w:t>
      </w:r>
      <w:r w:rsidR="00BC0ED0">
        <w:fldChar w:fldCharType="begin"/>
      </w:r>
      <w:r w:rsidR="00BC0ED0">
        <w:instrText xml:space="preserve"> ADDIN ZOTERO_ITEM CSL_CITATION {"citationID":"Ol5FW0gV","properties":{"formattedCitation":"(Balkema &amp; Haan, 1974)","plainCitation":"(Balkema &amp; Haan, 1974)","noteIndex":0},"citationItems":[{"id":1,"uris":["http://zotero.org/users/16294904/items/I6LQMQTS"],"itemData":{"id":1,"type":"article-journal","abstract":"The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A."},{"family":"Haan","given":"L.","dropping-particle":"de"}],"issued":{"date-parts":[["1974",10]]}}}],"schema":"https://github.com/citation-style-language/schema/raw/master/csl-citation.json"} </w:instrText>
      </w:r>
      <w:r w:rsidR="00BC0ED0">
        <w:fldChar w:fldCharType="separate"/>
      </w:r>
      <w:r w:rsidR="00BC0ED0" w:rsidRPr="00BC0ED0">
        <w:t>(Balkema &amp; Haan, 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BC0ED0">
        <w:fldChar w:fldCharType="begin"/>
      </w:r>
      <w:r w:rsidR="00BC0ED0">
        <w:instrText xml:space="preserve"> ADDIN ZOTERO_ITEM CSL_CITATION {"citationID":"MRNEUqtU","properties":{"formattedCitation":"(Hosking &amp; Wallis, 1987)","plainCitation":"(Hosking &amp; Wallis, 1987)","noteIndex":0},"citationItems":[{"id":27,"uris":["http://zotero.org/users/16294904/items/8JPL9TBJ"],"itemData":{"id":27,"type":"article-journal","abstract":"The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BC0ED0">
        <w:fldChar w:fldCharType="separate"/>
      </w:r>
      <w:r w:rsidR="00BC0ED0" w:rsidRPr="00BC0ED0">
        <w:t>(Hosking &amp; Wallis, 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BC0ED0">
        <w:rPr>
          <w:rFonts w:hint="eastAsia"/>
        </w:rPr>
        <w:t xml:space="preserve"> </w:t>
      </w:r>
      <w:r w:rsidR="00BC0ED0">
        <w:fldChar w:fldCharType="begin"/>
      </w:r>
      <w:r w:rsidR="00BC0ED0">
        <w:instrText xml:space="preserve"> ADDIN ZOTERO_ITEM CSL_CITATION {"citationID":"kbFqSQJG","properties":{"formattedCitation":"(McNeil &amp; Frey, 2000)","plainCitation":"(McNeil &amp; Frey, 2000)","noteIndex":0},"citationItems":[{"id":29,"uris":["http://zotero.org/users/16294904/items/8AWAERE4"],"itemData":{"id":29,"type":"article-journal","abstract":"We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J."},{"family":"Frey","given":"Rüdiger"}],"issued":{"date-parts":[["2000",11,1]]}}}],"schema":"https://github.com/citation-style-language/schema/raw/master/csl-citation.json"} </w:instrText>
      </w:r>
      <w:r w:rsidR="00BC0ED0">
        <w:fldChar w:fldCharType="separate"/>
      </w:r>
      <w:r w:rsidR="00BC0ED0" w:rsidRPr="00BC0ED0">
        <w:t>(McNeil &amp; Frey, 2000)</w:t>
      </w:r>
      <w:r w:rsidR="00BC0ED0">
        <w:fldChar w:fldCharType="end"/>
      </w:r>
      <w:r w:rsidR="00FB3472" w:rsidRPr="00FB3472">
        <w:t xml:space="preserve"> </w:t>
      </w:r>
      <w:r w:rsidR="00FB3472" w:rsidRPr="00FB3472">
        <w:t>的研究所示。實證研究方面，</w:t>
      </w:r>
      <w:r w:rsidR="00BC0ED0">
        <w:fldChar w:fldCharType="begin"/>
      </w:r>
      <w:r w:rsidR="00BC0ED0">
        <w:instrText xml:space="preserve"> ADDIN ZOTERO_ITEM CSL_CITATION {"citationID":"J32YwUiI","properties":{"formattedCitation":"(Birru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BC0ED0">
        <w:fldChar w:fldCharType="separate"/>
      </w:r>
      <w:r w:rsidR="00BC0ED0" w:rsidRPr="00BC0ED0">
        <w:t>(Birru &amp; Figlewski, 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rPr>
          <w:rFonts w:hint="eastAsia"/>
        </w:rPr>
      </w:pPr>
      <w:r>
        <w:rPr>
          <w:rFonts w:hint="eastAsia"/>
        </w:rPr>
        <w:t>4.3.3</w:t>
      </w:r>
      <w:r>
        <w:rPr>
          <w:rFonts w:hint="eastAsia"/>
        </w:rPr>
        <w:t>尾部</w:t>
      </w:r>
      <w:r>
        <w:rPr>
          <w:rFonts w:hint="eastAsia"/>
        </w:rPr>
        <w:t>GPD</w:t>
      </w:r>
      <w:r>
        <w:rPr>
          <w:rFonts w:hint="eastAsia"/>
        </w:rPr>
        <w:t>雙點配適法</w:t>
      </w:r>
    </w:p>
    <w:p w14:paraId="331773A1" w14:textId="4E102C9D" w:rsidR="008317BE" w:rsidRPr="008E6833" w:rsidRDefault="00BC0ED0" w:rsidP="001A6EE8">
      <w:pPr>
        <w:spacing w:before="180" w:after="180"/>
        <w:ind w:firstLine="480"/>
      </w:pPr>
      <w:r>
        <w:fldChar w:fldCharType="begin"/>
      </w:r>
      <w:r>
        <w:instrText xml:space="preserve"> ADDIN ZOTERO_ITEM CSL_CITATION {"citationID":"eACZIbbw","properties":{"formattedCitation":"(Birru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BC0ED0">
        <w:t>(Birru &amp; Figlewski, 2012)</w:t>
      </w:r>
      <w:r>
        <w:fldChar w:fldCharType="end"/>
      </w:r>
      <w:r>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lastRenderedPageBreak/>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rPr>
          <w:rFonts w:hint="eastAsia"/>
        </w:rPr>
      </w:pPr>
      <w:r>
        <w:rPr>
          <w:rFonts w:hint="eastAsia"/>
        </w:rPr>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lastRenderedPageBreak/>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7D2780D5"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w:t>
      </w:r>
      <w:r w:rsidRPr="001A6EE8">
        <w:lastRenderedPageBreak/>
        <w:t>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AF4043">
        <w:rPr>
          <w:rFonts w:hint="eastAsia"/>
        </w:rPr>
        <w:t>圖</w:t>
      </w:r>
      <w:r w:rsidR="00AF4043">
        <w:rPr>
          <w:rFonts w:hint="eastAsia"/>
        </w:rPr>
        <w:t>4-</w:t>
      </w:r>
      <w:r w:rsidR="00AF4043">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AF4043">
        <w:rPr>
          <w:rFonts w:hint="eastAsia"/>
        </w:rPr>
        <w:t>圖</w:t>
      </w:r>
      <w:r w:rsidR="00AF4043">
        <w:rPr>
          <w:rFonts w:hint="eastAsia"/>
        </w:rPr>
        <w:t>4-</w:t>
      </w:r>
      <w:r w:rsidR="00AF4043">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8"/>
                    <a:stretch>
                      <a:fillRect/>
                    </a:stretch>
                  </pic:blipFill>
                  <pic:spPr>
                    <a:xfrm>
                      <a:off x="0" y="0"/>
                      <a:ext cx="4680000" cy="3154487"/>
                    </a:xfrm>
                    <a:prstGeom prst="rect">
                      <a:avLst/>
                    </a:prstGeom>
                  </pic:spPr>
                </pic:pic>
              </a:graphicData>
            </a:graphic>
          </wp:inline>
        </w:drawing>
      </w:r>
    </w:p>
    <w:p w14:paraId="3D53A646" w14:textId="7D88411C" w:rsidR="00A70ECC" w:rsidRDefault="005638DE" w:rsidP="00D850AA">
      <w:pPr>
        <w:pStyle w:val="a9"/>
        <w:spacing w:before="180" w:after="180"/>
        <w:ind w:firstLine="480"/>
      </w:pPr>
      <w:bookmarkStart w:id="24" w:name="_Ref189385976"/>
      <w:bookmarkStart w:id="25"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8</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5"/>
    </w:p>
    <w:p w14:paraId="25F0DEB5" w14:textId="77777777" w:rsidR="00D850AA" w:rsidRDefault="00A70ECC" w:rsidP="00D850AA">
      <w:pPr>
        <w:pStyle w:val="aa"/>
        <w:keepNext/>
        <w:spacing w:before="180" w:after="180"/>
      </w:pPr>
      <w:r w:rsidRPr="00A70ECC">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9"/>
                    <a:stretch>
                      <a:fillRect/>
                    </a:stretch>
                  </pic:blipFill>
                  <pic:spPr>
                    <a:xfrm>
                      <a:off x="0" y="0"/>
                      <a:ext cx="4680000" cy="3022959"/>
                    </a:xfrm>
                    <a:prstGeom prst="rect">
                      <a:avLst/>
                    </a:prstGeom>
                  </pic:spPr>
                </pic:pic>
              </a:graphicData>
            </a:graphic>
          </wp:inline>
        </w:drawing>
      </w:r>
    </w:p>
    <w:p w14:paraId="29C809D9" w14:textId="58D39023" w:rsidR="00A70ECC" w:rsidRDefault="00D850AA" w:rsidP="00D850AA">
      <w:pPr>
        <w:pStyle w:val="a9"/>
        <w:spacing w:before="180" w:after="180"/>
        <w:ind w:firstLine="480"/>
      </w:pPr>
      <w:bookmarkStart w:id="26" w:name="_Ref189385978"/>
      <w:bookmarkStart w:id="27"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AF4043">
        <w:rPr>
          <w:noProof/>
        </w:rPr>
        <w:t>9</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27"/>
    </w:p>
    <w:p w14:paraId="6A508266" w14:textId="10BCC826" w:rsidR="00E7699D" w:rsidRDefault="00E7699D" w:rsidP="00D85A59">
      <w:pPr>
        <w:pStyle w:val="2"/>
      </w:pPr>
      <w:r>
        <w:rPr>
          <w:rFonts w:hint="eastAsia"/>
        </w:rPr>
        <w:lastRenderedPageBreak/>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r>
        <w:rPr>
          <w:rFonts w:hint="eastAsia"/>
        </w:rPr>
        <w:t>4.4.1</w:t>
      </w:r>
      <w:r>
        <w:rPr>
          <w:rFonts w:hint="eastAsia"/>
        </w:rPr>
        <w:t>動差之定義與意涵</w:t>
      </w:r>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pPr>
      <w:r w:rsidRPr="00110E7A">
        <w:t>平均數為第一階原始動差，反映市場對標的資產未來價格水準之整體預期：</w:t>
      </w:r>
    </w:p>
    <w:p w14:paraId="69CA0023" w14:textId="1F562364" w:rsidR="00110E7A" w:rsidRPr="00110E7A" w:rsidRDefault="00000000"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lastRenderedPageBreak/>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標準差為二階中央動差之平方根，衡量價格分散程度：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22601DFF" w:rsidR="008073F4" w:rsidRDefault="008073F4" w:rsidP="008073F4">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90616F">
        <w:rPr>
          <w:rFonts w:hint="eastAsia"/>
        </w:rPr>
        <w:t>實證</w:t>
      </w:r>
      <w:r w:rsidR="0090616F" w:rsidRPr="0090616F">
        <w:t>研究</w:t>
      </w:r>
      <w:r w:rsidR="00BC0ED0">
        <w:rPr>
          <w:rFonts w:hint="eastAsia"/>
        </w:rPr>
        <w:t xml:space="preserve"> </w:t>
      </w:r>
      <w:r w:rsidR="00BC0ED0">
        <w:fldChar w:fldCharType="begin"/>
      </w:r>
      <w:r w:rsidR="00BC0ED0">
        <w:instrText xml:space="preserve"> ADDIN ZOTERO_ITEM CSL_CITATION {"citationID":"4Z8MGroi","properties":{"formattedCitation":"(Li et al., 2024)","plainCitation":"(Li et al., 2024)","noteIndex":0},"citationItems":[{"id":18,"uris":["http://zotero.org/users/16294904/items/967XFC5W"],"itemData":{"id":18,"type":"article-journal","abstract":"This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chema":"https://github.com/citation-style-language/schema/raw/master/csl-citation.json"} </w:instrText>
      </w:r>
      <w:r w:rsidR="00BC0ED0">
        <w:fldChar w:fldCharType="separate"/>
      </w:r>
      <w:r w:rsidR="00BC0ED0" w:rsidRPr="00BC0ED0">
        <w:t>(Li et al., 2024)</w:t>
      </w:r>
      <w:r w:rsidR="00BC0ED0">
        <w:fldChar w:fldCharType="end"/>
      </w:r>
      <w:r w:rsidR="00BC0ED0">
        <w:rPr>
          <w:rFonts w:hint="eastAsia"/>
        </w:rPr>
        <w:t xml:space="preserve"> </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r w:rsidRPr="0090616F">
        <w:t>超額峰態為標準化後之四階中央動差減去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在實務應用中，超額峰態為評估市場極端風險的重要指標。當觀察到正的超額峰態時，表示該分配相較於常態分配具有較為明顯的肥尾特性，即極端事件發生的</w:t>
      </w:r>
      <w:r w:rsidRPr="0090616F">
        <w:lastRenderedPageBreak/>
        <w:t>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pPr>
      <w:r w:rsidRPr="0090616F">
        <w:t>本研究中將透過迴歸分析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實證迴歸分析</w:t>
      </w:r>
    </w:p>
    <w:p w14:paraId="5C5AA112" w14:textId="3F32C139" w:rsidR="00E7699D" w:rsidRP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E4307C">
        <w:rPr>
          <w:rFonts w:hint="eastAsia"/>
        </w:rPr>
        <w:t>超額</w:t>
      </w:r>
      <w:r w:rsidRPr="00E7699D">
        <w:t>峰態（</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本研究所提出之單點配適法相較於既有文獻採用之雙點配適法，在實務應用</w:t>
      </w:r>
      <w:r w:rsidRPr="00E7699D">
        <w:lastRenderedPageBreak/>
        <w:t>上具有計算效率之優勢。為驗證此方法之有效性，本研究將透過均方誤差（</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0D6D4B2C" w:rsidR="00693EEF" w:rsidRDefault="00693EEF" w:rsidP="00693EEF">
      <w:pPr>
        <w:pStyle w:val="3"/>
        <w:spacing w:before="180" w:after="180"/>
      </w:pPr>
      <w:r>
        <w:rPr>
          <w:rFonts w:hint="eastAsia"/>
        </w:rPr>
        <w:t>4.5.1</w:t>
      </w: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217758">
        <w:rPr>
          <w:rFonts w:hint="eastAsia"/>
        </w:rPr>
        <w:t>超額</w:t>
      </w:r>
      <w:r w:rsidR="00217758" w:rsidRPr="00E7699D">
        <w:t>峰態（</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0FBA72D1" w:rsidR="005D1B9E" w:rsidRDefault="005D1B9E" w:rsidP="005D1B9E">
      <w:pPr>
        <w:pStyle w:val="3"/>
        <w:spacing w:before="180" w:after="180"/>
      </w:pPr>
      <w:r>
        <w:rPr>
          <w:rFonts w:hint="eastAsia"/>
        </w:rPr>
        <w:t>4.5.2</w:t>
      </w:r>
      <w:r>
        <w:rPr>
          <w:rFonts w:hint="eastAsia"/>
        </w:rPr>
        <w:t>二變數迴歸模型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r>
        <w:rPr>
          <w:rFonts w:hint="eastAsia"/>
        </w:rPr>
        <w:t>超額</w:t>
      </w:r>
      <w:r w:rsidRPr="00E7699D">
        <w:t>峰態（</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w:t>
      </w:r>
      <w:r>
        <w:rPr>
          <w:rFonts w:hint="eastAsia"/>
        </w:rPr>
        <w:lastRenderedPageBreak/>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r>
        <w:rPr>
          <w:rFonts w:hint="eastAsia"/>
        </w:rPr>
        <w:t>三變數迴歸模型</w:t>
      </w:r>
    </w:p>
    <w:p w14:paraId="60FAB04D" w14:textId="34E5669F" w:rsidR="00850A16" w:rsidRDefault="00850A16" w:rsidP="00850A16">
      <w:pPr>
        <w:spacing w:before="180" w:after="180"/>
        <w:ind w:firstLine="480"/>
      </w:pPr>
      <w:r w:rsidRPr="00850A16">
        <w:t>三</w:t>
      </w:r>
      <w:r>
        <w:rPr>
          <w:rFonts w:hint="eastAsia"/>
        </w:rPr>
        <w:t>變數</w:t>
      </w:r>
      <w:r w:rsidRPr="00850A16">
        <w:t>模型進一步納入</w:t>
      </w:r>
      <w:r>
        <w:rPr>
          <w:rFonts w:hint="eastAsia"/>
        </w:rPr>
        <w:t>超額</w:t>
      </w:r>
      <w:r w:rsidRPr="00850A16">
        <w:t>峰態（</w:t>
      </w:r>
      <w:r w:rsidRPr="00850A16">
        <w:t>Kurtosis</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t>4.5.4</w:t>
      </w:r>
      <w:r>
        <w:rPr>
          <w:rFonts w:hint="eastAsia"/>
        </w:rPr>
        <w:t>四變數迴歸模型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Pr="00C47024" w:rsidRDefault="00C47024" w:rsidP="00F66567">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8" w:name="_Toc182815181"/>
      <w:r>
        <w:rPr>
          <w:rFonts w:hint="eastAsia"/>
        </w:rPr>
        <w:lastRenderedPageBreak/>
        <w:t>第五章、</w:t>
      </w:r>
      <w:bookmarkEnd w:id="28"/>
      <w:r w:rsidR="00404225">
        <w:rPr>
          <w:rFonts w:hint="eastAsia"/>
        </w:rPr>
        <w:t>實證結果分析</w:t>
      </w:r>
    </w:p>
    <w:p w14:paraId="1BA512B3" w14:textId="51D8C9F7" w:rsidR="00F008C1" w:rsidRDefault="00F76E35" w:rsidP="00F008C1">
      <w:pPr>
        <w:spacing w:before="180" w:after="180"/>
        <w:ind w:firstLine="480"/>
      </w:pPr>
      <w:r w:rsidRPr="00F76E35">
        <w:t>本章將詳細分析實證結果，首先針對距離到期日</w:t>
      </w:r>
      <w:r w:rsidRPr="00F76E35">
        <w:t>1</w:t>
      </w:r>
      <w:r w:rsidRPr="00F76E35">
        <w:t>天之選擇權商品進行分析，接著探討距離到期日</w:t>
      </w:r>
      <w:r w:rsidRPr="00F76E35">
        <w:t>7</w:t>
      </w:r>
      <w:r w:rsidRPr="00F76E35">
        <w:t>天之商品，並比較單點配適法與雙點配適法之差異。</w:t>
      </w:r>
    </w:p>
    <w:p w14:paraId="248A9370" w14:textId="2D8441A1" w:rsidR="0008528A" w:rsidRPr="0008528A" w:rsidRDefault="0008528A" w:rsidP="0008528A">
      <w:pPr>
        <w:spacing w:before="180" w:after="180"/>
        <w:ind w:firstLine="480"/>
      </w:pPr>
      <w:r w:rsidRPr="0008528A">
        <w:t>本研究選擇距離到期日分別為</w:t>
      </w:r>
      <w:r w:rsidRPr="0008528A">
        <w:t>1</w:t>
      </w:r>
      <w:r w:rsidRPr="0008528A">
        <w:t>天與</w:t>
      </w:r>
      <w:r w:rsidRPr="0008528A">
        <w:t>7</w:t>
      </w:r>
      <w:r w:rsidRPr="0008528A">
        <w:t>天的比特幣選擇權商品進行實證分析，主要基於以下</w:t>
      </w:r>
      <w:r>
        <w:rPr>
          <w:rFonts w:hint="eastAsia"/>
        </w:rPr>
        <w:t>原因。</w:t>
      </w:r>
      <w:r w:rsidRPr="0008528A">
        <w:t>比特幣市場具有</w:t>
      </w:r>
      <w:r w:rsidRPr="0008528A">
        <w:t>24</w:t>
      </w:r>
      <w:r w:rsidRPr="0008528A">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w:t>
      </w:r>
      <w:r>
        <w:rPr>
          <w:rFonts w:hint="eastAsia"/>
        </w:rPr>
        <w:t>；</w:t>
      </w:r>
      <w:r w:rsidRPr="0008528A">
        <w:t>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w:t>
      </w:r>
      <w:r>
        <w:rPr>
          <w:rFonts w:hint="eastAsia"/>
        </w:rPr>
        <w:t>即時</w:t>
      </w:r>
      <w:r w:rsidRPr="0008528A">
        <w:t>評估與</w:t>
      </w:r>
      <w:r>
        <w:rPr>
          <w:rFonts w:hint="eastAsia"/>
        </w:rPr>
        <w:t>反應</w:t>
      </w:r>
      <w:r w:rsidRPr="0008528A">
        <w:t>。</w:t>
      </w:r>
    </w:p>
    <w:p w14:paraId="24F56641" w14:textId="26CB18D2" w:rsidR="00D92D2A" w:rsidRPr="00F008C1" w:rsidRDefault="007942E1" w:rsidP="00F008C1">
      <w:pPr>
        <w:pStyle w:val="2"/>
      </w:pPr>
      <w:r>
        <w:rPr>
          <w:rFonts w:hint="eastAsia"/>
        </w:rPr>
        <w:t>5.1</w:t>
      </w:r>
      <w:r w:rsidR="00F008C1">
        <w:rPr>
          <w:rFonts w:hint="eastAsia"/>
        </w:rPr>
        <w:t>距離到期日</w:t>
      </w:r>
      <w:r w:rsidR="00F008C1">
        <w:rPr>
          <w:rFonts w:hint="eastAsia"/>
        </w:rPr>
        <w:t>1</w:t>
      </w:r>
      <w:r w:rsidR="00F008C1">
        <w:rPr>
          <w:rFonts w:hint="eastAsia"/>
        </w:rPr>
        <w:t>天之商品實證迴歸分析</w:t>
      </w:r>
    </w:p>
    <w:p w14:paraId="098B8146" w14:textId="0E6FB587" w:rsidR="00F008C1" w:rsidRDefault="00F008C1" w:rsidP="00F008C1">
      <w:pPr>
        <w:pStyle w:val="3"/>
        <w:spacing w:before="180" w:after="180"/>
      </w:pPr>
      <w:r>
        <w:rPr>
          <w:rFonts w:hint="eastAsia"/>
        </w:rPr>
        <w:t>5.1.1</w:t>
      </w:r>
      <w:r>
        <w:rPr>
          <w:rFonts w:hint="eastAsia"/>
        </w:rPr>
        <w:t>尾部</w:t>
      </w:r>
      <w:r>
        <w:rPr>
          <w:rFonts w:hint="eastAsia"/>
        </w:rPr>
        <w:t>GPD</w:t>
      </w:r>
      <w:r>
        <w:rPr>
          <w:rFonts w:hint="eastAsia"/>
        </w:rPr>
        <w:t>單點配適法</w:t>
      </w:r>
    </w:p>
    <w:p w14:paraId="58A40779" w14:textId="0A9EC220"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AF4043">
        <w:rPr>
          <w:rFonts w:hint="eastAsia"/>
        </w:rPr>
        <w:t>表</w:t>
      </w:r>
      <w:r w:rsidR="00AF4043">
        <w:rPr>
          <w:rFonts w:hint="eastAsia"/>
        </w:rPr>
        <w:t>5-</w:t>
      </w:r>
      <w:r w:rsidR="00AF4043">
        <w:rPr>
          <w:noProof/>
        </w:rPr>
        <w:t>1</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D54F57">
        <w:rPr>
          <w:rFonts w:hint="eastAsia"/>
        </w:rPr>
        <w:t>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717FB080" w:rsidR="008F5CEB" w:rsidRDefault="008F5CEB" w:rsidP="008F5CEB">
      <w:pPr>
        <w:pStyle w:val="a9"/>
        <w:keepNext/>
        <w:spacing w:before="180" w:after="180"/>
      </w:pPr>
      <w:bookmarkStart w:id="29" w:name="_Ref189445655"/>
      <w:bookmarkStart w:id="30" w:name="_Ref189445652"/>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1</w:t>
      </w:r>
      <w:r>
        <w:fldChar w:fldCharType="end"/>
      </w:r>
      <w:bookmarkEnd w:id="29"/>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30"/>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lastRenderedPageBreak/>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408399F6"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AF4043">
        <w:rPr>
          <w:rFonts w:hint="eastAsia"/>
        </w:rPr>
        <w:t>表</w:t>
      </w:r>
      <w:r w:rsidR="00AF4043">
        <w:rPr>
          <w:rFonts w:hint="eastAsia"/>
        </w:rPr>
        <w:t>5-</w:t>
      </w:r>
      <w:r w:rsidR="00AF4043">
        <w:rPr>
          <w:noProof/>
        </w:rPr>
        <w:t>2</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03B53B32" w:rsidR="00987DA1" w:rsidRDefault="00987DA1" w:rsidP="00987DA1">
      <w:pPr>
        <w:pStyle w:val="a9"/>
        <w:keepNext/>
        <w:spacing w:before="180" w:after="180"/>
      </w:pPr>
      <w:bookmarkStart w:id="31" w:name="_Ref1894465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2</w:t>
      </w:r>
      <w:r>
        <w:fldChar w:fldCharType="end"/>
      </w:r>
      <w:bookmarkEnd w:id="31"/>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3E6E8EC6" w14:textId="1A4E355C" w:rsidR="00987DA1" w:rsidRDefault="000E3543" w:rsidP="000E3543">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59B5A86F" w14:textId="77777777" w:rsidR="00AF4043" w:rsidRPr="00A56D4E" w:rsidRDefault="00B856BD" w:rsidP="00A56D4E">
      <w:pPr>
        <w:pStyle w:val="af9"/>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AF4043">
        <w:rPr>
          <w:rFonts w:hint="eastAsia"/>
        </w:rPr>
        <w:t>表</w:t>
      </w:r>
      <w:r w:rsidR="00AF4043">
        <w:rPr>
          <w:rFonts w:hint="eastAsia"/>
        </w:rPr>
        <w:t>5-</w:t>
      </w:r>
      <w:r w:rsidR="00AF4043">
        <w:rPr>
          <w:noProof/>
        </w:rPr>
        <w:t>3</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786B72">
        <w:fldChar w:fldCharType="begin"/>
      </w:r>
      <w:r w:rsidR="00786B72">
        <w:instrText xml:space="preserve"> </w:instrText>
      </w:r>
      <w:r w:rsidR="00786B72">
        <w:rPr>
          <w:rFonts w:hint="eastAsia"/>
        </w:rPr>
        <w:instrText>REF _Ref189448622 \h</w:instrText>
      </w:r>
      <w:r w:rsidR="00786B72">
        <w:instrText xml:space="preserve"> </w:instrText>
      </w:r>
      <w:r w:rsidR="00786B72">
        <w:fldChar w:fldCharType="separate"/>
      </w:r>
      <w:r w:rsidR="00AF4043">
        <w:rPr>
          <w:rFonts w:hint="eastAsia"/>
        </w:rPr>
        <w:t>附表</w:t>
      </w:r>
      <w:r w:rsidR="00AF4043">
        <w:rPr>
          <w:noProof/>
        </w:rPr>
        <w:t>1</w:t>
      </w:r>
      <w:r w:rsidR="00786B72">
        <w:fldChar w:fldCharType="end"/>
      </w:r>
      <w:r w:rsidR="00786B72">
        <w:rPr>
          <w:rFonts w:hint="eastAsia"/>
        </w:rPr>
        <w:t>與</w:t>
      </w:r>
      <w:r w:rsidR="00786B72">
        <w:fldChar w:fldCharType="begin"/>
      </w:r>
      <w:r w:rsidR="00786B72">
        <w:instrText xml:space="preserve"> REF _Ref189448627 \h </w:instrText>
      </w:r>
      <w:r w:rsidR="00786B72">
        <w:fldChar w:fldCharType="separate"/>
      </w:r>
      <w:r w:rsidR="00AF4043" w:rsidRPr="00A56D4E">
        <w:rPr>
          <w:rFonts w:hint="eastAsia"/>
        </w:rPr>
        <w:t>註：</w:t>
      </w:r>
      <w:r w:rsidR="00AF4043" w:rsidRPr="00A56D4E">
        <w:rPr>
          <w:rFonts w:hint="eastAsia"/>
        </w:rPr>
        <w:t>*</w:t>
      </w:r>
      <w:r w:rsidR="00AF4043" w:rsidRPr="00A56D4E">
        <w:rPr>
          <w:rFonts w:hint="eastAsia"/>
        </w:rPr>
        <w:t>表示於</w:t>
      </w:r>
      <w:r w:rsidR="00AF4043" w:rsidRPr="00A56D4E">
        <w:rPr>
          <w:rFonts w:hint="eastAsia"/>
        </w:rPr>
        <w:t xml:space="preserve">10% </w:t>
      </w:r>
      <w:r w:rsidR="00AF4043" w:rsidRPr="00A56D4E">
        <w:rPr>
          <w:rFonts w:hint="eastAsia"/>
        </w:rPr>
        <w:t>顯著水準下顯著；</w:t>
      </w:r>
      <w:r w:rsidR="00AF4043" w:rsidRPr="00A56D4E">
        <w:rPr>
          <w:rFonts w:hint="eastAsia"/>
        </w:rPr>
        <w:t>**</w:t>
      </w:r>
      <w:r w:rsidR="00AF4043" w:rsidRPr="00A56D4E">
        <w:rPr>
          <w:rFonts w:hint="eastAsia"/>
        </w:rPr>
        <w:t>表示於</w:t>
      </w:r>
      <w:r w:rsidR="00AF4043" w:rsidRPr="00A56D4E">
        <w:rPr>
          <w:rFonts w:hint="eastAsia"/>
        </w:rPr>
        <w:t xml:space="preserve">5% </w:t>
      </w:r>
      <w:r w:rsidR="00AF4043" w:rsidRPr="00A56D4E">
        <w:rPr>
          <w:rFonts w:hint="eastAsia"/>
        </w:rPr>
        <w:t>顯著水準下顯著；</w:t>
      </w:r>
      <w:r w:rsidR="00AF4043" w:rsidRPr="00A56D4E">
        <w:rPr>
          <w:rFonts w:hint="eastAsia"/>
        </w:rPr>
        <w:t>***</w:t>
      </w:r>
      <w:r w:rsidR="00AF4043" w:rsidRPr="00A56D4E">
        <w:rPr>
          <w:rFonts w:hint="eastAsia"/>
        </w:rPr>
        <w:t>表示於</w:t>
      </w:r>
      <w:r w:rsidR="00AF4043" w:rsidRPr="00A56D4E">
        <w:rPr>
          <w:rFonts w:hint="eastAsia"/>
        </w:rPr>
        <w:t xml:space="preserve">1% </w:t>
      </w:r>
      <w:r w:rsidR="00AF4043" w:rsidRPr="00A56D4E">
        <w:rPr>
          <w:rFonts w:hint="eastAsia"/>
        </w:rPr>
        <w:t>顯著水準下顯著</w:t>
      </w:r>
    </w:p>
    <w:p w14:paraId="6CD87FAC" w14:textId="3E691C6C" w:rsidR="00B856BD" w:rsidRPr="00786B72" w:rsidRDefault="00AF4043" w:rsidP="00786B72">
      <w:pPr>
        <w:spacing w:before="180" w:after="180"/>
        <w:ind w:firstLine="480"/>
      </w:pPr>
      <w:r>
        <w:rPr>
          <w:rFonts w:hint="eastAsia"/>
        </w:rPr>
        <w:lastRenderedPageBreak/>
        <w:t>附表</w:t>
      </w:r>
      <w:r>
        <w:rPr>
          <w:noProof/>
        </w:rPr>
        <w:t>2</w:t>
      </w:r>
      <w:r w:rsidR="00786B72">
        <w:fldChar w:fldCharType="end"/>
      </w:r>
      <w:r w:rsidR="00786B72">
        <w:rPr>
          <w:rFonts w:hint="eastAsia"/>
        </w:rPr>
        <w:t>。</w:t>
      </w:r>
    </w:p>
    <w:p w14:paraId="5B9DD788" w14:textId="23CD48D4" w:rsidR="00B856BD" w:rsidRDefault="00B856BD" w:rsidP="00B856BD">
      <w:pPr>
        <w:pStyle w:val="a9"/>
        <w:keepNext/>
        <w:spacing w:before="180" w:after="180"/>
      </w:pPr>
      <w:bookmarkStart w:id="32" w:name="_Ref18944750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3</w:t>
      </w:r>
      <w:r>
        <w:fldChar w:fldCharType="end"/>
      </w:r>
      <w:bookmarkEnd w:id="32"/>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7949E23B"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AF4043">
        <w:rPr>
          <w:rFonts w:hint="eastAsia"/>
        </w:rPr>
        <w:t>表</w:t>
      </w:r>
      <w:r w:rsidR="00AF4043">
        <w:rPr>
          <w:rFonts w:hint="eastAsia"/>
        </w:rPr>
        <w:t>5-</w:t>
      </w:r>
      <w:r w:rsidR="00AF4043">
        <w:rPr>
          <w:noProof/>
        </w:rPr>
        <w:t>4</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DB54B6">
        <w:rPr>
          <w:rFonts w:hint="eastAsia"/>
        </w:rPr>
        <w:t>，可知此模型已</w:t>
      </w:r>
      <w:r w:rsidR="00925907">
        <w:rPr>
          <w:rFonts w:hint="eastAsia"/>
        </w:rPr>
        <w:t>展現出相對穩定之預測能力。</w:t>
      </w:r>
    </w:p>
    <w:p w14:paraId="7E16AC49" w14:textId="22CE43E8" w:rsidR="00DB54B6" w:rsidRDefault="00DB54B6" w:rsidP="00DB54B6">
      <w:pPr>
        <w:pStyle w:val="a9"/>
        <w:keepNext/>
        <w:spacing w:before="180" w:after="180"/>
      </w:pPr>
      <w:bookmarkStart w:id="33" w:name="_Ref18944962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4</w:t>
      </w:r>
      <w:r>
        <w:fldChar w:fldCharType="end"/>
      </w:r>
      <w:bookmarkEnd w:id="33"/>
      <w:r>
        <w:rPr>
          <w:rFonts w:hint="eastAsia"/>
        </w:rPr>
        <w:t>：距到期日</w:t>
      </w:r>
      <w:r>
        <w:rPr>
          <w:rFonts w:hint="eastAsia"/>
        </w:rPr>
        <w:t>1</w:t>
      </w:r>
      <w:r>
        <w:rPr>
          <w:rFonts w:hint="eastAsia"/>
        </w:rPr>
        <w:t>日之</w:t>
      </w:r>
      <w:r>
        <w:rPr>
          <w:rFonts w:hint="eastAsia"/>
        </w:rPr>
        <w:t>RND</w:t>
      </w:r>
      <w:r>
        <w:rPr>
          <w:rFonts w:hint="eastAsia"/>
        </w:rPr>
        <w:t>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FD397EA" w:rsidR="00F008C1" w:rsidRDefault="00F008C1" w:rsidP="00F008C1">
      <w:pPr>
        <w:pStyle w:val="3"/>
        <w:spacing w:before="180" w:after="180"/>
      </w:pPr>
      <w:r>
        <w:rPr>
          <w:rFonts w:hint="eastAsia"/>
        </w:rPr>
        <w:lastRenderedPageBreak/>
        <w:t>5.1.2</w:t>
      </w:r>
      <w:r>
        <w:rPr>
          <w:rFonts w:hint="eastAsia"/>
        </w:rPr>
        <w:t>尾部</w:t>
      </w:r>
      <w:r>
        <w:rPr>
          <w:rFonts w:hint="eastAsia"/>
        </w:rPr>
        <w:t>GPD</w:t>
      </w:r>
      <w:r>
        <w:rPr>
          <w:rFonts w:hint="eastAsia"/>
        </w:rPr>
        <w:t>雙點配適法</w:t>
      </w:r>
    </w:p>
    <w:p w14:paraId="55C1E466" w14:textId="473AFFE2"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AF4043">
        <w:rPr>
          <w:rFonts w:hint="eastAsia"/>
        </w:rPr>
        <w:t>表</w:t>
      </w:r>
      <w:r w:rsidR="00AF4043">
        <w:rPr>
          <w:rFonts w:hint="eastAsia"/>
        </w:rPr>
        <w:t>5-</w:t>
      </w:r>
      <w:r w:rsidR="00AF4043">
        <w:rPr>
          <w:noProof/>
        </w:rPr>
        <w:t>5</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Pr>
          <w:rFonts w:hint="eastAsia"/>
        </w:rPr>
        <w:t>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22251532" w:rsidR="00F36EA6" w:rsidRDefault="00F36EA6" w:rsidP="00F36EA6">
      <w:pPr>
        <w:pStyle w:val="a9"/>
        <w:keepNext/>
        <w:spacing w:before="180" w:after="180"/>
      </w:pPr>
      <w:bookmarkStart w:id="34" w:name="_Ref18945081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5</w:t>
      </w:r>
      <w:r>
        <w:fldChar w:fldCharType="end"/>
      </w:r>
      <w:bookmarkEnd w:id="34"/>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5AF434E8"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AF4043">
        <w:rPr>
          <w:rFonts w:hint="eastAsia"/>
        </w:rPr>
        <w:t>表</w:t>
      </w:r>
      <w:r w:rsidR="00AF4043">
        <w:rPr>
          <w:rFonts w:hint="eastAsia"/>
        </w:rPr>
        <w:t>5-</w:t>
      </w:r>
      <w:r w:rsidR="00AF4043">
        <w:rPr>
          <w:noProof/>
        </w:rPr>
        <w:t>6</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448EEDF5" w:rsidR="00F36EA6" w:rsidRDefault="00F36EA6" w:rsidP="00F36EA6">
      <w:pPr>
        <w:pStyle w:val="a9"/>
        <w:keepNext/>
        <w:spacing w:before="180" w:after="180"/>
      </w:pPr>
      <w:bookmarkStart w:id="35" w:name="_Ref189451054"/>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6</w:t>
      </w:r>
      <w:r>
        <w:fldChar w:fldCharType="end"/>
      </w:r>
      <w:bookmarkEnd w:id="35"/>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2ECA9F44" w14:textId="77777777" w:rsidR="00F36EA6" w:rsidRDefault="00F36EA6" w:rsidP="00F36EA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0630886" w14:textId="77777777" w:rsidR="00AF4043" w:rsidRDefault="00F36EA6" w:rsidP="00A56D4E">
      <w:pPr>
        <w:pStyle w:val="af9"/>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AF4043">
        <w:rPr>
          <w:rFonts w:hint="eastAsia"/>
        </w:rPr>
        <w:t>表</w:t>
      </w:r>
      <w:r w:rsidR="00AF4043">
        <w:rPr>
          <w:rFonts w:hint="eastAsia"/>
        </w:rPr>
        <w:t>5-</w:t>
      </w:r>
      <w:r w:rsidR="00AF4043">
        <w:rPr>
          <w:noProof/>
        </w:rPr>
        <w:t>7</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2D0E3A">
        <w:fldChar w:fldCharType="begin"/>
      </w:r>
      <w:r w:rsidR="002D0E3A">
        <w:instrText xml:space="preserve"> </w:instrText>
      </w:r>
      <w:r w:rsidR="002D0E3A">
        <w:rPr>
          <w:rFonts w:hint="eastAsia"/>
        </w:rPr>
        <w:instrText>REF _Ref189451767 \h</w:instrText>
      </w:r>
      <w:r w:rsidR="002D0E3A">
        <w:instrText xml:space="preserve"> </w:instrText>
      </w:r>
      <w:r w:rsidR="002D0E3A">
        <w:fldChar w:fldCharType="separate"/>
      </w:r>
      <w:r w:rsidR="00AF4043" w:rsidRPr="00A56D4E">
        <w:rPr>
          <w:rFonts w:hint="eastAsia"/>
        </w:rPr>
        <w:t>註：</w:t>
      </w:r>
      <w:r w:rsidR="00AF4043" w:rsidRPr="00A56D4E">
        <w:rPr>
          <w:rFonts w:hint="eastAsia"/>
        </w:rPr>
        <w:t>*</w:t>
      </w:r>
      <w:r w:rsidR="00AF4043" w:rsidRPr="00A56D4E">
        <w:rPr>
          <w:rFonts w:hint="eastAsia"/>
        </w:rPr>
        <w:t>表示於</w:t>
      </w:r>
      <w:r w:rsidR="00AF4043" w:rsidRPr="00A56D4E">
        <w:rPr>
          <w:rFonts w:hint="eastAsia"/>
        </w:rPr>
        <w:t xml:space="preserve">10% </w:t>
      </w:r>
      <w:r w:rsidR="00AF4043" w:rsidRPr="00A56D4E">
        <w:rPr>
          <w:rFonts w:hint="eastAsia"/>
        </w:rPr>
        <w:t>顯著水準下顯著；</w:t>
      </w:r>
      <w:r w:rsidR="00AF4043" w:rsidRPr="00A56D4E">
        <w:rPr>
          <w:rFonts w:hint="eastAsia"/>
        </w:rPr>
        <w:t>**</w:t>
      </w:r>
      <w:r w:rsidR="00AF4043" w:rsidRPr="00A56D4E">
        <w:rPr>
          <w:rFonts w:hint="eastAsia"/>
        </w:rPr>
        <w:t>表示於</w:t>
      </w:r>
      <w:r w:rsidR="00AF4043" w:rsidRPr="00A56D4E">
        <w:rPr>
          <w:rFonts w:hint="eastAsia"/>
        </w:rPr>
        <w:t xml:space="preserve">5% </w:t>
      </w:r>
      <w:r w:rsidR="00AF4043" w:rsidRPr="00A56D4E">
        <w:rPr>
          <w:rFonts w:hint="eastAsia"/>
        </w:rPr>
        <w:t>顯著水準下顯著；</w:t>
      </w:r>
      <w:r w:rsidR="00AF4043" w:rsidRPr="00A56D4E">
        <w:rPr>
          <w:rFonts w:hint="eastAsia"/>
        </w:rPr>
        <w:t>***</w:t>
      </w:r>
      <w:r w:rsidR="00AF4043" w:rsidRPr="00A56D4E">
        <w:rPr>
          <w:rFonts w:hint="eastAsia"/>
        </w:rPr>
        <w:t>表示於</w:t>
      </w:r>
      <w:r w:rsidR="00AF4043" w:rsidRPr="00A56D4E">
        <w:rPr>
          <w:rFonts w:hint="eastAsia"/>
        </w:rPr>
        <w:t xml:space="preserve">1% </w:t>
      </w:r>
      <w:r w:rsidR="00AF4043" w:rsidRPr="00A56D4E">
        <w:rPr>
          <w:rFonts w:hint="eastAsia"/>
        </w:rPr>
        <w:t>顯著水準下顯著</w:t>
      </w:r>
    </w:p>
    <w:p w14:paraId="56310BE4" w14:textId="77777777" w:rsidR="00AF4043" w:rsidRDefault="00AF4043" w:rsidP="00A56D4E">
      <w:pPr>
        <w:pStyle w:val="af9"/>
      </w:pPr>
      <w:r>
        <w:rPr>
          <w:rFonts w:hint="eastAsia"/>
        </w:rPr>
        <w:t>附表</w:t>
      </w:r>
      <w:r>
        <w:rPr>
          <w:noProof/>
        </w:rPr>
        <w:t>4</w:t>
      </w:r>
      <w:r w:rsidR="002D0E3A">
        <w:fldChar w:fldCharType="end"/>
      </w:r>
      <w:r w:rsidR="00F36EA6">
        <w:rPr>
          <w:rFonts w:hint="eastAsia"/>
        </w:rPr>
        <w:t>與</w:t>
      </w:r>
      <w:r w:rsidR="002D0E3A">
        <w:fldChar w:fldCharType="begin"/>
      </w:r>
      <w:r w:rsidR="002D0E3A">
        <w:instrText xml:space="preserve"> </w:instrText>
      </w:r>
      <w:r w:rsidR="002D0E3A">
        <w:rPr>
          <w:rFonts w:hint="eastAsia"/>
        </w:rPr>
        <w:instrText>REF _Ref189451773 \h</w:instrText>
      </w:r>
      <w:r w:rsidR="002D0E3A">
        <w:instrText xml:space="preserve"> </w:instrText>
      </w:r>
      <w:r w:rsidR="002D0E3A">
        <w:fldChar w:fldCharType="separate"/>
      </w: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E4CAF46" w14:textId="10C07744" w:rsidR="00F36EA6" w:rsidRPr="00786B72" w:rsidRDefault="00AF4043" w:rsidP="00F36EA6">
      <w:pPr>
        <w:spacing w:before="180" w:after="180"/>
        <w:ind w:firstLine="480"/>
      </w:pPr>
      <w:r>
        <w:rPr>
          <w:rFonts w:hint="eastAsia"/>
        </w:rPr>
        <w:t>附表</w:t>
      </w:r>
      <w:r>
        <w:rPr>
          <w:noProof/>
        </w:rPr>
        <w:t>5</w:t>
      </w:r>
      <w:r w:rsidR="002D0E3A">
        <w:fldChar w:fldCharType="end"/>
      </w:r>
      <w:r w:rsidR="00F36EA6">
        <w:rPr>
          <w:rFonts w:hint="eastAsia"/>
        </w:rPr>
        <w:t>。</w:t>
      </w:r>
    </w:p>
    <w:p w14:paraId="4EECD36A" w14:textId="719A8663" w:rsidR="00F36EA6" w:rsidRDefault="00F36EA6" w:rsidP="00F36EA6">
      <w:pPr>
        <w:pStyle w:val="a9"/>
        <w:keepNext/>
        <w:spacing w:before="180" w:after="180"/>
      </w:pPr>
      <w:bookmarkStart w:id="36" w:name="_Ref18945120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7</w:t>
      </w:r>
      <w:r>
        <w:fldChar w:fldCharType="end"/>
      </w:r>
      <w:bookmarkEnd w:id="36"/>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5552C494"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AF4043">
        <w:rPr>
          <w:rFonts w:hint="eastAsia"/>
        </w:rPr>
        <w:t>表</w:t>
      </w:r>
      <w:r w:rsidR="00AF4043">
        <w:rPr>
          <w:rFonts w:hint="eastAsia"/>
        </w:rPr>
        <w:t>5-</w:t>
      </w:r>
      <w:r w:rsidR="00AF4043">
        <w:rPr>
          <w:noProof/>
        </w:rPr>
        <w:t>8</w:t>
      </w:r>
      <w:r>
        <w:fldChar w:fldCharType="end"/>
      </w:r>
      <w:r w:rsidR="00F36EA6">
        <w:rPr>
          <w:rFonts w:hint="eastAsia"/>
        </w:rPr>
        <w:t>，顯示</w:t>
      </w:r>
      <w:r>
        <w:rPr>
          <w:rFonts w:hint="eastAsia"/>
        </w:rPr>
        <w:t>偏態不具顯著性，雙點配適法建構之迴歸模型不具穩定之預測能力。</w:t>
      </w:r>
    </w:p>
    <w:p w14:paraId="28883F61" w14:textId="7243077A" w:rsidR="00F36EA6" w:rsidRDefault="00F36EA6" w:rsidP="00F36EA6">
      <w:pPr>
        <w:pStyle w:val="a9"/>
        <w:keepNext/>
        <w:spacing w:before="180" w:after="180"/>
      </w:pPr>
      <w:bookmarkStart w:id="37" w:name="_Ref189451908"/>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8</w:t>
      </w:r>
      <w:r>
        <w:fldChar w:fldCharType="end"/>
      </w:r>
      <w:bookmarkEnd w:id="37"/>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295C54EF" w:rsidR="00F008C1" w:rsidRDefault="00F008C1" w:rsidP="00F008C1">
      <w:pPr>
        <w:pStyle w:val="3"/>
        <w:spacing w:before="180" w:after="180"/>
      </w:pPr>
      <w:r>
        <w:rPr>
          <w:rFonts w:hint="eastAsia"/>
        </w:rPr>
        <w:t>5.1.3</w:t>
      </w:r>
      <w:r>
        <w:rPr>
          <w:rFonts w:hint="eastAsia"/>
        </w:rPr>
        <w:t>兩方法比較分析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61DE60CC" w:rsidR="00B079F1" w:rsidRPr="00B079F1" w:rsidRDefault="00B079F1" w:rsidP="00B079F1">
      <w:pPr>
        <w:spacing w:before="180" w:after="180"/>
        <w:ind w:firstLine="480"/>
      </w:pPr>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且偏態與前四期報酬率呈現正向影響，中位數則具負向影響。反觀雙點配適法，偏態變數不具顯著性，僅中位數與前四期報酬率維持顯著水準，顯示單點配適法能更有效地捕捉市場偏態特徵對價格走勢的影響。</w:t>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7F58F94A" w14:textId="16F0D415" w:rsidR="00B70483" w:rsidRPr="00B079F1" w:rsidRDefault="00B70483" w:rsidP="00B079F1">
      <w:pPr>
        <w:spacing w:before="180" w:after="180"/>
        <w:ind w:firstLine="480"/>
      </w:pPr>
      <w:r w:rsidRPr="00B70483">
        <w:t>綜上所述，本研究發現在預測比特幣日報酬率時，單點配適法較雙點配適法具</w:t>
      </w:r>
      <w:r w:rsidRPr="00B70483">
        <w:lastRenderedPageBreak/>
        <w:t>有以下優勢：</w:t>
      </w:r>
      <w:r w:rsidRPr="00B70483">
        <w:t>(1)</w:t>
      </w:r>
      <w:r>
        <w:rPr>
          <w:rFonts w:hint="eastAsia"/>
        </w:rPr>
        <w:t xml:space="preserve"> </w:t>
      </w:r>
      <w:r w:rsidRPr="00B70483">
        <w:t>樣本配適的穩定性較高；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5ACE55FD" w:rsidR="00F008C1" w:rsidRDefault="00F008C1" w:rsidP="00B079F1">
      <w:pPr>
        <w:pStyle w:val="2"/>
      </w:pPr>
      <w:r>
        <w:rPr>
          <w:rFonts w:hint="eastAsia"/>
        </w:rPr>
        <w:t>5.2</w:t>
      </w:r>
      <w:r>
        <w:rPr>
          <w:rFonts w:hint="eastAsia"/>
        </w:rPr>
        <w:t>距離到期日</w:t>
      </w:r>
      <w:r>
        <w:rPr>
          <w:rFonts w:hint="eastAsia"/>
        </w:rPr>
        <w:t>7</w:t>
      </w:r>
      <w:r>
        <w:rPr>
          <w:rFonts w:hint="eastAsia"/>
        </w:rPr>
        <w:t>天之商品實證迴歸分析</w:t>
      </w:r>
    </w:p>
    <w:p w14:paraId="4D56B895" w14:textId="110C0037" w:rsidR="00F008C1" w:rsidRDefault="00F008C1" w:rsidP="00F008C1">
      <w:pPr>
        <w:pStyle w:val="3"/>
        <w:spacing w:before="180" w:after="180"/>
      </w:pPr>
      <w:r>
        <w:rPr>
          <w:rFonts w:hint="eastAsia"/>
        </w:rPr>
        <w:t>5.2.1</w:t>
      </w:r>
      <w:r>
        <w:rPr>
          <w:rFonts w:hint="eastAsia"/>
        </w:rPr>
        <w:t>尾部</w:t>
      </w:r>
      <w:r>
        <w:rPr>
          <w:rFonts w:hint="eastAsia"/>
        </w:rPr>
        <w:t>GPD</w:t>
      </w:r>
      <w:r>
        <w:rPr>
          <w:rFonts w:hint="eastAsia"/>
        </w:rPr>
        <w:t>單點配適法</w:t>
      </w:r>
    </w:p>
    <w:p w14:paraId="3DCF91C8" w14:textId="5B473F8F"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AF4043">
        <w:rPr>
          <w:rFonts w:hint="eastAsia"/>
        </w:rPr>
        <w:t>表</w:t>
      </w:r>
      <w:r w:rsidR="00AF4043">
        <w:rPr>
          <w:rFonts w:hint="eastAsia"/>
        </w:rPr>
        <w:t>5-</w:t>
      </w:r>
      <w:r w:rsidR="00AF4043">
        <w:rPr>
          <w:noProof/>
        </w:rPr>
        <w:t>9</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3C7D5D43" w:rsidR="002D0E3A" w:rsidRDefault="002D0E3A" w:rsidP="002D0E3A">
      <w:pPr>
        <w:pStyle w:val="a9"/>
        <w:keepNext/>
        <w:spacing w:before="180" w:after="180"/>
      </w:pPr>
      <w:bookmarkStart w:id="38" w:name="_Ref189454446"/>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9</w:t>
      </w:r>
      <w:r>
        <w:fldChar w:fldCharType="end"/>
      </w:r>
      <w:bookmarkEnd w:id="38"/>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59C5535A"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AF4043">
        <w:rPr>
          <w:rFonts w:hint="eastAsia"/>
        </w:rPr>
        <w:t>表</w:t>
      </w:r>
      <w:r w:rsidR="00AF4043">
        <w:rPr>
          <w:rFonts w:hint="eastAsia"/>
        </w:rPr>
        <w:t>5-</w:t>
      </w:r>
      <w:r w:rsidR="00AF4043">
        <w:rPr>
          <w:noProof/>
        </w:rPr>
        <w:t>10</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0A046482" w:rsidR="002D0E3A" w:rsidRDefault="002D0E3A" w:rsidP="002D0E3A">
      <w:pPr>
        <w:pStyle w:val="a9"/>
        <w:keepNext/>
        <w:spacing w:before="180" w:after="180"/>
      </w:pPr>
      <w:bookmarkStart w:id="39" w:name="_Ref1894547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10</w:t>
      </w:r>
      <w:r>
        <w:fldChar w:fldCharType="end"/>
      </w:r>
      <w:bookmarkEnd w:id="39"/>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13E31F94"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AF4043">
        <w:rPr>
          <w:rFonts w:hint="eastAsia"/>
        </w:rPr>
        <w:t>附表</w:t>
      </w:r>
      <w:r w:rsidR="00AF4043">
        <w:rPr>
          <w:noProof/>
        </w:rPr>
        <w:t>6</w:t>
      </w:r>
      <w:r>
        <w:fldChar w:fldCharType="end"/>
      </w:r>
      <w:r w:rsidRPr="002A67DD">
        <w:t>至</w:t>
      </w:r>
      <w:r>
        <w:fldChar w:fldCharType="begin"/>
      </w:r>
      <w:r>
        <w:instrText xml:space="preserve"> REF _Ref189455847 \h </w:instrText>
      </w:r>
      <w:r>
        <w:fldChar w:fldCharType="separate"/>
      </w:r>
      <w:r w:rsidR="00AF4043">
        <w:rPr>
          <w:rFonts w:hint="eastAsia"/>
        </w:rPr>
        <w:t>附表</w:t>
      </w:r>
      <w:r w:rsidR="00AF4043">
        <w:rPr>
          <w:noProof/>
        </w:rPr>
        <w:t>8</w:t>
      </w:r>
      <w:r>
        <w:fldChar w:fldCharType="end"/>
      </w:r>
      <w:r w:rsidRPr="002A67DD">
        <w:t>。此現象顯示，單純增加變數數量並無法有效提升模型的預測能力，反而可能導致模型過度擬合的問題。</w:t>
      </w:r>
    </w:p>
    <w:p w14:paraId="4F8D3FD5" w14:textId="7569D4DA" w:rsidR="002A67DD" w:rsidRPr="002A67DD" w:rsidRDefault="002A67DD" w:rsidP="002A67DD">
      <w:pPr>
        <w:spacing w:before="180" w:after="180"/>
        <w:ind w:firstLine="480"/>
      </w:pPr>
      <w:r w:rsidRPr="002A67DD">
        <w:t>經過反覆測試不同變數的排列組合後，本研究發現在預測比特幣週報酬率時，超額峰度（</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AF4043">
        <w:rPr>
          <w:rFonts w:hint="eastAsia"/>
        </w:rPr>
        <w:t>表</w:t>
      </w:r>
      <w:r w:rsidR="00AF4043">
        <w:rPr>
          <w:rFonts w:hint="eastAsia"/>
        </w:rPr>
        <w:t>5-</w:t>
      </w:r>
      <w:r w:rsidR="00AF4043">
        <w:rPr>
          <w:noProof/>
        </w:rPr>
        <w:t>11</w:t>
      </w:r>
      <w:r>
        <w:fldChar w:fldCharType="end"/>
      </w:r>
      <w:r w:rsidRPr="002A67DD">
        <w:t>。</w:t>
      </w:r>
    </w:p>
    <w:p w14:paraId="73662678" w14:textId="6D0A14AE" w:rsidR="002D0E3A" w:rsidRDefault="002D0E3A" w:rsidP="002D0E3A">
      <w:pPr>
        <w:pStyle w:val="a9"/>
        <w:keepNext/>
        <w:spacing w:before="180" w:after="180"/>
      </w:pPr>
      <w:bookmarkStart w:id="40" w:name="_Ref189456629"/>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11</w:t>
      </w:r>
      <w:r>
        <w:fldChar w:fldCharType="end"/>
      </w:r>
      <w:bookmarkEnd w:id="40"/>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207EFAE2" w:rsidR="00F008C1" w:rsidRDefault="00F008C1" w:rsidP="00F008C1">
      <w:pPr>
        <w:pStyle w:val="3"/>
        <w:spacing w:before="180" w:after="180"/>
      </w:pPr>
      <w:r>
        <w:rPr>
          <w:rFonts w:hint="eastAsia"/>
        </w:rPr>
        <w:lastRenderedPageBreak/>
        <w:t>5.2.2</w:t>
      </w:r>
      <w:r>
        <w:rPr>
          <w:rFonts w:hint="eastAsia"/>
        </w:rPr>
        <w:t>尾部</w:t>
      </w:r>
      <w:r>
        <w:rPr>
          <w:rFonts w:hint="eastAsia"/>
        </w:rPr>
        <w:t>GPD</w:t>
      </w:r>
      <w:r>
        <w:rPr>
          <w:rFonts w:hint="eastAsia"/>
        </w:rPr>
        <w:t>雙點配適法</w:t>
      </w:r>
    </w:p>
    <w:p w14:paraId="14C9629D" w14:textId="342C6C4C"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AF4043">
        <w:rPr>
          <w:rFonts w:hint="eastAsia"/>
        </w:rPr>
        <w:t>表</w:t>
      </w:r>
      <w:r w:rsidR="00AF4043">
        <w:rPr>
          <w:rFonts w:hint="eastAsia"/>
        </w:rPr>
        <w:t>5-</w:t>
      </w:r>
      <w:r w:rsidR="00AF4043">
        <w:rPr>
          <w:noProof/>
        </w:rPr>
        <w:t>12</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Pr>
          <w:rFonts w:hint="eastAsia"/>
        </w:rPr>
        <w:t>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032716BD" w:rsidR="00556A6A" w:rsidRDefault="00556A6A" w:rsidP="00556A6A">
      <w:pPr>
        <w:pStyle w:val="a9"/>
        <w:keepNext/>
        <w:spacing w:before="180" w:after="180"/>
      </w:pPr>
      <w:bookmarkStart w:id="41" w:name="_Ref18945703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12</w:t>
      </w:r>
      <w:r>
        <w:fldChar w:fldCharType="end"/>
      </w:r>
      <w:bookmarkEnd w:id="41"/>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6501A5BF"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AF4043">
        <w:rPr>
          <w:rFonts w:hint="eastAsia"/>
        </w:rPr>
        <w:t>表</w:t>
      </w:r>
      <w:r w:rsidR="00AF4043">
        <w:rPr>
          <w:rFonts w:hint="eastAsia"/>
        </w:rPr>
        <w:t>5-</w:t>
      </w:r>
      <w:r w:rsidR="00AF4043">
        <w:rPr>
          <w:noProof/>
        </w:rPr>
        <w:t>13</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0BC78651" w:rsidR="00556A6A" w:rsidRDefault="00556A6A" w:rsidP="00556A6A">
      <w:pPr>
        <w:pStyle w:val="a9"/>
        <w:keepNext/>
        <w:spacing w:before="180" w:after="180"/>
      </w:pPr>
      <w:bookmarkStart w:id="42" w:name="_Ref189457458"/>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13</w:t>
      </w:r>
      <w:r>
        <w:fldChar w:fldCharType="end"/>
      </w:r>
      <w:bookmarkEnd w:id="42"/>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57846498"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AF4043">
        <w:rPr>
          <w:rFonts w:hint="eastAsia"/>
        </w:rPr>
        <w:t>附表</w:t>
      </w:r>
      <w:r w:rsidR="00AF4043">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AF4043">
        <w:rPr>
          <w:rFonts w:hint="eastAsia"/>
        </w:rPr>
        <w:t>附表</w:t>
      </w:r>
      <w:r w:rsidR="00AF4043">
        <w:rPr>
          <w:noProof/>
        </w:rPr>
        <w:t>8</w:t>
      </w:r>
      <w:r w:rsidR="00556A6A">
        <w:fldChar w:fldCharType="end"/>
      </w:r>
      <w:r w:rsidR="00556A6A" w:rsidRPr="002A67DD">
        <w:t>。</w:t>
      </w:r>
    </w:p>
    <w:p w14:paraId="75C7163E" w14:textId="36DF1E15" w:rsidR="00556A6A" w:rsidRPr="002A67DD" w:rsidRDefault="00F22A38" w:rsidP="00F22A38">
      <w:pPr>
        <w:spacing w:before="180" w:after="180"/>
        <w:ind w:firstLine="480"/>
      </w:pPr>
      <w:r>
        <w:rPr>
          <w:rFonts w:hint="eastAsia"/>
        </w:rPr>
        <w:t>為與單點配適法建構之迴歸模型進行比較，本小節亦選擇超額峰態（</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AF4043">
        <w:rPr>
          <w:rFonts w:hint="eastAsia"/>
        </w:rPr>
        <w:t>表</w:t>
      </w:r>
      <w:r w:rsidR="00AF4043">
        <w:rPr>
          <w:rFonts w:hint="eastAsia"/>
        </w:rPr>
        <w:t>5-</w:t>
      </w:r>
      <w:r w:rsidR="00AF4043">
        <w:rPr>
          <w:noProof/>
        </w:rPr>
        <w:t>14</w:t>
      </w:r>
      <w:r>
        <w:fldChar w:fldCharType="end"/>
      </w:r>
      <w:r>
        <w:rPr>
          <w:rFonts w:hint="eastAsia"/>
        </w:rPr>
        <w:t>，變數顯著性與模型預測能力皆與單點配適法模型相仿。</w:t>
      </w:r>
    </w:p>
    <w:p w14:paraId="71AD3AA3" w14:textId="7964766C" w:rsidR="00556A6A" w:rsidRDefault="00556A6A" w:rsidP="00556A6A">
      <w:pPr>
        <w:pStyle w:val="a9"/>
        <w:keepNext/>
        <w:spacing w:before="180" w:after="180"/>
      </w:pPr>
      <w:bookmarkStart w:id="43" w:name="_Ref189457902"/>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F4043">
        <w:rPr>
          <w:noProof/>
        </w:rPr>
        <w:t>14</w:t>
      </w:r>
      <w:r>
        <w:fldChar w:fldCharType="end"/>
      </w:r>
      <w:bookmarkEnd w:id="43"/>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67B1D51C" w:rsidR="00F008C1" w:rsidRDefault="00F008C1" w:rsidP="00F008C1">
      <w:pPr>
        <w:pStyle w:val="3"/>
        <w:spacing w:before="180" w:after="180"/>
      </w:pPr>
      <w:r>
        <w:rPr>
          <w:rFonts w:hint="eastAsia"/>
        </w:rPr>
        <w:t>5.2.3</w:t>
      </w:r>
      <w:r>
        <w:rPr>
          <w:rFonts w:hint="eastAsia"/>
        </w:rPr>
        <w:t>兩方法比較分析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特徵值相當接近，顯示在週報酬率的預測上，單點配適法與雙點配適法皆能有效捕捉市場資訊。此結果與日報酬率預測時所觀察到的差異形成對比，推測其原因可能為：週報酬率之預測區間較</w:t>
      </w:r>
      <w:r w:rsidRPr="00B74C6F">
        <w:lastRenderedPageBreak/>
        <w:t>長，使得尾部配適方法對整體預測結果的影響程度相對降低。</w:t>
      </w:r>
    </w:p>
    <w:p w14:paraId="42613C16" w14:textId="77777777" w:rsidR="00B74C6F" w:rsidRDefault="00B74C6F" w:rsidP="00B74C6F">
      <w:pPr>
        <w:spacing w:before="180" w:after="180"/>
        <w:ind w:firstLine="480"/>
      </w:pPr>
      <w:r w:rsidRPr="00B74C6F">
        <w:t>在模型預測效果方面，兩種方法皆選取超額峰度（</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Pr="00B74C6F" w:rsidRDefault="00B74C6F" w:rsidP="00B74C6F">
      <w:pPr>
        <w:spacing w:before="180" w:after="180"/>
        <w:ind w:firstLine="480"/>
      </w:pPr>
      <w:r>
        <w:rPr>
          <w:rFonts w:hint="eastAsia"/>
        </w:rPr>
        <w:t>綜上所述，本研究發現</w:t>
      </w:r>
      <w:r w:rsidRPr="00B74C6F">
        <w:t>在預測週報酬率時，單點配適法不僅能達到與雙點配適法相同的預測效果，更具有計算效率之優勢。</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4" w:name="_Toc182815183"/>
      <w:r>
        <w:rPr>
          <w:rFonts w:hint="eastAsia"/>
        </w:rPr>
        <w:lastRenderedPageBreak/>
        <w:t>附錄</w:t>
      </w:r>
    </w:p>
    <w:p w14:paraId="0377CFCD" w14:textId="4FE9997E" w:rsidR="00786B72" w:rsidRDefault="00786B72" w:rsidP="00786B72">
      <w:pPr>
        <w:pStyle w:val="a9"/>
        <w:keepNext/>
        <w:spacing w:before="180" w:after="180"/>
      </w:pPr>
      <w:bookmarkStart w:id="45"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1</w:t>
      </w:r>
      <w:r>
        <w:fldChar w:fldCharType="end"/>
      </w:r>
      <w:bookmarkEnd w:id="45"/>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6"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17451445" w:rsidR="00786B72" w:rsidRDefault="00786B72" w:rsidP="00786B72">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2</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7"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39B8B750" w:rsidR="00925907" w:rsidRDefault="00925907" w:rsidP="00925907">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3</w:t>
      </w:r>
      <w:r>
        <w:fldChar w:fldCharType="end"/>
      </w:r>
      <w:bookmarkEnd w:id="47"/>
      <w:r>
        <w:rPr>
          <w:rFonts w:hint="eastAsia"/>
        </w:rPr>
        <w:t>：依據三變數模型拓展之四變數迴歸分析結果（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48"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6D997056"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4</w:t>
      </w:r>
      <w:r>
        <w:fldChar w:fldCharType="end"/>
      </w:r>
      <w:bookmarkEnd w:id="48"/>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7E4761">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7E4761">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7E4761">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7E4761">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7E4761">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7E4761">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7E4761">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7E4761">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7E4761">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49"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2881361A" w:rsidR="006A1E80" w:rsidRDefault="006A1E80" w:rsidP="006A1E80">
      <w:pPr>
        <w:pStyle w:val="a9"/>
        <w:keepNext/>
        <w:spacing w:before="180" w:after="1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5</w:t>
      </w:r>
      <w:r>
        <w:fldChar w:fldCharType="end"/>
      </w:r>
      <w:bookmarkEnd w:id="49"/>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7E4761">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7E4761">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7E4761">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7E4761">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7E4761">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7E4761">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7E4761">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7E4761">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7E4761">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7E4761">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7E4761">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7E4761">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58771811" w:rsidR="00A56D4E" w:rsidRDefault="00A56D4E" w:rsidP="00A56D4E">
      <w:pPr>
        <w:pStyle w:val="a9"/>
        <w:keepNext/>
        <w:spacing w:before="180" w:after="180"/>
      </w:pPr>
      <w:bookmarkStart w:id="50" w:name="_Ref189455844"/>
      <w:bookmarkStart w:id="51" w:name="_Ref189455832"/>
      <w:bookmarkStart w:id="52"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6</w:t>
      </w:r>
      <w:r>
        <w:fldChar w:fldCharType="end"/>
      </w:r>
      <w:bookmarkEnd w:id="50"/>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3"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6BAE9000" w:rsidR="00653EE0" w:rsidRDefault="00653EE0" w:rsidP="00653EE0">
      <w:pPr>
        <w:pStyle w:val="a9"/>
        <w:keepNext/>
        <w:spacing w:before="180" w:after="180"/>
        <w:ind w:firstLine="480"/>
      </w:pPr>
      <w:bookmarkStart w:id="54" w:name="_Ref189455846"/>
      <w:bookmarkEnd w:id="5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7</w:t>
      </w:r>
      <w:r>
        <w:fldChar w:fldCharType="end"/>
      </w:r>
      <w:bookmarkEnd w:id="54"/>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17625CB8" w:rsidR="00653EE0" w:rsidRDefault="00653EE0" w:rsidP="00653EE0">
      <w:pPr>
        <w:pStyle w:val="a9"/>
        <w:keepNext/>
        <w:spacing w:before="180" w:after="180"/>
        <w:ind w:firstLine="480"/>
      </w:pPr>
      <w:bookmarkStart w:id="55"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8</w:t>
      </w:r>
      <w:r>
        <w:fldChar w:fldCharType="end"/>
      </w:r>
      <w:bookmarkEnd w:id="55"/>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7E4761">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7E4761">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7E4761">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7E4761">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7E4761">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7E4761">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52"/>
    </w:p>
    <w:p w14:paraId="54113F93" w14:textId="0E2FF538"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26B70C97"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633497B6"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F4043">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7E4761">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7E4761">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7E4761">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7E4761">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7E4761">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7E4761">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02F0225D" w14:textId="77CCEA91" w:rsidR="0068520F" w:rsidRDefault="0073610D" w:rsidP="00025BEA">
      <w:pPr>
        <w:pStyle w:val="1"/>
        <w:spacing w:before="180" w:after="180"/>
      </w:pPr>
      <w:r>
        <w:rPr>
          <w:rFonts w:hint="eastAsia"/>
        </w:rPr>
        <w:lastRenderedPageBreak/>
        <w:t>參考文獻</w:t>
      </w:r>
      <w:bookmarkEnd w:id="44"/>
    </w:p>
    <w:p w14:paraId="70EF9504" w14:textId="77777777" w:rsidR="00025BEA" w:rsidRPr="00025BEA" w:rsidRDefault="00025BEA" w:rsidP="00025BEA">
      <w:pPr>
        <w:pStyle w:val="af2"/>
        <w:spacing w:beforeLines="0" w:before="0" w:after="180" w:line="240" w:lineRule="auto"/>
        <w:ind w:left="0" w:firstLine="480"/>
        <w:jc w:val="left"/>
      </w:pPr>
      <w:r>
        <w:fldChar w:fldCharType="begin"/>
      </w:r>
      <w:r w:rsidRPr="00025BEA">
        <w:rPr>
          <w:lang w:val="de-DE"/>
        </w:rPr>
        <w:instrText xml:space="preserve"> ADDIN ZOTERO_BIBL {"uncited":[],"omitted":[],"custom":[]} CSL_BIBLIOGRAPHY </w:instrText>
      </w:r>
      <w:r>
        <w:fldChar w:fldCharType="separate"/>
      </w:r>
      <w:r w:rsidRPr="00025BEA">
        <w:rPr>
          <w:lang w:val="de-DE"/>
        </w:rPr>
        <w:t xml:space="preserve">Balkema, A. A., &amp; Haan, L. de. </w:t>
      </w:r>
      <w:r w:rsidRPr="00025BEA">
        <w:t xml:space="preserve">(1974). Residual Life Time at Great Age. </w:t>
      </w:r>
      <w:r w:rsidRPr="00025BEA">
        <w:rPr>
          <w:i/>
          <w:iCs/>
        </w:rPr>
        <w:t>The Annals of Probability</w:t>
      </w:r>
      <w:r w:rsidRPr="00025BEA">
        <w:t xml:space="preserve">, </w:t>
      </w:r>
      <w:r w:rsidRPr="00025BEA">
        <w:rPr>
          <w:i/>
          <w:iCs/>
        </w:rPr>
        <w:t>2</w:t>
      </w:r>
      <w:r w:rsidRPr="00025BEA">
        <w:t>(5), 792–804. https://doi.org/10.1214/aop/1176996548</w:t>
      </w:r>
    </w:p>
    <w:p w14:paraId="3234B869" w14:textId="77777777" w:rsidR="00025BEA" w:rsidRPr="00025BEA" w:rsidRDefault="00025BEA" w:rsidP="00025BEA">
      <w:pPr>
        <w:pStyle w:val="af2"/>
        <w:spacing w:beforeLines="0" w:before="0" w:after="180" w:line="240" w:lineRule="auto"/>
        <w:ind w:left="0" w:firstLine="480"/>
        <w:jc w:val="left"/>
      </w:pPr>
      <w:r w:rsidRPr="00025BEA">
        <w:t xml:space="preserve">Birru, J., &amp; Figlewski, S. (2012). Anatomy of a meltdown: The risk neutral density for the S&amp;P 500 in the fall of 2008. </w:t>
      </w:r>
      <w:r w:rsidRPr="00025BEA">
        <w:rPr>
          <w:i/>
          <w:iCs/>
        </w:rPr>
        <w:t>Journal of Financial Markets</w:t>
      </w:r>
      <w:r w:rsidRPr="00025BEA">
        <w:t xml:space="preserve">, </w:t>
      </w:r>
      <w:r w:rsidRPr="00025BEA">
        <w:rPr>
          <w:i/>
          <w:iCs/>
        </w:rPr>
        <w:t>15</w:t>
      </w:r>
      <w:r w:rsidRPr="00025BEA">
        <w:t>(2), 151–180. https://doi.org/10.1016/j.finmar.2011.09.001</w:t>
      </w:r>
    </w:p>
    <w:p w14:paraId="2B9354A9" w14:textId="77777777" w:rsidR="00025BEA" w:rsidRPr="00025BEA" w:rsidRDefault="00025BEA" w:rsidP="00025BEA">
      <w:pPr>
        <w:pStyle w:val="af2"/>
        <w:spacing w:beforeLines="0" w:before="0" w:after="180" w:line="240" w:lineRule="auto"/>
        <w:ind w:left="0" w:firstLine="480"/>
        <w:jc w:val="left"/>
      </w:pPr>
      <w:r w:rsidRPr="00025BEA">
        <w:t xml:space="preserve">Figlewski, S. (2008). </w:t>
      </w:r>
      <w:r w:rsidRPr="00025BEA">
        <w:rPr>
          <w:i/>
          <w:iCs/>
        </w:rPr>
        <w:t>Estimating the Implied Risk Neutral Density for the U.S. Market Portfolio</w:t>
      </w:r>
      <w:r w:rsidRPr="00025BEA">
        <w:t xml:space="preserve"> (SSRN Scholarly Paper No. 1256783). Social Science Research Network. https://papers.ssrn.com/abstract=1256783</w:t>
      </w:r>
    </w:p>
    <w:p w14:paraId="4E2399EE" w14:textId="77777777" w:rsidR="00025BEA" w:rsidRPr="00025BEA" w:rsidRDefault="00025BEA" w:rsidP="00025BEA">
      <w:pPr>
        <w:pStyle w:val="af2"/>
        <w:spacing w:beforeLines="0" w:before="0" w:after="180" w:line="240" w:lineRule="auto"/>
        <w:ind w:left="0" w:firstLine="480"/>
        <w:jc w:val="left"/>
        <w:rPr>
          <w:lang w:val="de-DE"/>
        </w:rPr>
      </w:pPr>
      <w:r w:rsidRPr="00025BEA">
        <w:t xml:space="preserve">Hosking, J. R. M., &amp; Wallis, J. R. (1987). Parameter and Quantile Estimation for the Generalized Pareto Distribution. </w:t>
      </w:r>
      <w:r w:rsidRPr="00025BEA">
        <w:rPr>
          <w:i/>
          <w:iCs/>
          <w:lang w:val="de-DE"/>
        </w:rPr>
        <w:t>Technometrics</w:t>
      </w:r>
      <w:r w:rsidRPr="00025BEA">
        <w:rPr>
          <w:lang w:val="de-DE"/>
        </w:rPr>
        <w:t xml:space="preserve">, </w:t>
      </w:r>
      <w:r w:rsidRPr="00025BEA">
        <w:rPr>
          <w:i/>
          <w:iCs/>
          <w:lang w:val="de-DE"/>
        </w:rPr>
        <w:t>29</w:t>
      </w:r>
      <w:r w:rsidRPr="00025BEA">
        <w:rPr>
          <w:lang w:val="de-DE"/>
        </w:rPr>
        <w:t>(3), 339–349. https://doi.org/10.2307/1269343</w:t>
      </w:r>
    </w:p>
    <w:p w14:paraId="46D524B0"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Li, X., Wu, Z., Zhang, H., &amp; Zhang, L. (2024). </w:t>
      </w:r>
      <w:r w:rsidRPr="00025BEA">
        <w:t xml:space="preserve">Risk-neutral skewness and stock market returns: A time-series analysis. </w:t>
      </w:r>
      <w:r w:rsidRPr="00025BEA">
        <w:rPr>
          <w:i/>
          <w:iCs/>
        </w:rPr>
        <w:t>The North American Journal of Economics and Finance</w:t>
      </w:r>
      <w:r w:rsidRPr="00025BEA">
        <w:t xml:space="preserve">, </w:t>
      </w:r>
      <w:r w:rsidRPr="00025BEA">
        <w:rPr>
          <w:i/>
          <w:iCs/>
        </w:rPr>
        <w:t>70</w:t>
      </w:r>
      <w:r w:rsidRPr="00025BEA">
        <w:t>, 102040. https://doi.org/10.1016/j.najef.2023.102040</w:t>
      </w:r>
    </w:p>
    <w:p w14:paraId="79ED5CFC"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McNeil, A. J., &amp; Frey, R. (2000). </w:t>
      </w:r>
      <w:r w:rsidRPr="00025BEA">
        <w:t xml:space="preserve">Estimation of tail-related risk measures for heteroscedastic financial time series: An extreme value approach. </w:t>
      </w:r>
      <w:r w:rsidRPr="00025BEA">
        <w:rPr>
          <w:i/>
          <w:iCs/>
        </w:rPr>
        <w:t>Journal of Empirical Finance</w:t>
      </w:r>
      <w:r w:rsidRPr="00025BEA">
        <w:t xml:space="preserve">, </w:t>
      </w:r>
      <w:r w:rsidRPr="00025BEA">
        <w:rPr>
          <w:i/>
          <w:iCs/>
        </w:rPr>
        <w:t>7</w:t>
      </w:r>
      <w:r w:rsidRPr="00025BEA">
        <w:t>(3), 271–300. https://doi.org/10.1016/S0927-5398(00)00012-8</w:t>
      </w:r>
    </w:p>
    <w:p w14:paraId="221522B7" w14:textId="77777777" w:rsidR="00025BEA" w:rsidRPr="00025BEA" w:rsidRDefault="00025BEA" w:rsidP="00025BEA">
      <w:pPr>
        <w:pStyle w:val="af2"/>
        <w:spacing w:beforeLines="0" w:before="0" w:after="180" w:line="240" w:lineRule="auto"/>
        <w:ind w:left="0" w:firstLine="480"/>
        <w:jc w:val="left"/>
      </w:pPr>
      <w:r w:rsidRPr="00025BEA">
        <w:t xml:space="preserve">Shimko, D. (1993). Bounds of probability. </w:t>
      </w:r>
      <w:r w:rsidRPr="00025BEA">
        <w:rPr>
          <w:i/>
          <w:iCs/>
        </w:rPr>
        <w:t>Risk</w:t>
      </w:r>
      <w:r w:rsidRPr="00025BEA">
        <w:t xml:space="preserve">, </w:t>
      </w:r>
      <w:r w:rsidRPr="00025BEA">
        <w:rPr>
          <w:i/>
          <w:iCs/>
        </w:rPr>
        <w:t>6</w:t>
      </w:r>
      <w:r w:rsidRPr="00025BEA">
        <w:t>(4), 33–37.</w:t>
      </w:r>
    </w:p>
    <w:p w14:paraId="28587081" w14:textId="198D10F6" w:rsidR="00025BEA" w:rsidRPr="00025BEA" w:rsidRDefault="00025BEA" w:rsidP="00025BEA">
      <w:pPr>
        <w:pStyle w:val="afb"/>
        <w:spacing w:after="1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89FD8" w14:textId="77777777" w:rsidR="00410613" w:rsidRDefault="00410613" w:rsidP="001C4CCF">
      <w:pPr>
        <w:spacing w:before="120" w:after="120" w:line="240" w:lineRule="auto"/>
        <w:ind w:firstLine="480"/>
      </w:pPr>
      <w:r>
        <w:separator/>
      </w:r>
    </w:p>
  </w:endnote>
  <w:endnote w:type="continuationSeparator" w:id="0">
    <w:p w14:paraId="2F9A3F22" w14:textId="77777777" w:rsidR="00410613" w:rsidRDefault="0041061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C27BB" w14:textId="77777777" w:rsidR="00410613" w:rsidRDefault="00410613" w:rsidP="001C4CCF">
      <w:pPr>
        <w:spacing w:before="120" w:after="120" w:line="240" w:lineRule="auto"/>
        <w:ind w:firstLine="480"/>
      </w:pPr>
      <w:r>
        <w:separator/>
      </w:r>
    </w:p>
  </w:footnote>
  <w:footnote w:type="continuationSeparator" w:id="0">
    <w:p w14:paraId="362C20A3" w14:textId="77777777" w:rsidR="00410613" w:rsidRDefault="00410613"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8"/>
  </w:num>
  <w:num w:numId="2" w16cid:durableId="396368862">
    <w:abstractNumId w:val="23"/>
  </w:num>
  <w:num w:numId="3" w16cid:durableId="164177961">
    <w:abstractNumId w:val="14"/>
  </w:num>
  <w:num w:numId="4" w16cid:durableId="1695351208">
    <w:abstractNumId w:val="26"/>
  </w:num>
  <w:num w:numId="5" w16cid:durableId="1314259761">
    <w:abstractNumId w:val="18"/>
  </w:num>
  <w:num w:numId="6" w16cid:durableId="1586499273">
    <w:abstractNumId w:val="13"/>
  </w:num>
  <w:num w:numId="7" w16cid:durableId="1924871501">
    <w:abstractNumId w:val="24"/>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7"/>
  </w:num>
  <w:num w:numId="22" w16cid:durableId="1448886782">
    <w:abstractNumId w:val="25"/>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9"/>
  </w:num>
  <w:num w:numId="30" w16cid:durableId="1678265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7CC0"/>
    <w:rsid w:val="00010512"/>
    <w:rsid w:val="00011B2D"/>
    <w:rsid w:val="0001476B"/>
    <w:rsid w:val="00016079"/>
    <w:rsid w:val="000235ED"/>
    <w:rsid w:val="00024747"/>
    <w:rsid w:val="00025179"/>
    <w:rsid w:val="00025BEA"/>
    <w:rsid w:val="000305BC"/>
    <w:rsid w:val="00030F3D"/>
    <w:rsid w:val="00031B9B"/>
    <w:rsid w:val="00032567"/>
    <w:rsid w:val="000371D9"/>
    <w:rsid w:val="00040BE8"/>
    <w:rsid w:val="00044F9A"/>
    <w:rsid w:val="00046AD7"/>
    <w:rsid w:val="000514EA"/>
    <w:rsid w:val="00052FE1"/>
    <w:rsid w:val="00053374"/>
    <w:rsid w:val="00056AB0"/>
    <w:rsid w:val="0007168F"/>
    <w:rsid w:val="00074155"/>
    <w:rsid w:val="000763A9"/>
    <w:rsid w:val="0008389B"/>
    <w:rsid w:val="00084FEA"/>
    <w:rsid w:val="0008528A"/>
    <w:rsid w:val="0009304E"/>
    <w:rsid w:val="000A6DD5"/>
    <w:rsid w:val="000B2681"/>
    <w:rsid w:val="000B35CE"/>
    <w:rsid w:val="000B7B11"/>
    <w:rsid w:val="000C2370"/>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D6108"/>
    <w:rsid w:val="001D79AD"/>
    <w:rsid w:val="001E1E99"/>
    <w:rsid w:val="001F069E"/>
    <w:rsid w:val="001F1765"/>
    <w:rsid w:val="00205D84"/>
    <w:rsid w:val="00206F16"/>
    <w:rsid w:val="002116B3"/>
    <w:rsid w:val="00213679"/>
    <w:rsid w:val="00213E82"/>
    <w:rsid w:val="00215913"/>
    <w:rsid w:val="00217758"/>
    <w:rsid w:val="00220B8F"/>
    <w:rsid w:val="00221976"/>
    <w:rsid w:val="002241FA"/>
    <w:rsid w:val="00224FF9"/>
    <w:rsid w:val="00225C55"/>
    <w:rsid w:val="00235F9F"/>
    <w:rsid w:val="00236D2C"/>
    <w:rsid w:val="0024171A"/>
    <w:rsid w:val="002451AB"/>
    <w:rsid w:val="00250604"/>
    <w:rsid w:val="002549B3"/>
    <w:rsid w:val="00257875"/>
    <w:rsid w:val="0026154C"/>
    <w:rsid w:val="00262DC7"/>
    <w:rsid w:val="0026420B"/>
    <w:rsid w:val="00265CDD"/>
    <w:rsid w:val="0027238B"/>
    <w:rsid w:val="00274E81"/>
    <w:rsid w:val="00275C2A"/>
    <w:rsid w:val="002812B7"/>
    <w:rsid w:val="0028185C"/>
    <w:rsid w:val="00283E30"/>
    <w:rsid w:val="00290B69"/>
    <w:rsid w:val="002914A5"/>
    <w:rsid w:val="002A2A2A"/>
    <w:rsid w:val="002A4B81"/>
    <w:rsid w:val="002A67DD"/>
    <w:rsid w:val="002B276B"/>
    <w:rsid w:val="002B3678"/>
    <w:rsid w:val="002C02EC"/>
    <w:rsid w:val="002C32E3"/>
    <w:rsid w:val="002D0497"/>
    <w:rsid w:val="002D0E3A"/>
    <w:rsid w:val="002D44E0"/>
    <w:rsid w:val="002D4E7E"/>
    <w:rsid w:val="002E7B1A"/>
    <w:rsid w:val="002F31B5"/>
    <w:rsid w:val="002F760E"/>
    <w:rsid w:val="00305489"/>
    <w:rsid w:val="003145D8"/>
    <w:rsid w:val="00320142"/>
    <w:rsid w:val="00321AF4"/>
    <w:rsid w:val="0032294F"/>
    <w:rsid w:val="00323AF2"/>
    <w:rsid w:val="00346E16"/>
    <w:rsid w:val="00353420"/>
    <w:rsid w:val="00354949"/>
    <w:rsid w:val="00360605"/>
    <w:rsid w:val="003643C9"/>
    <w:rsid w:val="0036511B"/>
    <w:rsid w:val="0036771E"/>
    <w:rsid w:val="003819B4"/>
    <w:rsid w:val="00382A2D"/>
    <w:rsid w:val="00384265"/>
    <w:rsid w:val="0038596A"/>
    <w:rsid w:val="00387F38"/>
    <w:rsid w:val="0039058D"/>
    <w:rsid w:val="00392A8C"/>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0613"/>
    <w:rsid w:val="00412FB0"/>
    <w:rsid w:val="00413A8A"/>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42A"/>
    <w:rsid w:val="00484866"/>
    <w:rsid w:val="00493B38"/>
    <w:rsid w:val="00494A77"/>
    <w:rsid w:val="00496610"/>
    <w:rsid w:val="004A3BE2"/>
    <w:rsid w:val="004A52F2"/>
    <w:rsid w:val="004B43D7"/>
    <w:rsid w:val="004B64B4"/>
    <w:rsid w:val="004C2212"/>
    <w:rsid w:val="004C67FB"/>
    <w:rsid w:val="004D56B0"/>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5DB1"/>
    <w:rsid w:val="006467BB"/>
    <w:rsid w:val="00646BB2"/>
    <w:rsid w:val="006476CE"/>
    <w:rsid w:val="006527EC"/>
    <w:rsid w:val="0065282E"/>
    <w:rsid w:val="00653CFB"/>
    <w:rsid w:val="00653EE0"/>
    <w:rsid w:val="00654B34"/>
    <w:rsid w:val="00655F06"/>
    <w:rsid w:val="00657271"/>
    <w:rsid w:val="00657B1F"/>
    <w:rsid w:val="00663F14"/>
    <w:rsid w:val="00666B54"/>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5FDE"/>
    <w:rsid w:val="006C70DC"/>
    <w:rsid w:val="006D399C"/>
    <w:rsid w:val="006E13A6"/>
    <w:rsid w:val="006F2A22"/>
    <w:rsid w:val="0070037D"/>
    <w:rsid w:val="00701E33"/>
    <w:rsid w:val="00705918"/>
    <w:rsid w:val="0070684E"/>
    <w:rsid w:val="00710703"/>
    <w:rsid w:val="00716605"/>
    <w:rsid w:val="00716965"/>
    <w:rsid w:val="00717A90"/>
    <w:rsid w:val="00717F46"/>
    <w:rsid w:val="00720E4C"/>
    <w:rsid w:val="00722E5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6B72"/>
    <w:rsid w:val="00787D31"/>
    <w:rsid w:val="00791C43"/>
    <w:rsid w:val="00791EA7"/>
    <w:rsid w:val="007942E1"/>
    <w:rsid w:val="007950D0"/>
    <w:rsid w:val="007A6E58"/>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503EB"/>
    <w:rsid w:val="00850A16"/>
    <w:rsid w:val="00852AA5"/>
    <w:rsid w:val="00853AEB"/>
    <w:rsid w:val="00865287"/>
    <w:rsid w:val="00865AC6"/>
    <w:rsid w:val="00870186"/>
    <w:rsid w:val="008751EC"/>
    <w:rsid w:val="00875BFD"/>
    <w:rsid w:val="00877845"/>
    <w:rsid w:val="0088017E"/>
    <w:rsid w:val="00882547"/>
    <w:rsid w:val="00886807"/>
    <w:rsid w:val="00890FE8"/>
    <w:rsid w:val="008916DD"/>
    <w:rsid w:val="00896866"/>
    <w:rsid w:val="008A610B"/>
    <w:rsid w:val="008B3FDC"/>
    <w:rsid w:val="008B468E"/>
    <w:rsid w:val="008C1437"/>
    <w:rsid w:val="008C4933"/>
    <w:rsid w:val="008D031B"/>
    <w:rsid w:val="008D080D"/>
    <w:rsid w:val="008D41C5"/>
    <w:rsid w:val="008D5149"/>
    <w:rsid w:val="008D6AEC"/>
    <w:rsid w:val="008E1AF4"/>
    <w:rsid w:val="008E3193"/>
    <w:rsid w:val="008E3E9E"/>
    <w:rsid w:val="008E5DE5"/>
    <w:rsid w:val="008E6833"/>
    <w:rsid w:val="008F14ED"/>
    <w:rsid w:val="008F5CEB"/>
    <w:rsid w:val="00900D70"/>
    <w:rsid w:val="009039FA"/>
    <w:rsid w:val="00905A59"/>
    <w:rsid w:val="0090616F"/>
    <w:rsid w:val="00906EB0"/>
    <w:rsid w:val="00907B6B"/>
    <w:rsid w:val="00910484"/>
    <w:rsid w:val="0091402F"/>
    <w:rsid w:val="0091593D"/>
    <w:rsid w:val="0091609E"/>
    <w:rsid w:val="00922BD6"/>
    <w:rsid w:val="00925907"/>
    <w:rsid w:val="0092596A"/>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455E8"/>
    <w:rsid w:val="00A47EE0"/>
    <w:rsid w:val="00A50D4D"/>
    <w:rsid w:val="00A56D4E"/>
    <w:rsid w:val="00A644AA"/>
    <w:rsid w:val="00A66B01"/>
    <w:rsid w:val="00A6725B"/>
    <w:rsid w:val="00A70A1B"/>
    <w:rsid w:val="00A70ECC"/>
    <w:rsid w:val="00A710BF"/>
    <w:rsid w:val="00A8621D"/>
    <w:rsid w:val="00A9266B"/>
    <w:rsid w:val="00A92DEA"/>
    <w:rsid w:val="00A934BB"/>
    <w:rsid w:val="00A96F87"/>
    <w:rsid w:val="00AB133B"/>
    <w:rsid w:val="00AB2758"/>
    <w:rsid w:val="00AB3ACB"/>
    <w:rsid w:val="00AC1297"/>
    <w:rsid w:val="00AC23C0"/>
    <w:rsid w:val="00AC75BE"/>
    <w:rsid w:val="00AD284F"/>
    <w:rsid w:val="00AD704C"/>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D85"/>
    <w:rsid w:val="00B519E3"/>
    <w:rsid w:val="00B5230A"/>
    <w:rsid w:val="00B53880"/>
    <w:rsid w:val="00B53910"/>
    <w:rsid w:val="00B565B1"/>
    <w:rsid w:val="00B60CD3"/>
    <w:rsid w:val="00B61431"/>
    <w:rsid w:val="00B634F1"/>
    <w:rsid w:val="00B6390B"/>
    <w:rsid w:val="00B665F4"/>
    <w:rsid w:val="00B66B76"/>
    <w:rsid w:val="00B70483"/>
    <w:rsid w:val="00B74C6F"/>
    <w:rsid w:val="00B856BD"/>
    <w:rsid w:val="00B86AE6"/>
    <w:rsid w:val="00B9105A"/>
    <w:rsid w:val="00BA0521"/>
    <w:rsid w:val="00BA0540"/>
    <w:rsid w:val="00BA4DE9"/>
    <w:rsid w:val="00BA74F6"/>
    <w:rsid w:val="00BA7CF4"/>
    <w:rsid w:val="00BB756F"/>
    <w:rsid w:val="00BC0D8D"/>
    <w:rsid w:val="00BC0ED0"/>
    <w:rsid w:val="00BC378B"/>
    <w:rsid w:val="00BD06D2"/>
    <w:rsid w:val="00BD071F"/>
    <w:rsid w:val="00BE3333"/>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7394B"/>
    <w:rsid w:val="00C7484F"/>
    <w:rsid w:val="00C849DF"/>
    <w:rsid w:val="00C84D8E"/>
    <w:rsid w:val="00C84F89"/>
    <w:rsid w:val="00C86AA3"/>
    <w:rsid w:val="00C873F8"/>
    <w:rsid w:val="00C96DE9"/>
    <w:rsid w:val="00CA36F0"/>
    <w:rsid w:val="00CA3B35"/>
    <w:rsid w:val="00CA4918"/>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5D5F"/>
    <w:rsid w:val="00DD2DBC"/>
    <w:rsid w:val="00DD6901"/>
    <w:rsid w:val="00DE06FF"/>
    <w:rsid w:val="00DE318B"/>
    <w:rsid w:val="00DE3699"/>
    <w:rsid w:val="00DF7014"/>
    <w:rsid w:val="00E01870"/>
    <w:rsid w:val="00E06DB1"/>
    <w:rsid w:val="00E20F97"/>
    <w:rsid w:val="00E21AD3"/>
    <w:rsid w:val="00E24A26"/>
    <w:rsid w:val="00E25CCC"/>
    <w:rsid w:val="00E32CC8"/>
    <w:rsid w:val="00E410D8"/>
    <w:rsid w:val="00E4307C"/>
    <w:rsid w:val="00E453C8"/>
    <w:rsid w:val="00E459AE"/>
    <w:rsid w:val="00E52D5F"/>
    <w:rsid w:val="00E5598D"/>
    <w:rsid w:val="00E60DAF"/>
    <w:rsid w:val="00E61F75"/>
    <w:rsid w:val="00E6602F"/>
    <w:rsid w:val="00E67017"/>
    <w:rsid w:val="00E673AD"/>
    <w:rsid w:val="00E743A6"/>
    <w:rsid w:val="00E748C3"/>
    <w:rsid w:val="00E74967"/>
    <w:rsid w:val="00E75374"/>
    <w:rsid w:val="00E7699D"/>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8C1"/>
    <w:rsid w:val="00F00B8D"/>
    <w:rsid w:val="00F0399E"/>
    <w:rsid w:val="00F03E10"/>
    <w:rsid w:val="00F0423B"/>
    <w:rsid w:val="00F145BE"/>
    <w:rsid w:val="00F22A38"/>
    <w:rsid w:val="00F276FE"/>
    <w:rsid w:val="00F277CB"/>
    <w:rsid w:val="00F362D1"/>
    <w:rsid w:val="00F36D4C"/>
    <w:rsid w:val="00F36EA6"/>
    <w:rsid w:val="00F40883"/>
    <w:rsid w:val="00F4379F"/>
    <w:rsid w:val="00F54A2B"/>
    <w:rsid w:val="00F564B1"/>
    <w:rsid w:val="00F66567"/>
    <w:rsid w:val="00F67FB5"/>
    <w:rsid w:val="00F7013E"/>
    <w:rsid w:val="00F70BCC"/>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3081"/>
    <w:rsid w:val="00FD6825"/>
    <w:rsid w:val="00FE09E2"/>
    <w:rsid w:val="00FE47A7"/>
    <w:rsid w:val="00FE59E1"/>
    <w:rsid w:val="00FE7792"/>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50</Pages>
  <Words>8822</Words>
  <Characters>50288</Characters>
  <Application>Microsoft Office Word</Application>
  <DocSecurity>0</DocSecurity>
  <Lines>419</Lines>
  <Paragraphs>117</Paragraphs>
  <ScaleCrop>false</ScaleCrop>
  <Company/>
  <LinksUpToDate>false</LinksUpToDate>
  <CharactersWithSpaces>58993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士誠 王</cp:lastModifiedBy>
  <cp:revision>20</cp:revision>
  <cp:lastPrinted>2025-02-03T09:01:00Z</cp:lastPrinted>
  <dcterms:created xsi:type="dcterms:W3CDTF">2025-02-02T22:53:00Z</dcterms:created>
  <dcterms:modified xsi:type="dcterms:W3CDTF">2025-02-03T09:01:00Z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id="3imXaZvB"/&gt;&lt;style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