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0B4F8" w14:textId="77777777" w:rsidR="00875BFD" w:rsidRDefault="00875BFD" w:rsidP="001435BB">
      <w:pPr>
        <w:spacing w:before="180" w:after="180" w:line="240" w:lineRule="auto"/>
        <w:ind w:firstLine="961"/>
        <w:jc w:val="center"/>
        <w:rPr>
          <w:b/>
          <w:sz w:val="48"/>
        </w:rPr>
      </w:pPr>
    </w:p>
    <w:p w14:paraId="68A7585E" w14:textId="5C74BE2D"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2B7CE"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2A3BBA1E" w14:textId="77777777" w:rsidR="00E923AC" w:rsidRDefault="00E923AC" w:rsidP="00E24A26">
      <w:pPr>
        <w:spacing w:beforeLines="0" w:before="0" w:afterLines="0" w:after="0"/>
        <w:ind w:firstLine="480"/>
      </w:pPr>
    </w:p>
    <w:p w14:paraId="793B9674" w14:textId="77777777" w:rsidR="00B565B1" w:rsidRDefault="00B565B1" w:rsidP="00007CC0">
      <w:pPr>
        <w:spacing w:beforeLines="0" w:before="0" w:afterLines="0" w:after="0"/>
        <w:ind w:firstLineChars="0" w:firstLine="0"/>
      </w:pPr>
    </w:p>
    <w:p w14:paraId="79028519" w14:textId="77777777" w:rsidR="00007CC0" w:rsidRDefault="0068520F" w:rsidP="00007CC0">
      <w:pPr>
        <w:spacing w:beforeLines="0" w:before="0" w:afterLines="0" w:after="0" w:line="600" w:lineRule="auto"/>
        <w:ind w:firstLineChars="0" w:firstLine="0"/>
        <w:jc w:val="center"/>
        <w:rPr>
          <w:b/>
          <w:bCs/>
          <w:sz w:val="40"/>
        </w:rPr>
      </w:pPr>
      <w:r>
        <w:rPr>
          <w:rFonts w:hint="eastAsia"/>
          <w:b/>
          <w:bCs/>
          <w:sz w:val="40"/>
        </w:rPr>
        <w:t>風險中立機率密度</w:t>
      </w:r>
      <w:proofErr w:type="gramStart"/>
      <w:r w:rsidR="00007CC0">
        <w:rPr>
          <w:rFonts w:hint="eastAsia"/>
          <w:b/>
          <w:bCs/>
          <w:sz w:val="40"/>
        </w:rPr>
        <w:t>尾部配適方法</w:t>
      </w:r>
      <w:proofErr w:type="gramEnd"/>
    </w:p>
    <w:p w14:paraId="66D4767C" w14:textId="14A2C412" w:rsidR="00E923AC" w:rsidRPr="00B565B1" w:rsidRDefault="00007CC0" w:rsidP="00007CC0">
      <w:pPr>
        <w:spacing w:beforeLines="0" w:before="0" w:afterLines="0" w:after="0" w:line="600" w:lineRule="auto"/>
        <w:ind w:firstLineChars="0" w:firstLine="0"/>
        <w:jc w:val="center"/>
        <w:rPr>
          <w:b/>
          <w:bCs/>
          <w:sz w:val="40"/>
        </w:rPr>
      </w:pPr>
      <w:r>
        <w:rPr>
          <w:rFonts w:hint="eastAsia"/>
          <w:b/>
          <w:bCs/>
          <w:sz w:val="40"/>
        </w:rPr>
        <w:t>與報酬率預測能力：比</w:t>
      </w:r>
      <w:proofErr w:type="gramStart"/>
      <w:r>
        <w:rPr>
          <w:rFonts w:hint="eastAsia"/>
          <w:b/>
          <w:bCs/>
          <w:sz w:val="40"/>
        </w:rPr>
        <w:t>特</w:t>
      </w:r>
      <w:proofErr w:type="gramEnd"/>
      <w:r>
        <w:rPr>
          <w:rFonts w:hint="eastAsia"/>
          <w:b/>
          <w:bCs/>
          <w:sz w:val="40"/>
        </w:rPr>
        <w:t>幣選擇權之實證分析</w:t>
      </w:r>
    </w:p>
    <w:p w14:paraId="7BB6B67B" w14:textId="77777777" w:rsidR="00E923AC" w:rsidRPr="00B565B1" w:rsidRDefault="00E923AC" w:rsidP="00E24A26">
      <w:pPr>
        <w:spacing w:beforeLines="0" w:before="0" w:afterLines="0" w:after="0"/>
        <w:ind w:firstLineChars="0" w:firstLine="0"/>
        <w:rPr>
          <w:b/>
          <w:bCs/>
        </w:rPr>
      </w:pPr>
    </w:p>
    <w:p w14:paraId="2B83938E" w14:textId="77777777" w:rsidR="00E923AC" w:rsidRPr="00B565B1" w:rsidRDefault="00E923AC" w:rsidP="00E24A26">
      <w:pPr>
        <w:spacing w:beforeLines="0" w:before="0" w:afterLines="0" w:after="0"/>
        <w:ind w:firstLineChars="0" w:firstLine="0"/>
        <w:rPr>
          <w:b/>
          <w:bCs/>
        </w:rPr>
      </w:pPr>
    </w:p>
    <w:p w14:paraId="18F75DDB" w14:textId="77777777" w:rsidR="00B14E00" w:rsidRPr="00B565B1" w:rsidRDefault="00B14E00"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7DC4A4B9" w14:textId="5EB23B55" w:rsidR="005568D9" w:rsidRPr="00B565B1" w:rsidRDefault="005568D9" w:rsidP="00E24A26">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0AA74F01" w14:textId="77777777" w:rsidR="00B14E00" w:rsidRDefault="00B14E00" w:rsidP="00E24A26">
      <w:pPr>
        <w:spacing w:beforeLines="0" w:before="0" w:afterLines="0" w:after="0"/>
        <w:ind w:firstLineChars="0" w:firstLine="0"/>
      </w:pPr>
    </w:p>
    <w:p w14:paraId="41B224CC" w14:textId="77777777" w:rsidR="00B14E00" w:rsidRDefault="00B14E00"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r>
        <w:rPr>
          <w:rFonts w:hint="eastAsia"/>
        </w:rPr>
        <w:lastRenderedPageBreak/>
        <w:t>摘要</w:t>
      </w:r>
    </w:p>
    <w:p w14:paraId="50F19DCA" w14:textId="50A68B95" w:rsidR="006B09C7"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r>
        <w:rPr>
          <w:rFonts w:hint="eastAsia"/>
        </w:rPr>
        <w:lastRenderedPageBreak/>
        <w:t>A</w:t>
      </w:r>
      <w:r>
        <w:t>bstract</w:t>
      </w:r>
    </w:p>
    <w:p w14:paraId="5E587599" w14:textId="02A44547" w:rsidR="006B09C7" w:rsidRDefault="006B09C7" w:rsidP="006B09C7">
      <w:pPr>
        <w:spacing w:before="180" w:after="180"/>
        <w:ind w:firstLine="480"/>
      </w:pPr>
    </w:p>
    <w:p w14:paraId="73026E56" w14:textId="3F4FC644" w:rsidR="006B09C7" w:rsidRDefault="006B09C7">
      <w:pPr>
        <w:widowControl/>
        <w:spacing w:before="180" w:after="180" w:line="240" w:lineRule="auto"/>
        <w:ind w:firstLineChars="0" w:firstLine="0"/>
        <w:jc w:val="left"/>
      </w:pPr>
      <w:r>
        <w:br w:type="page"/>
      </w:r>
    </w:p>
    <w:p w14:paraId="2B9D8464" w14:textId="043FE5D3" w:rsidR="0009304E" w:rsidRPr="006B09C7" w:rsidRDefault="005568D9" w:rsidP="006B09C7">
      <w:pPr>
        <w:pStyle w:val="1"/>
        <w:spacing w:before="180" w:after="180"/>
      </w:pPr>
      <w:proofErr w:type="gramStart"/>
      <w:r>
        <w:rPr>
          <w:rFonts w:hint="eastAsia"/>
        </w:rPr>
        <w:lastRenderedPageBreak/>
        <w:t>誌</w:t>
      </w:r>
      <w:proofErr w:type="gramEnd"/>
      <w:r>
        <w:rPr>
          <w:rFonts w:hint="eastAsia"/>
        </w:rPr>
        <w:t>謝</w:t>
      </w:r>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r>
        <w:rPr>
          <w:rFonts w:hint="eastAsia"/>
        </w:rPr>
        <w:lastRenderedPageBreak/>
        <w:t>目錄</w:t>
      </w:r>
    </w:p>
    <w:p w14:paraId="5172BF03" w14:textId="77777777" w:rsidR="005568D9" w:rsidRPr="005568D9" w:rsidRDefault="005568D9" w:rsidP="005568D9">
      <w:pPr>
        <w:spacing w:before="180" w:after="180"/>
        <w:ind w:firstLine="480"/>
      </w:pPr>
    </w:p>
    <w:p w14:paraId="523B889E" w14:textId="54ECCBF7" w:rsidR="00FF4476" w:rsidRPr="00427613" w:rsidRDefault="00FF4476" w:rsidP="005568D9">
      <w:pPr>
        <w:pStyle w:val="1"/>
        <w:spacing w:before="180" w:after="180"/>
      </w:pPr>
      <w:r w:rsidRPr="00427613">
        <w:rPr>
          <w:rFonts w:hint="eastAsia"/>
        </w:rPr>
        <w:t>圖目錄</w:t>
      </w:r>
    </w:p>
    <w:p w14:paraId="349F91A2" w14:textId="558C0B15" w:rsidR="00FF4476" w:rsidRDefault="00FF4476" w:rsidP="005568D9">
      <w:pPr>
        <w:spacing w:before="180" w:after="180"/>
        <w:ind w:firstLine="480"/>
      </w:pPr>
    </w:p>
    <w:p w14:paraId="6E8C0EB5" w14:textId="1F295D00" w:rsidR="00FF4476" w:rsidRDefault="00FF4476" w:rsidP="005568D9">
      <w:pPr>
        <w:pStyle w:val="1"/>
        <w:spacing w:before="180" w:after="180"/>
      </w:pPr>
      <w:r w:rsidRPr="000B7B11">
        <w:rPr>
          <w:rFonts w:hint="eastAsia"/>
        </w:rPr>
        <w:t>表目錄</w:t>
      </w:r>
    </w:p>
    <w:p w14:paraId="10E1908F" w14:textId="77777777" w:rsidR="005568D9" w:rsidRPr="005568D9" w:rsidRDefault="005568D9" w:rsidP="005568D9">
      <w:pPr>
        <w:spacing w:before="180" w:after="180"/>
        <w:ind w:firstLine="480"/>
      </w:pPr>
    </w:p>
    <w:p w14:paraId="18AC50A4" w14:textId="508E2DD3" w:rsidR="000B7B11" w:rsidRPr="000B7B11" w:rsidRDefault="000B7B11" w:rsidP="000B7B11">
      <w:pPr>
        <w:pStyle w:val="af5"/>
        <w:tabs>
          <w:tab w:val="right" w:leader="dot" w:pos="8296"/>
        </w:tabs>
        <w:spacing w:before="180" w:after="180"/>
        <w:ind w:left="0" w:firstLineChars="0" w:firstLine="0"/>
      </w:pPr>
    </w:p>
    <w:p w14:paraId="4CE0CDB7" w14:textId="77777777" w:rsidR="00816A1B" w:rsidRDefault="00816A1B" w:rsidP="00FF4476">
      <w:pPr>
        <w:spacing w:before="180" w:after="180"/>
        <w:ind w:firstLineChars="0" w:firstLine="0"/>
        <w:sectPr w:rsidR="00816A1B"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0" w:name="_Toc182815169"/>
      <w:r>
        <w:rPr>
          <w:rFonts w:hint="eastAsia"/>
        </w:rPr>
        <w:lastRenderedPageBreak/>
        <w:t>第</w:t>
      </w:r>
      <w:r w:rsidR="00E74967">
        <w:rPr>
          <w:rFonts w:hint="eastAsia"/>
        </w:rPr>
        <w:t>一章、緒論</w:t>
      </w:r>
      <w:bookmarkEnd w:id="0"/>
    </w:p>
    <w:p w14:paraId="70259F1A" w14:textId="1493679E" w:rsidR="0073610D" w:rsidRDefault="0073610D" w:rsidP="00404225">
      <w:pPr>
        <w:spacing w:before="180" w:after="180"/>
        <w:ind w:firstLine="480"/>
      </w:pP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3D3251D3" w:rsidR="0073610D" w:rsidRDefault="0073610D" w:rsidP="0073610D">
      <w:pPr>
        <w:pStyle w:val="1"/>
        <w:spacing w:before="180" w:after="180"/>
      </w:pPr>
      <w:bookmarkStart w:id="1" w:name="_Toc182815173"/>
      <w:r>
        <w:rPr>
          <w:rFonts w:hint="eastAsia"/>
        </w:rPr>
        <w:lastRenderedPageBreak/>
        <w:t>第二章、文獻探討</w:t>
      </w:r>
      <w:bookmarkEnd w:id="1"/>
    </w:p>
    <w:p w14:paraId="01199615" w14:textId="77777777" w:rsidR="00404225" w:rsidRDefault="00404225" w:rsidP="004F7EE0">
      <w:pPr>
        <w:spacing w:before="180" w:after="180"/>
        <w:ind w:firstLine="480"/>
      </w:pP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2" w:name="_Toc182815177"/>
      <w:r>
        <w:rPr>
          <w:rFonts w:hint="eastAsia"/>
        </w:rPr>
        <w:lastRenderedPageBreak/>
        <w:t>第三章、</w:t>
      </w:r>
      <w:bookmarkEnd w:id="2"/>
      <w:r w:rsidR="00404225">
        <w:rPr>
          <w:rFonts w:hint="eastAsia"/>
        </w:rPr>
        <w:t>資料來源</w:t>
      </w:r>
    </w:p>
    <w:p w14:paraId="6A7D1B8D" w14:textId="13D8A7D4" w:rsidR="00ED61D0" w:rsidRPr="008E3193" w:rsidRDefault="00E410D8" w:rsidP="008E3193">
      <w:pPr>
        <w:pStyle w:val="2"/>
      </w:pPr>
      <w:r>
        <w:rPr>
          <w:rFonts w:hint="eastAsia"/>
        </w:rPr>
        <w:t>3.1</w:t>
      </w:r>
      <w:r w:rsidR="00ED61D0">
        <w:rPr>
          <w:rFonts w:hint="eastAsia"/>
        </w:rPr>
        <w:t>資料來源</w:t>
      </w:r>
    </w:p>
    <w:p w14:paraId="0D689EAA" w14:textId="514BFF76" w:rsidR="00FC6694" w:rsidRPr="00FC6694" w:rsidRDefault="00FC6694" w:rsidP="00FC6694">
      <w:pPr>
        <w:spacing w:before="180" w:after="180"/>
        <w:ind w:firstLine="480"/>
      </w:pPr>
      <w:r w:rsidRPr="00FC6694">
        <w:t>本研究採用全球最大比</w:t>
      </w:r>
      <w:proofErr w:type="gramStart"/>
      <w:r w:rsidRPr="00FC6694">
        <w:t>特</w:t>
      </w:r>
      <w:proofErr w:type="gramEnd"/>
      <w:r w:rsidRPr="00FC6694">
        <w:t>幣選擇權交易平台</w:t>
      </w:r>
      <w:proofErr w:type="spellStart"/>
      <w:r w:rsidRPr="00FC6694">
        <w:t>Deribit</w:t>
      </w:r>
      <w:proofErr w:type="spellEnd"/>
      <w:r w:rsidRPr="00FC6694">
        <w:t>交易所</w:t>
      </w:r>
      <w:r>
        <w:rPr>
          <w:rStyle w:val="af1"/>
        </w:rPr>
        <w:footnoteReference w:id="1"/>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proofErr w:type="spellStart"/>
      <w:r w:rsidRPr="00FC6694">
        <w:t>Deribit</w:t>
      </w:r>
      <w:proofErr w:type="spellEnd"/>
      <w:r w:rsidRPr="00FC6694">
        <w:t>交易所作為研究對象，主要基於其在全球加密貨幣選擇權市場的領導地位。</w:t>
      </w:r>
    </w:p>
    <w:p w14:paraId="40445281" w14:textId="423EBF50" w:rsidR="00084FEA" w:rsidRDefault="00FC6694" w:rsidP="00FC6694">
      <w:pPr>
        <w:spacing w:before="180" w:after="180"/>
        <w:ind w:firstLine="480"/>
      </w:pPr>
      <w:r w:rsidRPr="00FC6694">
        <w:t>根據加密貨幣資訊服務公司</w:t>
      </w:r>
      <w:r w:rsidRPr="00FC6694">
        <w:t>The Block</w:t>
      </w:r>
      <w:r w:rsidRPr="00FC6694">
        <w:t>之統計數據</w:t>
      </w:r>
      <w:r>
        <w:rPr>
          <w:rStyle w:val="af1"/>
        </w:rPr>
        <w:footnoteReference w:id="2"/>
      </w:r>
      <w:r w:rsidRPr="00FC6694">
        <w:t>顯示，在主要的三大交易平台（</w:t>
      </w:r>
      <w:proofErr w:type="spellStart"/>
      <w:r w:rsidRPr="00FC6694">
        <w:t>Deribit</w:t>
      </w:r>
      <w:proofErr w:type="spellEnd"/>
      <w:r w:rsidRPr="00FC6694">
        <w:t>、</w:t>
      </w:r>
      <w:r w:rsidRPr="00FC6694">
        <w:t>OKX</w:t>
      </w:r>
      <w:r w:rsidRPr="00FC6694">
        <w:t>及</w:t>
      </w:r>
      <w:r w:rsidRPr="00FC6694">
        <w:t>Binance</w:t>
      </w:r>
      <w:r w:rsidRPr="00FC6694">
        <w:t>）中，</w:t>
      </w:r>
      <w:proofErr w:type="spellStart"/>
      <w:r w:rsidRPr="00FC6694">
        <w:t>Deribit</w:t>
      </w:r>
      <w:proofErr w:type="spellEnd"/>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8A2FD0">
        <w:rPr>
          <w:rFonts w:hint="eastAsia"/>
        </w:rPr>
        <w:t>圖</w:t>
      </w:r>
      <w:r w:rsidR="008A2FD0">
        <w:rPr>
          <w:rFonts w:hint="eastAsia"/>
        </w:rPr>
        <w:t>3-</w:t>
      </w:r>
      <w:r w:rsidR="008A2FD0">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6D7472E4" w14:textId="14788DAB" w:rsidR="003A010D" w:rsidRPr="003A010D" w:rsidRDefault="003A010D" w:rsidP="003A010D">
      <w:pPr>
        <w:pStyle w:val="a9"/>
        <w:spacing w:before="180" w:after="180"/>
      </w:pPr>
      <w:bookmarkStart w:id="3" w:name="_Ref18295664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8A2FD0">
        <w:rPr>
          <w:noProof/>
        </w:rPr>
        <w:t>1</w:t>
      </w:r>
      <w:r>
        <w:fldChar w:fldCharType="end"/>
      </w:r>
      <w:bookmarkEnd w:id="3"/>
      <w:r>
        <w:rPr>
          <w:rFonts w:hint="eastAsia"/>
        </w:rPr>
        <w:t>：比</w:t>
      </w:r>
      <w:proofErr w:type="gramStart"/>
      <w:r>
        <w:rPr>
          <w:rFonts w:hint="eastAsia"/>
        </w:rPr>
        <w:t>特</w:t>
      </w:r>
      <w:proofErr w:type="gramEnd"/>
      <w:r>
        <w:rPr>
          <w:rFonts w:hint="eastAsia"/>
        </w:rPr>
        <w:t>幣選擇權市場交易量與未平倉量數據統計</w:t>
      </w:r>
      <w:r>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proofErr w:type="gramEnd"/>
    </w:p>
    <w:p w14:paraId="7CB9E807" w14:textId="12792798" w:rsidR="00182BF8" w:rsidRPr="00182BF8" w:rsidRDefault="00182BF8" w:rsidP="00182BF8">
      <w:pPr>
        <w:spacing w:before="180" w:after="180"/>
        <w:ind w:firstLine="480"/>
      </w:pPr>
      <w:proofErr w:type="spellStart"/>
      <w:r w:rsidRPr="00182BF8">
        <w:t>Deribit</w:t>
      </w:r>
      <w:proofErr w:type="spellEnd"/>
      <w:r w:rsidRPr="00182BF8">
        <w:t>成立於</w:t>
      </w:r>
      <w:r w:rsidRPr="00182BF8">
        <w:t>2016</w:t>
      </w:r>
      <w:r w:rsidRPr="00182BF8">
        <w:t>年，總部設於荷蘭，其名稱由「</w:t>
      </w:r>
      <w:r w:rsidRPr="00182BF8">
        <w:t>Derivatives</w:t>
      </w:r>
      <w:r w:rsidRPr="00182BF8">
        <w:t>」（衍生性商品）與「</w:t>
      </w:r>
      <w:r w:rsidRPr="00182BF8">
        <w:t>Bitcoin</w:t>
      </w:r>
      <w:r w:rsidRPr="00182BF8">
        <w:t>」（比</w:t>
      </w:r>
      <w:proofErr w:type="gramStart"/>
      <w:r w:rsidRPr="00182BF8">
        <w:t>特</w:t>
      </w:r>
      <w:proofErr w:type="gramEnd"/>
      <w:r w:rsidRPr="00182BF8">
        <w:t>幣）組合而成，為全球首家推出加密貨幣選擇權商品的專業交</w:t>
      </w:r>
      <w:r w:rsidRPr="00182BF8">
        <w:lastRenderedPageBreak/>
        <w:t>易所。</w:t>
      </w:r>
    </w:p>
    <w:p w14:paraId="27E3E41F" w14:textId="18160FF3" w:rsidR="00182BF8" w:rsidRPr="00182BF8" w:rsidRDefault="00182BF8" w:rsidP="00182BF8">
      <w:pPr>
        <w:tabs>
          <w:tab w:val="num" w:pos="720"/>
        </w:tabs>
        <w:spacing w:before="180" w:after="180"/>
        <w:ind w:firstLine="480"/>
      </w:pPr>
      <w:r w:rsidRPr="00182BF8">
        <w:t>就商品設計而言，</w:t>
      </w:r>
      <w:proofErr w:type="spellStart"/>
      <w:r w:rsidRPr="00182BF8">
        <w:t>Deribit</w:t>
      </w:r>
      <w:proofErr w:type="spellEnd"/>
      <w:r w:rsidRPr="00182BF8">
        <w:t>提供之比</w:t>
      </w:r>
      <w:proofErr w:type="gramStart"/>
      <w:r w:rsidRPr="00182BF8">
        <w:t>特</w:t>
      </w:r>
      <w:proofErr w:type="gramEnd"/>
      <w:r w:rsidRPr="00182BF8">
        <w:t>幣歐式現金結算選擇權</w:t>
      </w:r>
      <w:proofErr w:type="gramStart"/>
      <w:r w:rsidRPr="00182BF8">
        <w:t>採</w:t>
      </w:r>
      <w:proofErr w:type="gramEnd"/>
      <w:r w:rsidRPr="00182BF8">
        <w:t>24</w:t>
      </w:r>
      <w:r w:rsidRPr="00182BF8">
        <w:t>小時全天候交易機制</w:t>
      </w:r>
      <w:r>
        <w:rPr>
          <w:rStyle w:val="af1"/>
        </w:rPr>
        <w:footnoteReference w:id="3"/>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proofErr w:type="gramStart"/>
      <w:r w:rsidRPr="00182BF8">
        <w:t>週</w:t>
      </w:r>
      <w:proofErr w:type="gramEnd"/>
      <w:r w:rsidRPr="00182BF8">
        <w:t>、</w:t>
      </w:r>
      <w:r w:rsidRPr="00182BF8">
        <w:t>2</w:t>
      </w:r>
      <w:proofErr w:type="gramStart"/>
      <w:r w:rsidRPr="00182BF8">
        <w:t>週</w:t>
      </w:r>
      <w:proofErr w:type="gramEnd"/>
      <w:r w:rsidRPr="00182BF8">
        <w:t>、</w:t>
      </w:r>
      <w:r w:rsidRPr="00182BF8">
        <w:t>3</w:t>
      </w:r>
      <w:proofErr w:type="gramStart"/>
      <w:r w:rsidRPr="00182BF8">
        <w:t>週</w:t>
      </w:r>
      <w:proofErr w:type="gramEnd"/>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proofErr w:type="spellStart"/>
      <w:r w:rsidRPr="00182BF8">
        <w:t>Deribit</w:t>
      </w:r>
      <w:proofErr w:type="spellEnd"/>
      <w:r w:rsidRPr="00182BF8">
        <w:t>增設每日與每週到期之商品，大幅提升了市場參與度，交易量也隨之顯著成長。</w:t>
      </w:r>
    </w:p>
    <w:p w14:paraId="633AF837" w14:textId="2C8C1B30" w:rsidR="00ED61D0" w:rsidRPr="002A2A2A" w:rsidRDefault="00E410D8" w:rsidP="008E3193">
      <w:pPr>
        <w:pStyle w:val="2"/>
      </w:pPr>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p>
    <w:p w14:paraId="073656E1" w14:textId="3A76B411"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Pr>
          <w:rFonts w:hint="eastAsia"/>
        </w:rPr>
        <w:t>Risk 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09EF4365"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8A2FD0">
        <w:rPr>
          <w:rFonts w:hint="eastAsia"/>
        </w:rPr>
        <w:t>圖</w:t>
      </w:r>
      <w:r w:rsidR="008A2FD0">
        <w:rPr>
          <w:rFonts w:hint="eastAsia"/>
        </w:rPr>
        <w:t>3-</w:t>
      </w:r>
      <w:r w:rsidR="008A2FD0">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8A2FD0">
        <w:rPr>
          <w:rFonts w:hint="eastAsia"/>
        </w:rPr>
        <w:t>圖</w:t>
      </w:r>
      <w:r w:rsidR="008A2FD0">
        <w:rPr>
          <w:rFonts w:hint="eastAsia"/>
        </w:rPr>
        <w:t>3-</w:t>
      </w:r>
      <w:r w:rsidR="008A2FD0">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proofErr w:type="spellStart"/>
      <w:r w:rsidRPr="00182BF8">
        <w:t>Deribit</w:t>
      </w:r>
      <w:proofErr w:type="spellEnd"/>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w:t>
      </w:r>
      <w:proofErr w:type="gramStart"/>
      <w:r w:rsidRPr="00182BF8">
        <w:t>特</w:t>
      </w:r>
      <w:proofErr w:type="gramEnd"/>
      <w:r w:rsidRPr="00182BF8">
        <w:t>幣現貨價格的強勁上漲，買權交易量更於</w:t>
      </w:r>
      <w:r w:rsidRPr="00182BF8">
        <w:t>2024</w:t>
      </w:r>
      <w:r w:rsidRPr="00182BF8">
        <w:t>年</w:t>
      </w:r>
      <w:r w:rsidRPr="00182BF8">
        <w:t>2</w:t>
      </w:r>
      <w:r w:rsidRPr="00182BF8">
        <w:t>月創下歷史新高。此現象反映出市場參與者對比</w:t>
      </w:r>
      <w:proofErr w:type="gramStart"/>
      <w:r w:rsidRPr="00182BF8">
        <w:t>特幣後</w:t>
      </w:r>
      <w:proofErr w:type="gramEnd"/>
      <w:r w:rsidRPr="00182BF8">
        <w:t>市持續看好，投資人偏好透過選擇權商品進行投機或避險操作。就市場深度而言，自</w:t>
      </w:r>
      <w:r w:rsidRPr="00182BF8">
        <w:t>2023</w:t>
      </w:r>
      <w:r w:rsidRPr="00182BF8">
        <w:t>年下半年以來，交易量的持續攀升不僅反映出市場參與度的提高，更顯示比</w:t>
      </w:r>
      <w:proofErr w:type="gramStart"/>
      <w:r w:rsidRPr="00182BF8">
        <w:t>特</w:t>
      </w:r>
      <w:proofErr w:type="gramEnd"/>
      <w:r w:rsidRPr="00182BF8">
        <w:t>幣選擇權市場的流動性與深度已趨於成熟。這種市場結構的改善，有助於降低交易成本、提升價格發現效率，進而吸引更多機構投</w:t>
      </w:r>
      <w:r w:rsidRPr="00182BF8">
        <w:lastRenderedPageBreak/>
        <w:t>資人參與。比</w:t>
      </w:r>
      <w:proofErr w:type="gramStart"/>
      <w:r w:rsidRPr="00182BF8">
        <w:t>特</w:t>
      </w:r>
      <w:proofErr w:type="gramEnd"/>
      <w:r w:rsidRPr="00182BF8">
        <w:t>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5400040" cy="2678430"/>
                    </a:xfrm>
                    <a:prstGeom prst="rect">
                      <a:avLst/>
                    </a:prstGeom>
                  </pic:spPr>
                </pic:pic>
              </a:graphicData>
            </a:graphic>
          </wp:inline>
        </w:drawing>
      </w:r>
    </w:p>
    <w:p w14:paraId="00AC0A35" w14:textId="1A8DFACD" w:rsidR="00663F14" w:rsidRPr="00FB35F3" w:rsidRDefault="00B634F1" w:rsidP="00B634F1">
      <w:pPr>
        <w:pStyle w:val="a9"/>
        <w:spacing w:before="180" w:after="180"/>
      </w:pPr>
      <w:bookmarkStart w:id="4" w:name="_Ref18948992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8A2FD0">
        <w:rPr>
          <w:noProof/>
        </w:rPr>
        <w:t>2</w:t>
      </w:r>
      <w:r>
        <w:fldChar w:fldCharType="end"/>
      </w:r>
      <w:bookmarkEnd w:id="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、賣權每月交易筆數</w:t>
      </w:r>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5400040" cy="2677160"/>
                    </a:xfrm>
                    <a:prstGeom prst="rect">
                      <a:avLst/>
                    </a:prstGeom>
                  </pic:spPr>
                </pic:pic>
              </a:graphicData>
            </a:graphic>
          </wp:inline>
        </w:drawing>
      </w:r>
    </w:p>
    <w:p w14:paraId="5B0BCF08" w14:textId="08F086CD" w:rsidR="00B53910" w:rsidRDefault="002F31B5" w:rsidP="008E3193">
      <w:pPr>
        <w:pStyle w:val="a9"/>
        <w:spacing w:before="180" w:after="180"/>
      </w:pPr>
      <w:bookmarkStart w:id="5" w:name="_Ref18296236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8A2FD0">
        <w:rPr>
          <w:noProof/>
        </w:rPr>
        <w:t>3</w:t>
      </w:r>
      <w:r>
        <w:fldChar w:fldCharType="end"/>
      </w:r>
      <w:bookmarkEnd w:id="5"/>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p>
    <w:p w14:paraId="26B0396F" w14:textId="6E27AA6C" w:rsidR="00B53910" w:rsidRPr="00B53910" w:rsidRDefault="00B53910" w:rsidP="00B53910">
      <w:pPr>
        <w:spacing w:before="180" w:after="180"/>
        <w:ind w:firstLine="480"/>
      </w:pPr>
      <w:r w:rsidRPr="00B53910">
        <w:t>本研究透過</w:t>
      </w:r>
      <w:r>
        <w:rPr>
          <w:rFonts w:hint="eastAsia"/>
        </w:rPr>
        <w:t>總</w:t>
      </w:r>
      <w:r w:rsidRPr="00B53910">
        <w:t>交易</w:t>
      </w:r>
      <w:proofErr w:type="gramStart"/>
      <w:r w:rsidRPr="00B53910">
        <w:t>量熱圖</w:t>
      </w:r>
      <w:proofErr w:type="gramEnd"/>
      <w:r w:rsidRPr="00B53910">
        <w:t>分析，觀察比</w:t>
      </w:r>
      <w:proofErr w:type="gramStart"/>
      <w:r w:rsidRPr="00B53910">
        <w:t>特</w:t>
      </w:r>
      <w:proofErr w:type="gramEnd"/>
      <w:r w:rsidRPr="00B53910">
        <w:t>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8A2FD0">
        <w:rPr>
          <w:rFonts w:hint="eastAsia"/>
        </w:rPr>
        <w:t>圖</w:t>
      </w:r>
      <w:r w:rsidR="008A2FD0">
        <w:rPr>
          <w:rFonts w:hint="eastAsia"/>
        </w:rPr>
        <w:t>3-</w:t>
      </w:r>
      <w:r w:rsidR="008A2FD0">
        <w:rPr>
          <w:noProof/>
        </w:rPr>
        <w:t>4</w:t>
      </w:r>
      <w:r>
        <w:fldChar w:fldCharType="end"/>
      </w:r>
      <w:r>
        <w:rPr>
          <w:rFonts w:hint="eastAsia"/>
        </w:rPr>
        <w:t>）</w:t>
      </w:r>
      <w:r w:rsidRPr="00B53910">
        <w:t>，交易活動明顯</w:t>
      </w:r>
      <w:proofErr w:type="gramStart"/>
      <w:r w:rsidRPr="00B53910">
        <w:t>聚集於價平</w:t>
      </w:r>
      <w:proofErr w:type="gramEnd"/>
      <w:r w:rsidRPr="00B53910">
        <w:t>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w:t>
      </w:r>
      <w:proofErr w:type="gramStart"/>
      <w:r w:rsidRPr="00B53910">
        <w:t>略偏價外</w:t>
      </w:r>
      <w:proofErr w:type="gramEnd"/>
      <w:r w:rsidRPr="00B53910">
        <w:t>（</w:t>
      </w:r>
      <w:r w:rsidRPr="00B53910">
        <w:t>1.0-1.1</w:t>
      </w:r>
      <w:r w:rsidRPr="00B53910">
        <w:t>）之買權更創下</w:t>
      </w:r>
      <w:r w:rsidRPr="00B53910">
        <w:t>2,072</w:t>
      </w:r>
      <w:proofErr w:type="gramStart"/>
      <w:r w:rsidRPr="00B53910">
        <w:t>百萬</w:t>
      </w:r>
      <w:proofErr w:type="gramEnd"/>
      <w:r>
        <w:rPr>
          <w:rFonts w:hint="eastAsia"/>
        </w:rPr>
        <w:t>美元</w:t>
      </w:r>
      <w:r w:rsidRPr="00B53910">
        <w:t>之最高交易量，顯示投資人偏好運用較具槓桿效果之價外買</w:t>
      </w:r>
      <w:r w:rsidRPr="00B53910">
        <w:lastRenderedPageBreak/>
        <w:t>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w:t>
      </w:r>
      <w:proofErr w:type="gramStart"/>
      <w:r w:rsidRPr="00B53910">
        <w:t>權於價平</w:t>
      </w:r>
      <w:proofErr w:type="gramEnd"/>
      <w:r w:rsidRPr="00B53910">
        <w:t>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proofErr w:type="gramStart"/>
      <w:r w:rsidRPr="00B53910">
        <w:t>百萬</w:t>
      </w:r>
      <w:proofErr w:type="gramEnd"/>
      <w:r w:rsidRPr="00B53910">
        <w:t>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5400040" cy="3813810"/>
                    </a:xfrm>
                    <a:prstGeom prst="rect">
                      <a:avLst/>
                    </a:prstGeom>
                  </pic:spPr>
                </pic:pic>
              </a:graphicData>
            </a:graphic>
          </wp:inline>
        </w:drawing>
      </w:r>
    </w:p>
    <w:p w14:paraId="5A3CE6E9" w14:textId="7E768E54" w:rsidR="00B53910" w:rsidRPr="00B53910" w:rsidRDefault="00B53910" w:rsidP="00B53910">
      <w:pPr>
        <w:pStyle w:val="a9"/>
        <w:spacing w:before="180" w:after="180"/>
      </w:pPr>
      <w:bookmarkStart w:id="6" w:name="_Ref18949329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8A2FD0">
        <w:rPr>
          <w:noProof/>
        </w:rPr>
        <w:t>4</w:t>
      </w:r>
      <w:r>
        <w:fldChar w:fldCharType="end"/>
      </w:r>
      <w:bookmarkEnd w:id="6"/>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幣買權總交易</w:t>
      </w:r>
      <w:proofErr w:type="gramStart"/>
      <w:r>
        <w:rPr>
          <w:rFonts w:hint="eastAsia"/>
        </w:rPr>
        <w:t>量熱圖</w:t>
      </w:r>
      <w:proofErr w:type="gramEnd"/>
    </w:p>
    <w:p w14:paraId="51E8C060" w14:textId="5614BF76"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8A2FD0">
        <w:rPr>
          <w:rFonts w:hint="eastAsia"/>
        </w:rPr>
        <w:t>圖</w:t>
      </w:r>
      <w:r w:rsidR="008A2FD0">
        <w:rPr>
          <w:rFonts w:hint="eastAsia"/>
        </w:rPr>
        <w:t>3-</w:t>
      </w:r>
      <w:r w:rsidR="008A2FD0">
        <w:rPr>
          <w:noProof/>
        </w:rPr>
        <w:t>5</w:t>
      </w:r>
      <w:r>
        <w:fldChar w:fldCharType="end"/>
      </w:r>
      <w:r>
        <w:rPr>
          <w:rFonts w:hint="eastAsia"/>
        </w:rPr>
        <w:t>）</w:t>
      </w:r>
      <w:r w:rsidRPr="00B53910">
        <w:t>則呈現</w:t>
      </w:r>
      <w:proofErr w:type="gramStart"/>
      <w:r w:rsidRPr="00B53910">
        <w:t>迥</w:t>
      </w:r>
      <w:proofErr w:type="gramEnd"/>
      <w:r w:rsidRPr="00B53910">
        <w:t>異之交易特徵。交易活動高度</w:t>
      </w:r>
      <w:proofErr w:type="gramStart"/>
      <w:r w:rsidRPr="00B53910">
        <w:t>集中於價平</w:t>
      </w:r>
      <w:proofErr w:type="gramEnd"/>
      <w:r w:rsidRPr="00B53910">
        <w:t>附近（</w:t>
      </w:r>
      <w:r w:rsidRPr="00B53910">
        <w:t>0.9-1.0</w:t>
      </w:r>
      <w:r w:rsidRPr="00B53910">
        <w:t>），最高單一區塊交易量達</w:t>
      </w:r>
      <w:r w:rsidRPr="00B53910">
        <w:t>1,676</w:t>
      </w:r>
      <w:proofErr w:type="gramStart"/>
      <w:r w:rsidRPr="00B53910">
        <w:t>百萬</w:t>
      </w:r>
      <w:proofErr w:type="gramEnd"/>
      <w:r>
        <w:rPr>
          <w:rFonts w:hint="eastAsia"/>
        </w:rPr>
        <w:t>美元</w:t>
      </w:r>
      <w:r w:rsidRPr="00B53910">
        <w:t>，遠高於其他區域。深度價外（小於等於</w:t>
      </w:r>
      <w:r w:rsidRPr="00B53910">
        <w:t>0.7</w:t>
      </w:r>
      <w:r w:rsidRPr="00B53910">
        <w:t>）賣權之交易量相對稀少，此現象顯示市場對比</w:t>
      </w:r>
      <w:proofErr w:type="gramStart"/>
      <w:r w:rsidRPr="00B53910">
        <w:t>特</w:t>
      </w:r>
      <w:proofErr w:type="gramEnd"/>
      <w:r w:rsidRPr="00B53910">
        <w:t>幣大幅下跌之避險需求相對有限。就到期期間分配而言，短天期賣權（</w:t>
      </w:r>
      <w:r w:rsidRPr="00B53910">
        <w:t>14</w:t>
      </w:r>
      <w:r w:rsidRPr="00B53910">
        <w:t>天以內及</w:t>
      </w:r>
      <w:r w:rsidRPr="00B53910">
        <w:t>15-90</w:t>
      </w:r>
      <w:r w:rsidRPr="00B53910">
        <w:t>天）</w:t>
      </w:r>
      <w:proofErr w:type="gramStart"/>
      <w:r w:rsidRPr="00B53910">
        <w:t>於價平</w:t>
      </w:r>
      <w:proofErr w:type="gramEnd"/>
      <w:r w:rsidRPr="00B53910">
        <w:t>附近</w:t>
      </w:r>
      <w:r w:rsidRPr="00B53910">
        <w:lastRenderedPageBreak/>
        <w:t>之交易最為</w:t>
      </w:r>
      <w:proofErr w:type="gramStart"/>
      <w:r w:rsidRPr="00B53910">
        <w:t>活躍，</w:t>
      </w:r>
      <w:proofErr w:type="gramEnd"/>
      <w:r w:rsidRPr="00B53910">
        <w:t>而中長天期（</w:t>
      </w:r>
      <w:r w:rsidRPr="00B53910">
        <w:t>90-180</w:t>
      </w:r>
      <w:r w:rsidRPr="00B53910">
        <w:t>天）賣權則於深度價內（大於</w:t>
      </w:r>
      <w:r w:rsidRPr="00B53910">
        <w:t>1.1</w:t>
      </w:r>
      <w:r w:rsidRPr="00B53910">
        <w:t>）區域出現顯著之交易量（</w:t>
      </w:r>
      <w:r w:rsidRPr="00B53910">
        <w:t>821</w:t>
      </w:r>
      <w:proofErr w:type="gramStart"/>
      <w:r w:rsidRPr="00B53910">
        <w:t>百萬</w:t>
      </w:r>
      <w:proofErr w:type="gramEnd"/>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5400040" cy="3836670"/>
                    </a:xfrm>
                    <a:prstGeom prst="rect">
                      <a:avLst/>
                    </a:prstGeom>
                  </pic:spPr>
                </pic:pic>
              </a:graphicData>
            </a:graphic>
          </wp:inline>
        </w:drawing>
      </w:r>
    </w:p>
    <w:p w14:paraId="0F92B1A9" w14:textId="64C071A4" w:rsidR="00B53910" w:rsidRPr="00B53910" w:rsidRDefault="00B53910" w:rsidP="00B53910">
      <w:pPr>
        <w:pStyle w:val="a9"/>
        <w:spacing w:before="180" w:after="180"/>
      </w:pPr>
      <w:bookmarkStart w:id="7" w:name="_Ref189493371"/>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8A2FD0">
        <w:rPr>
          <w:noProof/>
        </w:rPr>
        <w:t>5</w:t>
      </w:r>
      <w:r>
        <w:fldChar w:fldCharType="end"/>
      </w:r>
      <w:bookmarkEnd w:id="7"/>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特幣賣</w:t>
      </w:r>
      <w:proofErr w:type="gramEnd"/>
      <w:r>
        <w:rPr>
          <w:rFonts w:hint="eastAsia"/>
        </w:rPr>
        <w:t>權總交易</w:t>
      </w:r>
      <w:proofErr w:type="gramStart"/>
      <w:r>
        <w:rPr>
          <w:rFonts w:hint="eastAsia"/>
        </w:rPr>
        <w:t>量熱圖</w:t>
      </w:r>
      <w:proofErr w:type="gramEnd"/>
    </w:p>
    <w:p w14:paraId="3A706421" w14:textId="56982CCD" w:rsidR="00B53910" w:rsidRPr="00B53910" w:rsidRDefault="00B53910" w:rsidP="00E748C3">
      <w:pPr>
        <w:spacing w:before="180" w:after="180"/>
        <w:ind w:firstLine="480"/>
      </w:pPr>
      <w:r w:rsidRPr="00B53910">
        <w:t>比</w:t>
      </w:r>
      <w:proofErr w:type="gramStart"/>
      <w:r w:rsidRPr="00B53910">
        <w:t>特</w:t>
      </w:r>
      <w:proofErr w:type="gramEnd"/>
      <w:r w:rsidRPr="00B53910">
        <w:t>幣選擇權市場已發展出相當程度之深度與流動性</w:t>
      </w:r>
      <w:r w:rsidR="00E748C3">
        <w:rPr>
          <w:rFonts w:hint="eastAsia"/>
        </w:rPr>
        <w:t>，</w:t>
      </w:r>
      <w:r w:rsidRPr="00B53910">
        <w:t>交易活動主要</w:t>
      </w:r>
      <w:proofErr w:type="gramStart"/>
      <w:r w:rsidRPr="00B53910">
        <w:t>集中於價平</w:t>
      </w:r>
      <w:proofErr w:type="gramEnd"/>
      <w:r w:rsidRPr="00B53910">
        <w:t>附近區域，反映市場參與者偏好進行較具效率之投機或避險操作。短天期選擇權普遍較受青睞，顯示市場參與者傾向採取短線交易策略。</w:t>
      </w:r>
      <w:proofErr w:type="gramStart"/>
      <w:r w:rsidRPr="00B53910">
        <w:t>再者，</w:t>
      </w:r>
      <w:proofErr w:type="gramEnd"/>
      <w:r w:rsidRPr="00B53910">
        <w:t>買權整體交易量高於賣權之現象，可能反映市場對比</w:t>
      </w:r>
      <w:proofErr w:type="gramStart"/>
      <w:r w:rsidRPr="00B53910">
        <w:t>特</w:t>
      </w:r>
      <w:proofErr w:type="gramEnd"/>
      <w:r w:rsidRPr="00B53910">
        <w:t>幣價格</w:t>
      </w:r>
      <w:proofErr w:type="gramStart"/>
      <w:r w:rsidRPr="00B53910">
        <w:t>走勢持偏多</w:t>
      </w:r>
      <w:proofErr w:type="gramEnd"/>
      <w:r w:rsidRPr="00B53910">
        <w:t>看法。部分特定區域（如深度價外買權及深度價內賣權）出現之異常交易量，則可能與特定投資策略或法人避險需求密切相關。前述交易特徵共同構成當前比</w:t>
      </w:r>
      <w:proofErr w:type="gramStart"/>
      <w:r w:rsidRPr="00B53910">
        <w:t>特</w:t>
      </w:r>
      <w:proofErr w:type="gramEnd"/>
      <w:r w:rsidRPr="00B53910">
        <w:t>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8" w:name="_Toc182815179"/>
      <w:r>
        <w:rPr>
          <w:rFonts w:hint="eastAsia"/>
        </w:rPr>
        <w:lastRenderedPageBreak/>
        <w:t>第四章、</w:t>
      </w:r>
      <w:bookmarkEnd w:id="8"/>
      <w:r w:rsidR="00404225">
        <w:rPr>
          <w:rFonts w:hint="eastAsia"/>
        </w:rPr>
        <w:t>研究方法</w:t>
      </w:r>
    </w:p>
    <w:p w14:paraId="06D53243" w14:textId="33D13D44" w:rsidR="00666B54" w:rsidRDefault="00E410D8" w:rsidP="00E410D8">
      <w:pPr>
        <w:pStyle w:val="2"/>
      </w:pPr>
      <w:r>
        <w:rPr>
          <w:rFonts w:hint="eastAsia"/>
        </w:rPr>
        <w:t>4.1</w:t>
      </w:r>
      <w:r>
        <w:rPr>
          <w:rFonts w:hint="eastAsia"/>
        </w:rPr>
        <w:t>以理論計算風險中立</w:t>
      </w:r>
      <w:r w:rsidR="00806786">
        <w:rPr>
          <w:rFonts w:hint="eastAsia"/>
        </w:rPr>
        <w:t>機率</w:t>
      </w:r>
      <w:r>
        <w:rPr>
          <w:rFonts w:hint="eastAsia"/>
        </w:rPr>
        <w:t>密度之方法</w:t>
      </w:r>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6DB5E649" w:rsidR="003643C9" w:rsidRDefault="003643C9" w:rsidP="00646BB2">
            <w:pPr>
              <w:pStyle w:val="a9"/>
              <w:spacing w:before="180" w:after="180"/>
              <w:jc w:val="right"/>
            </w:pPr>
            <w:bookmarkStart w:id="9" w:name="_Ref183666859"/>
            <w:r>
              <w:t>(</w:t>
            </w:r>
            <w:fldSimple w:instr=" SEQ ( \* ARABIC ">
              <w:r w:rsidR="008A2FD0">
                <w:rPr>
                  <w:noProof/>
                </w:rPr>
                <w:t>1</w:t>
              </w:r>
            </w:fldSimple>
            <w:r>
              <w:rPr>
                <w:rFonts w:hint="eastAsia"/>
              </w:rPr>
              <w:t>)</w:t>
            </w:r>
            <w:bookmarkEnd w:id="9"/>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02DC3722" w:rsidR="00764F78" w:rsidRPr="00764F78" w:rsidRDefault="00646BB2" w:rsidP="00764F78">
            <w:pPr>
              <w:pStyle w:val="a9"/>
              <w:spacing w:before="180" w:after="180"/>
              <w:jc w:val="right"/>
            </w:pPr>
            <w:bookmarkStart w:id="10" w:name="_Ref183663957"/>
            <w:bookmarkStart w:id="11" w:name="_Ref183663960"/>
            <w:r>
              <w:t>(</w:t>
            </w:r>
            <w:fldSimple w:instr=" SEQ ( \* ARABIC ">
              <w:r w:rsidR="008A2FD0">
                <w:rPr>
                  <w:noProof/>
                </w:rPr>
                <w:t>2</w:t>
              </w:r>
            </w:fldSimple>
            <w:bookmarkEnd w:id="10"/>
            <w:r>
              <w:rPr>
                <w:rFonts w:hint="eastAsia"/>
              </w:rPr>
              <w:t>)</w:t>
            </w:r>
            <w:bookmarkEnd w:id="11"/>
          </w:p>
        </w:tc>
      </w:tr>
    </w:tbl>
    <w:p w14:paraId="7ACA79FE" w14:textId="416B6D9C"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8A2FD0">
        <w:t>(</w:t>
      </w:r>
      <w:r w:rsidR="008A2FD0">
        <w:rPr>
          <w:noProof/>
        </w:rPr>
        <w:t>2</w:t>
      </w:r>
      <w:r w:rsidR="008A2FD0">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495049">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6763DE81" w:rsidR="00C451F7" w:rsidRPr="00764F78" w:rsidRDefault="00C451F7" w:rsidP="009703DB">
            <w:pPr>
              <w:pStyle w:val="a9"/>
              <w:spacing w:before="180" w:after="180"/>
              <w:jc w:val="right"/>
            </w:pPr>
            <w:bookmarkStart w:id="12" w:name="_Ref183665445"/>
            <w:r>
              <w:t>(</w:t>
            </w:r>
            <w:fldSimple w:instr=" SEQ ( \* ARABIC ">
              <w:r w:rsidR="008A2FD0">
                <w:rPr>
                  <w:noProof/>
                </w:rPr>
                <w:t>3</w:t>
              </w:r>
            </w:fldSimple>
            <w:r>
              <w:rPr>
                <w:rFonts w:hint="eastAsia"/>
              </w:rPr>
              <w:t>)</w:t>
            </w:r>
            <w:bookmarkEnd w:id="12"/>
          </w:p>
        </w:tc>
      </w:tr>
    </w:tbl>
    <w:p w14:paraId="072B8C89" w14:textId="2A77586F"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8A2FD0">
        <w:t>(</w:t>
      </w:r>
      <w:r w:rsidR="008A2FD0">
        <w:rPr>
          <w:noProof/>
        </w:rPr>
        <w:t>2</w:t>
      </w:r>
      <w:r w:rsidR="008A2FD0">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8A2FD0">
        <w:t>(</w:t>
      </w:r>
      <w:r w:rsidR="008A2FD0">
        <w:rPr>
          <w:noProof/>
        </w:rPr>
        <w:t>3</w:t>
      </w:r>
      <w:r w:rsidR="008A2FD0">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6E3142B0" w:rsidR="006A2DA5" w:rsidRPr="00764F78" w:rsidRDefault="006A2DA5" w:rsidP="00495049">
            <w:pPr>
              <w:pStyle w:val="a9"/>
              <w:spacing w:before="180" w:after="180"/>
              <w:ind w:firstLine="480"/>
              <w:jc w:val="right"/>
            </w:pPr>
            <w:bookmarkStart w:id="13" w:name="_Ref189214718"/>
            <w:r>
              <w:t>(</w:t>
            </w:r>
            <w:fldSimple w:instr=" SEQ ( \* ARABIC ">
              <w:r w:rsidR="008A2FD0">
                <w:rPr>
                  <w:noProof/>
                </w:rPr>
                <w:t>4</w:t>
              </w:r>
            </w:fldSimple>
            <w:r>
              <w:rPr>
                <w:rFonts w:hint="eastAsia"/>
              </w:rPr>
              <w:t>)</w:t>
            </w:r>
            <w:bookmarkEnd w:id="13"/>
          </w:p>
        </w:tc>
      </w:tr>
      <w:tr w:rsidR="006A2DA5" w14:paraId="782CE5D6" w14:textId="77777777" w:rsidTr="00470204">
        <w:tc>
          <w:tcPr>
            <w:tcW w:w="7574" w:type="dxa"/>
            <w:vAlign w:val="center"/>
          </w:tcPr>
          <w:p w14:paraId="26B0AADF" w14:textId="3BC2D2CC" w:rsidR="006A2DA5"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0A79685C" w:rsidR="006A2DA5" w:rsidRDefault="006A2DA5" w:rsidP="00495049">
            <w:pPr>
              <w:pStyle w:val="a9"/>
              <w:spacing w:before="180" w:after="180"/>
              <w:ind w:firstLine="480"/>
              <w:jc w:val="right"/>
            </w:pPr>
            <w:bookmarkStart w:id="14" w:name="_Ref183666874"/>
            <w:r>
              <w:t>(</w:t>
            </w:r>
            <w:fldSimple w:instr=" SEQ ( \* ARABIC ">
              <w:r w:rsidR="008A2FD0">
                <w:rPr>
                  <w:noProof/>
                </w:rPr>
                <w:t>5</w:t>
              </w:r>
            </w:fldSimple>
            <w:r>
              <w:rPr>
                <w:rFonts w:hint="eastAsia"/>
              </w:rPr>
              <w:t>)</w:t>
            </w:r>
            <w:bookmarkEnd w:id="14"/>
          </w:p>
        </w:tc>
      </w:tr>
    </w:tbl>
    <w:p w14:paraId="41486D5F" w14:textId="116557BA"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8A2FD0">
        <w:t>(</w:t>
      </w:r>
      <w:r w:rsidR="008A2FD0">
        <w:rPr>
          <w:noProof/>
        </w:rPr>
        <w:t>1</w:t>
      </w:r>
      <w:r w:rsidR="008A2FD0">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8A2FD0">
        <w:t>(</w:t>
      </w:r>
      <w:r w:rsidR="008A2FD0">
        <w:rPr>
          <w:noProof/>
        </w:rPr>
        <w:t>5</w:t>
      </w:r>
      <w:r w:rsidR="008A2FD0">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8A2FD0">
        <w:t>(</w:t>
      </w:r>
      <w:r w:rsidR="008A2FD0">
        <w:rPr>
          <w:noProof/>
        </w:rPr>
        <w:t>2</w:t>
      </w:r>
      <w:r w:rsidR="008A2FD0">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8A2FD0">
        <w:t>(</w:t>
      </w:r>
      <w:r w:rsidR="008A2FD0">
        <w:rPr>
          <w:noProof/>
        </w:rPr>
        <w:t>5</w:t>
      </w:r>
      <w:r w:rsidR="008A2FD0">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2C3A1205" w:rsidR="007C0373" w:rsidRPr="007C0373" w:rsidRDefault="004F631C" w:rsidP="007C0373">
            <w:pPr>
              <w:pStyle w:val="a9"/>
              <w:spacing w:before="180" w:after="180"/>
              <w:ind w:firstLine="480"/>
              <w:jc w:val="right"/>
            </w:pPr>
            <w:r>
              <w:t>(</w:t>
            </w:r>
            <w:fldSimple w:instr=" SEQ ( \* ARABIC ">
              <w:r w:rsidR="008A2FD0">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5E01F876" w:rsidR="004F631C" w:rsidRDefault="004F631C" w:rsidP="00495049">
            <w:pPr>
              <w:pStyle w:val="a9"/>
              <w:spacing w:before="180" w:after="180"/>
              <w:ind w:firstLine="480"/>
              <w:jc w:val="right"/>
            </w:pPr>
            <w:r>
              <w:t>(</w:t>
            </w:r>
            <w:fldSimple w:instr=" SEQ ( \* ARABIC ">
              <w:r w:rsidR="008A2FD0">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079D7FEA" w:rsidR="004F631C" w:rsidRDefault="00415057" w:rsidP="004F631C">
            <w:pPr>
              <w:pStyle w:val="a9"/>
              <w:spacing w:before="180" w:after="180"/>
              <w:ind w:firstLine="480"/>
              <w:jc w:val="right"/>
            </w:pPr>
            <w:r>
              <w:t>(</w:t>
            </w:r>
            <w:fldSimple w:instr=" SEQ ( \* ARABIC ">
              <w:r w:rsidR="008A2FD0">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70C359B8" w:rsidR="004F631C" w:rsidRDefault="00415057" w:rsidP="004F631C">
            <w:pPr>
              <w:pStyle w:val="a9"/>
              <w:spacing w:before="180" w:after="180"/>
              <w:ind w:firstLine="480"/>
              <w:jc w:val="right"/>
            </w:pPr>
            <w:r>
              <w:t>(</w:t>
            </w:r>
            <w:fldSimple w:instr=" SEQ ( \* ARABIC ">
              <w:r w:rsidR="008A2FD0">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r>
        <w:rPr>
          <w:rFonts w:hint="eastAsia"/>
        </w:rPr>
        <w:t>4.2</w:t>
      </w:r>
      <w:r>
        <w:rPr>
          <w:rFonts w:hint="eastAsia"/>
        </w:rPr>
        <w:t>以實務計算風險中立</w:t>
      </w:r>
      <w:r w:rsidR="00806786">
        <w:rPr>
          <w:rFonts w:hint="eastAsia"/>
        </w:rPr>
        <w:t>機率</w:t>
      </w:r>
      <w:r>
        <w:rPr>
          <w:rFonts w:hint="eastAsia"/>
        </w:rPr>
        <w:t>密度之方法</w:t>
      </w:r>
    </w:p>
    <w:p w14:paraId="6A72A1AA" w14:textId="3E4FF259"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8A2FD0">
        <w:t>(</w:t>
      </w:r>
      <w:r w:rsidR="008A2FD0">
        <w:rPr>
          <w:noProof/>
        </w:rPr>
        <w:t>1</w:t>
      </w:r>
      <w:r w:rsidR="008A2FD0">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r>
        <w:rPr>
          <w:rFonts w:hint="eastAsia"/>
        </w:rPr>
        <w:t>4.2.1</w:t>
      </w:r>
      <w:r>
        <w:rPr>
          <w:rFonts w:hint="eastAsia"/>
        </w:rPr>
        <w:t>比</w:t>
      </w:r>
      <w:proofErr w:type="gramStart"/>
      <w:r>
        <w:rPr>
          <w:rFonts w:hint="eastAsia"/>
        </w:rPr>
        <w:t>特</w:t>
      </w:r>
      <w:proofErr w:type="gramEnd"/>
      <w:r>
        <w:rPr>
          <w:rFonts w:hint="eastAsia"/>
        </w:rPr>
        <w:t>幣適用之</w:t>
      </w:r>
      <w:r>
        <w:rPr>
          <w:rFonts w:hint="eastAsia"/>
        </w:rPr>
        <w:t>Black-Scholes</w:t>
      </w:r>
      <w:r>
        <w:rPr>
          <w:rFonts w:hint="eastAsia"/>
        </w:rPr>
        <w:t>模型</w:t>
      </w:r>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w:t>
      </w:r>
      <w:proofErr w:type="gramStart"/>
      <w:r>
        <w:rPr>
          <w:rFonts w:hint="eastAsia"/>
        </w:rPr>
        <w:t>特</w:t>
      </w:r>
      <w:proofErr w:type="gramEnd"/>
      <w:r>
        <w:rPr>
          <w:rFonts w:hint="eastAsia"/>
        </w:rPr>
        <w:t>幣選擇權定價中的適用性。</w:t>
      </w:r>
    </w:p>
    <w:p w14:paraId="2CF80AA0" w14:textId="3A05FB42" w:rsidR="00BA0521" w:rsidRDefault="009F55DC" w:rsidP="00DE3699">
      <w:pPr>
        <w:spacing w:before="180" w:after="180"/>
        <w:ind w:firstLine="480"/>
      </w:pPr>
      <w:r>
        <w:rPr>
          <w:rFonts w:hint="eastAsia"/>
        </w:rPr>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8A2FD0">
        <w:t>(</w:t>
      </w:r>
      <w:r w:rsidR="008A2FD0">
        <w:rPr>
          <w:noProof/>
        </w:rPr>
        <w:t>10</w:t>
      </w:r>
      <w:r w:rsidR="008A2FD0">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8A2FD0">
        <w:t>(</w:t>
      </w:r>
      <w:r w:rsidR="008A2FD0">
        <w:rPr>
          <w:noProof/>
        </w:rPr>
        <w:t>11</w:t>
      </w:r>
      <w:r w:rsidR="008A2FD0">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39A55C07" w:rsidR="00C96DE9" w:rsidRDefault="00C96DE9" w:rsidP="00C96DE9">
            <w:pPr>
              <w:pStyle w:val="a9"/>
              <w:spacing w:before="180" w:after="180"/>
              <w:jc w:val="right"/>
            </w:pPr>
            <w:bookmarkStart w:id="15" w:name="_Ref184140393"/>
            <w:r>
              <w:t>(</w:t>
            </w:r>
            <w:fldSimple w:instr=" SEQ ( \* ARABIC ">
              <w:r w:rsidR="008A2FD0">
                <w:rPr>
                  <w:noProof/>
                </w:rPr>
                <w:t>10</w:t>
              </w:r>
            </w:fldSimple>
            <w:r>
              <w:rPr>
                <w:rFonts w:hint="eastAsia"/>
              </w:rPr>
              <w:t>)</w:t>
            </w:r>
            <w:bookmarkEnd w:id="15"/>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060B56FB" w:rsidR="002116B3" w:rsidRDefault="002116B3" w:rsidP="002116B3">
            <w:pPr>
              <w:pStyle w:val="a9"/>
              <w:spacing w:before="180" w:after="180"/>
              <w:jc w:val="right"/>
            </w:pPr>
            <w:bookmarkStart w:id="16" w:name="_Ref184140413"/>
            <w:r>
              <w:t>(</w:t>
            </w:r>
            <w:fldSimple w:instr=" SEQ ( \* ARABIC ">
              <w:r w:rsidR="008A2FD0">
                <w:rPr>
                  <w:noProof/>
                </w:rPr>
                <w:t>11</w:t>
              </w:r>
            </w:fldSimple>
            <w:r>
              <w:rPr>
                <w:rFonts w:hint="eastAsia"/>
              </w:rPr>
              <w:t>)</w:t>
            </w:r>
            <w:bookmarkEnd w:id="16"/>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r>
        <w:rPr>
          <w:rFonts w:hint="eastAsia"/>
        </w:rPr>
        <w:t>4.2.2</w:t>
      </w:r>
      <w:r>
        <w:rPr>
          <w:rFonts w:hint="eastAsia"/>
        </w:rPr>
        <w:t>比</w:t>
      </w:r>
      <w:proofErr w:type="gramStart"/>
      <w:r>
        <w:rPr>
          <w:rFonts w:hint="eastAsia"/>
        </w:rPr>
        <w:t>特</w:t>
      </w:r>
      <w:proofErr w:type="gramEnd"/>
      <w:r>
        <w:rPr>
          <w:rFonts w:hint="eastAsia"/>
        </w:rPr>
        <w:t>幣選擇權隱含波動率計算</w:t>
      </w:r>
    </w:p>
    <w:p w14:paraId="0B2D87D9" w14:textId="055F4018"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1D0F4B06" w:rsidR="00653CFB" w:rsidRDefault="00BC0ED0" w:rsidP="005F66D1">
      <w:pPr>
        <w:spacing w:before="180" w:after="180"/>
        <w:ind w:firstLine="480"/>
      </w:pPr>
      <w:r>
        <w:fldChar w:fldCharType="begin"/>
      </w:r>
      <w:r>
        <w:instrText xml:space="preserve"> ADDIN ZOTERO_ITEM CSL_CITATION {"citationID":"3issG5TW","properties":{"formattedCitation":"(Shimko, 1993)","plainCitation":"(Shimko, 1993)","noteIndex":0},"citationItems":[{"id":34,"uris":["http://zotero.org/users/16294904/items/BPVWMPA2"],"itemData":{"id":34,"type":"article-journal","container-title":"Risk","issue":"4","page":"33–37","source":"Google Scholar","title":"Bounds of probability","volume":"6","author":[{"family":"Shimko","given":"David"}],"issued":{"date-parts":[["1993"]]}}}],"schema":"https://github.com/citation-style-language/schema/raw/master/csl-citation.json"} </w:instrText>
      </w:r>
      <w:r>
        <w:fldChar w:fldCharType="separate"/>
      </w:r>
      <w:r w:rsidRPr="00BC0ED0">
        <w:t>(Shimko, 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w:t>
      </w:r>
      <w:proofErr w:type="gramStart"/>
      <w:r w:rsidR="00653CFB" w:rsidRPr="00653CFB">
        <w:rPr>
          <w:rFonts w:hint="eastAsia"/>
        </w:rPr>
        <w:t>進行插值</w:t>
      </w:r>
      <w:proofErr w:type="gramEnd"/>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w:t>
      </w:r>
      <w:proofErr w:type="gramStart"/>
      <w:r w:rsidR="00653CFB" w:rsidRPr="00653CFB">
        <w:rPr>
          <w:rFonts w:hint="eastAsia"/>
        </w:rPr>
        <w:t>進行插值與</w:t>
      </w:r>
      <w:proofErr w:type="gramEnd"/>
      <w:r w:rsidR="00653CFB" w:rsidRPr="00653CFB">
        <w:rPr>
          <w:rFonts w:hint="eastAsia"/>
        </w:rPr>
        <w:t>平滑處理</w:t>
      </w:r>
      <w:r w:rsidR="00653CFB">
        <w:rPr>
          <w:rFonts w:hint="eastAsia"/>
        </w:rPr>
        <w:t>，</w:t>
      </w:r>
      <w:r w:rsidR="00653CFB" w:rsidRPr="00653CFB">
        <w:rPr>
          <w:rFonts w:hint="eastAsia"/>
        </w:rPr>
        <w:t>再將</w:t>
      </w:r>
      <w:proofErr w:type="gramStart"/>
      <w:r w:rsidR="00653CFB" w:rsidRPr="00653CFB">
        <w:rPr>
          <w:rFonts w:hint="eastAsia"/>
        </w:rPr>
        <w:t>插值後</w:t>
      </w:r>
      <w:proofErr w:type="gramEnd"/>
      <w:r w:rsidR="00653CFB" w:rsidRPr="00653CFB">
        <w:rPr>
          <w:rFonts w:hint="eastAsia"/>
        </w:rPr>
        <w:t>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6EBDE158" w:rsidR="00C40C3F" w:rsidRDefault="00BC0ED0" w:rsidP="00C40C3F">
      <w:pPr>
        <w:spacing w:before="180" w:after="180"/>
        <w:ind w:firstLine="480"/>
      </w:pPr>
      <w:r>
        <w:fldChar w:fldCharType="begin"/>
      </w:r>
      <w:r>
        <w:instrText xml:space="preserve"> ADDIN ZOTERO_ITEM CSL_CITATION {"citationID":"eIimM6bC","properties":{"formattedCitation":"(Figlewski,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fldChar w:fldCharType="separate"/>
      </w:r>
      <w:r w:rsidRPr="00BC0ED0">
        <w:t>(</w:t>
      </w:r>
      <w:proofErr w:type="spellStart"/>
      <w:r w:rsidRPr="00BC0ED0">
        <w:t>Figlewski</w:t>
      </w:r>
      <w:proofErr w:type="spellEnd"/>
      <w:r w:rsidRPr="00BC0ED0">
        <w:t>, 2008)</w:t>
      </w:r>
      <w:r>
        <w:fldChar w:fldCharType="end"/>
      </w:r>
      <w:r>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6BA00DB3"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8A2FD0">
        <w:rPr>
          <w:rFonts w:hint="eastAsia"/>
        </w:rPr>
        <w:t>圖</w:t>
      </w:r>
      <w:r w:rsidR="008A2FD0">
        <w:rPr>
          <w:rFonts w:hint="eastAsia"/>
        </w:rPr>
        <w:t>4-</w:t>
      </w:r>
      <w:r w:rsidR="008A2FD0">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w:t>
      </w:r>
      <w:r w:rsidRPr="004D7F17">
        <w:lastRenderedPageBreak/>
        <w:t>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8A2FD0">
        <w:rPr>
          <w:rFonts w:hint="eastAsia"/>
        </w:rPr>
        <w:t>圖</w:t>
      </w:r>
      <w:r w:rsidR="008A2FD0">
        <w:rPr>
          <w:rFonts w:hint="eastAsia"/>
        </w:rPr>
        <w:t>4-</w:t>
      </w:r>
      <w:r w:rsidR="008A2FD0">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8A2FD0">
        <w:rPr>
          <w:rFonts w:hint="eastAsia"/>
        </w:rPr>
        <w:t>圖</w:t>
      </w:r>
      <w:r w:rsidR="008A2FD0">
        <w:rPr>
          <w:rFonts w:hint="eastAsia"/>
        </w:rPr>
        <w:t>4-</w:t>
      </w:r>
      <w:r w:rsidR="008A2FD0">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680000" cy="2981133"/>
                    </a:xfrm>
                    <a:prstGeom prst="rect">
                      <a:avLst/>
                    </a:prstGeom>
                  </pic:spPr>
                </pic:pic>
              </a:graphicData>
            </a:graphic>
          </wp:inline>
        </w:drawing>
      </w:r>
    </w:p>
    <w:p w14:paraId="7A6BE9F4" w14:textId="3F4E97D7" w:rsidR="00473435" w:rsidRDefault="00473435" w:rsidP="00473435">
      <w:pPr>
        <w:pStyle w:val="a9"/>
        <w:spacing w:before="180" w:after="180"/>
      </w:pPr>
      <w:bookmarkStart w:id="17" w:name="_Ref18476258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A2FD0">
        <w:rPr>
          <w:noProof/>
        </w:rPr>
        <w:t>1</w:t>
      </w:r>
      <w:r>
        <w:fldChar w:fldCharType="end"/>
      </w:r>
      <w:bookmarkEnd w:id="17"/>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7C7ABCCD" w14:textId="77777777" w:rsidR="00473435" w:rsidRDefault="00473435" w:rsidP="00473435">
      <w:pPr>
        <w:pStyle w:val="aa"/>
        <w:keepNext/>
        <w:spacing w:before="180" w:after="180"/>
      </w:pPr>
      <w:r w:rsidRPr="00473435">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569744D6" w14:textId="7E89205D" w:rsidR="00473435" w:rsidRDefault="00473435" w:rsidP="00473435">
      <w:pPr>
        <w:pStyle w:val="a9"/>
        <w:spacing w:before="180" w:after="180"/>
      </w:pPr>
      <w:bookmarkStart w:id="18" w:name="_Ref18477572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A2FD0">
        <w:rPr>
          <w:noProof/>
        </w:rPr>
        <w:t>2</w:t>
      </w:r>
      <w:r>
        <w:fldChar w:fldCharType="end"/>
      </w:r>
      <w:bookmarkEnd w:id="18"/>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5B167FB0" w14:textId="77777777" w:rsidR="009D4D5D" w:rsidRDefault="009D4D5D" w:rsidP="009D4D5D">
      <w:pPr>
        <w:pStyle w:val="aa"/>
        <w:keepNext/>
        <w:spacing w:before="180" w:after="180"/>
      </w:pPr>
      <w:r w:rsidRPr="009D4D5D">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3AAFF10C" w14:textId="483587E3" w:rsidR="009D4D5D" w:rsidRPr="009D4D5D" w:rsidRDefault="009D4D5D" w:rsidP="009D4D5D">
      <w:pPr>
        <w:pStyle w:val="a9"/>
        <w:spacing w:before="180" w:after="180"/>
      </w:pPr>
      <w:bookmarkStart w:id="19" w:name="_Ref18477609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A2FD0">
        <w:rPr>
          <w:noProof/>
        </w:rPr>
        <w:t>3</w:t>
      </w:r>
      <w:r>
        <w:fldChar w:fldCharType="end"/>
      </w:r>
      <w:bookmarkEnd w:id="1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36844DD9" w14:textId="738D2F97" w:rsidR="00493B38" w:rsidRDefault="00493B38" w:rsidP="00493B38">
      <w:pPr>
        <w:pStyle w:val="3"/>
        <w:spacing w:before="180" w:after="180"/>
      </w:pPr>
      <w:r>
        <w:rPr>
          <w:rFonts w:hint="eastAsia"/>
        </w:rPr>
        <w:t>4.2.3</w:t>
      </w:r>
      <w:r>
        <w:rPr>
          <w:rFonts w:hint="eastAsia"/>
        </w:rPr>
        <w:t>比</w:t>
      </w:r>
      <w:proofErr w:type="gramStart"/>
      <w:r>
        <w:rPr>
          <w:rFonts w:hint="eastAsia"/>
        </w:rPr>
        <w:t>特</w:t>
      </w:r>
      <w:proofErr w:type="gramEnd"/>
      <w:r>
        <w:rPr>
          <w:rFonts w:hint="eastAsia"/>
        </w:rPr>
        <w:t>幣選擇權隱含波動率曲線擬合</w:t>
      </w:r>
    </w:p>
    <w:p w14:paraId="4454655D" w14:textId="236A0D13"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w:t>
      </w:r>
      <w:r>
        <w:rPr>
          <w:rFonts w:hint="eastAsia"/>
        </w:rPr>
        <w:lastRenderedPageBreak/>
        <w:t>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64B762B0"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w:t>
      </w:r>
      <w:r>
        <w:rPr>
          <w:rFonts w:hint="eastAsia"/>
        </w:rPr>
        <w:lastRenderedPageBreak/>
        <w:t>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8A2FD0">
        <w:rPr>
          <w:rFonts w:hint="eastAsia"/>
        </w:rPr>
        <w:t>圖</w:t>
      </w:r>
      <w:r w:rsidR="008A2FD0">
        <w:rPr>
          <w:rFonts w:hint="eastAsia"/>
        </w:rPr>
        <w:t>4-</w:t>
      </w:r>
      <w:r w:rsidR="008A2FD0">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5E33C302" w14:textId="34AD629C" w:rsidR="00830EEC" w:rsidRPr="00716605" w:rsidRDefault="00C54885" w:rsidP="00C54885">
      <w:pPr>
        <w:pStyle w:val="a9"/>
        <w:spacing w:before="180" w:after="180"/>
      </w:pPr>
      <w:bookmarkStart w:id="20" w:name="_Ref18916009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A2FD0">
        <w:rPr>
          <w:noProof/>
        </w:rPr>
        <w:t>4</w:t>
      </w:r>
      <w:r>
        <w:fldChar w:fldCharType="end"/>
      </w:r>
      <w:bookmarkEnd w:id="2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32686A7" w14:textId="0F67C9B9" w:rsidR="00493B38" w:rsidRDefault="00493B38" w:rsidP="00493B38">
      <w:pPr>
        <w:pStyle w:val="3"/>
        <w:spacing w:before="180" w:after="180"/>
      </w:pPr>
      <w:r>
        <w:rPr>
          <w:rFonts w:hint="eastAsia"/>
        </w:rPr>
        <w:t>4.2.4</w:t>
      </w:r>
      <w:r>
        <w:rPr>
          <w:rFonts w:hint="eastAsia"/>
        </w:rPr>
        <w:t>比</w:t>
      </w:r>
      <w:proofErr w:type="gramStart"/>
      <w:r>
        <w:rPr>
          <w:rFonts w:hint="eastAsia"/>
        </w:rPr>
        <w:t>特</w:t>
      </w:r>
      <w:proofErr w:type="gramEnd"/>
      <w:r>
        <w:rPr>
          <w:rFonts w:hint="eastAsia"/>
        </w:rPr>
        <w:t>幣選擇權風險中立機率密度函數計算</w:t>
      </w:r>
    </w:p>
    <w:p w14:paraId="7E7B25F1" w14:textId="384DCC6B"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8A2FD0">
        <w:t>(</w:t>
      </w:r>
      <w:r w:rsidR="008A2FD0">
        <w:rPr>
          <w:noProof/>
        </w:rPr>
        <w:t>11</w:t>
      </w:r>
      <w:r w:rsidR="008A2FD0">
        <w:rPr>
          <w:rFonts w:hint="eastAsia"/>
        </w:rPr>
        <w:t>)</w:t>
      </w:r>
      <w:r>
        <w:fldChar w:fldCharType="end"/>
      </w:r>
      <w:r w:rsidRPr="00852AA5">
        <w:t>），</w:t>
      </w:r>
      <w:r w:rsidRPr="00852AA5">
        <w:lastRenderedPageBreak/>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8A2FD0">
        <w:rPr>
          <w:rFonts w:hint="eastAsia"/>
        </w:rPr>
        <w:t>圖</w:t>
      </w:r>
      <w:r w:rsidR="008A2FD0">
        <w:rPr>
          <w:rFonts w:hint="eastAsia"/>
        </w:rPr>
        <w:t>4-</w:t>
      </w:r>
      <w:r w:rsidR="008A2FD0">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680000" cy="2944812"/>
                    </a:xfrm>
                    <a:prstGeom prst="rect">
                      <a:avLst/>
                    </a:prstGeom>
                  </pic:spPr>
                </pic:pic>
              </a:graphicData>
            </a:graphic>
          </wp:inline>
        </w:drawing>
      </w:r>
    </w:p>
    <w:p w14:paraId="307A92C4" w14:textId="5617C3CE" w:rsidR="00601A99" w:rsidRDefault="00601A99" w:rsidP="00601A99">
      <w:pPr>
        <w:pStyle w:val="a9"/>
        <w:spacing w:before="180" w:after="180"/>
      </w:pPr>
      <w:bookmarkStart w:id="21" w:name="_Ref1892153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A2FD0">
        <w:rPr>
          <w:noProof/>
        </w:rPr>
        <w:t>5</w:t>
      </w:r>
      <w:r>
        <w:fldChar w:fldCharType="end"/>
      </w:r>
      <w:bookmarkEnd w:id="2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AD0F83E" w14:textId="6BEC802A" w:rsidR="007F37F0" w:rsidRDefault="007F37F0" w:rsidP="00852AA5">
      <w:pPr>
        <w:spacing w:before="180" w:after="180"/>
        <w:ind w:firstLine="480"/>
      </w:pPr>
      <w:r w:rsidRPr="007F37F0">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8A2FD0">
        <w:t>(</w:t>
      </w:r>
      <w:r w:rsidR="008A2FD0">
        <w:rPr>
          <w:noProof/>
        </w:rPr>
        <w:t>4</w:t>
      </w:r>
      <w:r w:rsidR="008A2FD0">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8A2FD0">
        <w:t>(</w:t>
      </w:r>
      <w:r w:rsidR="008A2FD0">
        <w:rPr>
          <w:noProof/>
        </w:rPr>
        <w:t>5</w:t>
      </w:r>
      <w:r w:rsidR="008A2FD0">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67FE458D"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8A2FD0">
        <w:rPr>
          <w:rFonts w:hint="eastAsia"/>
        </w:rPr>
        <w:t>圖</w:t>
      </w:r>
      <w:r w:rsidR="008A2FD0">
        <w:rPr>
          <w:rFonts w:hint="eastAsia"/>
        </w:rPr>
        <w:t>4-</w:t>
      </w:r>
      <w:r w:rsidR="008A2FD0">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8A2FD0">
        <w:rPr>
          <w:rFonts w:hint="eastAsia"/>
        </w:rPr>
        <w:t>圖</w:t>
      </w:r>
      <w:r w:rsidR="008A2FD0">
        <w:rPr>
          <w:rFonts w:hint="eastAsia"/>
        </w:rPr>
        <w:t>4-</w:t>
      </w:r>
      <w:r w:rsidR="008A2FD0">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26"/>
                    <a:stretch>
                      <a:fillRect/>
                    </a:stretch>
                  </pic:blipFill>
                  <pic:spPr>
                    <a:xfrm>
                      <a:off x="0" y="0"/>
                      <a:ext cx="4680000" cy="3154487"/>
                    </a:xfrm>
                    <a:prstGeom prst="rect">
                      <a:avLst/>
                    </a:prstGeom>
                  </pic:spPr>
                </pic:pic>
              </a:graphicData>
            </a:graphic>
          </wp:inline>
        </w:drawing>
      </w:r>
    </w:p>
    <w:p w14:paraId="40848232" w14:textId="26C77445" w:rsidR="00506C97" w:rsidRDefault="00F36D4C" w:rsidP="00F36D4C">
      <w:pPr>
        <w:pStyle w:val="a9"/>
        <w:spacing w:before="180" w:after="180"/>
        <w:ind w:firstLine="480"/>
      </w:pPr>
      <w:bookmarkStart w:id="22" w:name="_Ref18921624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A2FD0">
        <w:rPr>
          <w:noProof/>
        </w:rPr>
        <w:t>6</w:t>
      </w:r>
      <w:r>
        <w:fldChar w:fldCharType="end"/>
      </w:r>
      <w:bookmarkEnd w:id="2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22ECB24" w14:textId="0106653B" w:rsidR="00F36D4C" w:rsidRDefault="00A70ECC" w:rsidP="00F36D4C">
      <w:pPr>
        <w:pStyle w:val="aa"/>
        <w:keepNext/>
        <w:spacing w:before="180" w:after="180"/>
      </w:pPr>
      <w:r w:rsidRPr="00A70ECC">
        <w:lastRenderedPageBreak/>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27"/>
                    <a:stretch>
                      <a:fillRect/>
                    </a:stretch>
                  </pic:blipFill>
                  <pic:spPr>
                    <a:xfrm>
                      <a:off x="0" y="0"/>
                      <a:ext cx="4680000" cy="3022959"/>
                    </a:xfrm>
                    <a:prstGeom prst="rect">
                      <a:avLst/>
                    </a:prstGeom>
                  </pic:spPr>
                </pic:pic>
              </a:graphicData>
            </a:graphic>
          </wp:inline>
        </w:drawing>
      </w:r>
    </w:p>
    <w:p w14:paraId="4CE8F0A4" w14:textId="60F4BE1E" w:rsidR="00F36D4C" w:rsidRPr="00506C97" w:rsidRDefault="00F36D4C" w:rsidP="00F36D4C">
      <w:pPr>
        <w:pStyle w:val="a9"/>
        <w:spacing w:before="180" w:after="180"/>
      </w:pPr>
      <w:bookmarkStart w:id="23" w:name="_Ref1892162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A2FD0">
        <w:rPr>
          <w:noProof/>
        </w:rPr>
        <w:t>7</w:t>
      </w:r>
      <w:r>
        <w:fldChar w:fldCharType="end"/>
      </w:r>
      <w:bookmarkEnd w:id="2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BEA8A89" w14:textId="5778D1A5" w:rsidR="0012177C" w:rsidRDefault="0012177C" w:rsidP="0012177C">
      <w:pPr>
        <w:pStyle w:val="2"/>
      </w:pPr>
      <w:r>
        <w:rPr>
          <w:rFonts w:hint="eastAsia"/>
        </w:rPr>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493B38">
        <w:rPr>
          <w:rFonts w:hint="eastAsia"/>
        </w:rPr>
        <w:t>部</w:t>
      </w:r>
      <w:r w:rsidR="00224FF9">
        <w:rPr>
          <w:rFonts w:hint="eastAsia"/>
        </w:rPr>
        <w:t>分布</w:t>
      </w:r>
    </w:p>
    <w:p w14:paraId="696FAF3E" w14:textId="59384E2C" w:rsidR="00493B38" w:rsidRPr="00493B38" w:rsidRDefault="00493B38" w:rsidP="00493B38">
      <w:pPr>
        <w:pStyle w:val="3"/>
        <w:spacing w:before="180" w:after="180"/>
      </w:pPr>
      <w:r>
        <w:rPr>
          <w:rFonts w:hint="eastAsia"/>
        </w:rPr>
        <w:t>4.3.1</w:t>
      </w:r>
      <w:r>
        <w:rPr>
          <w:rFonts w:hint="eastAsia"/>
        </w:rPr>
        <w:t>尾部</w:t>
      </w:r>
      <w:r>
        <w:rPr>
          <w:rFonts w:hint="eastAsia"/>
        </w:rPr>
        <w:t>GEV</w:t>
      </w:r>
      <w:proofErr w:type="gramStart"/>
      <w:r>
        <w:rPr>
          <w:rFonts w:hint="eastAsia"/>
        </w:rPr>
        <w:t>雙點配適</w:t>
      </w:r>
      <w:proofErr w:type="gramEnd"/>
      <w:r>
        <w:rPr>
          <w:rFonts w:hint="eastAsia"/>
        </w:rPr>
        <w:t>法</w:t>
      </w:r>
    </w:p>
    <w:p w14:paraId="50E34D06" w14:textId="147CAB79"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r w:rsidR="00BC0ED0">
        <w:fldChar w:fldCharType="begin"/>
      </w:r>
      <w:r w:rsidR="00BC0ED0">
        <w:instrText xml:space="preserve"> ADDIN ZOTERO_ITEM CSL_CITATION {"citationID":"oz5nxgml","properties":{"formattedCitation":"(Figlewski,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w:t>
      </w:r>
      <w:proofErr w:type="spellStart"/>
      <w:r w:rsidR="00BC0ED0" w:rsidRPr="00BC0ED0">
        <w:t>Figlewski</w:t>
      </w:r>
      <w:proofErr w:type="spellEnd"/>
      <w:r w:rsidR="00BC0ED0" w:rsidRPr="00BC0ED0">
        <w:t>, 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w:t>
      </w:r>
      <w:proofErr w:type="gramStart"/>
      <w:r w:rsidRPr="001A6EE8">
        <w:t>來配適</w:t>
      </w:r>
      <w:proofErr w:type="gramEnd"/>
      <w:r w:rsidRPr="001A6EE8">
        <w:t>RND</w:t>
      </w:r>
      <w:r w:rsidRPr="001A6EE8">
        <w:t>的尾部，其方法需要</w:t>
      </w:r>
      <w:proofErr w:type="gramStart"/>
      <w:r w:rsidR="00896866">
        <w:rPr>
          <w:rFonts w:hint="eastAsia"/>
        </w:rPr>
        <w:t>針對雙尾分別</w:t>
      </w:r>
      <w:proofErr w:type="gramEnd"/>
      <w:r w:rsidRPr="001A6EE8">
        <w:t>設定三個條件以確保</w:t>
      </w:r>
      <w:proofErr w:type="gramStart"/>
      <w:r w:rsidRPr="001A6EE8">
        <w:t>尾部配適的</w:t>
      </w:r>
      <w:proofErr w:type="gramEnd"/>
      <w:r w:rsidRPr="001A6EE8">
        <w:t>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6E68245" w:rsidR="00896866" w:rsidRPr="00FE7792" w:rsidRDefault="00BB756F" w:rsidP="001A6EE8">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r w:rsidR="00BC0ED0">
        <w:lastRenderedPageBreak/>
        <w:fldChar w:fldCharType="begin"/>
      </w:r>
      <w:r w:rsidR="00BC0ED0">
        <w:instrText xml:space="preserve"> ADDIN ZOTERO_ITEM CSL_CITATION {"citationID":"bxTUDTbf","properties":{"formattedCitation":"(Figlewski,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w:t>
      </w:r>
      <w:proofErr w:type="spellStart"/>
      <w:r w:rsidR="00BC0ED0" w:rsidRPr="00BC0ED0">
        <w:t>Figlewski</w:t>
      </w:r>
      <w:proofErr w:type="spellEnd"/>
      <w:r w:rsidR="00BC0ED0" w:rsidRPr="00BC0ED0">
        <w:t>, 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r>
        <w:rPr>
          <w:rFonts w:hint="eastAsia"/>
        </w:rPr>
        <w:t>4.3.2 GPD</w:t>
      </w:r>
      <w:r>
        <w:rPr>
          <w:rFonts w:hint="eastAsia"/>
        </w:rPr>
        <w:t>分布理論</w:t>
      </w:r>
    </w:p>
    <w:p w14:paraId="2A6AA699" w14:textId="1EBC19A4" w:rsidR="00FB3472" w:rsidRDefault="00560A40" w:rsidP="00560A40">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BC0ED0">
        <w:rPr>
          <w:rFonts w:hint="eastAsia"/>
        </w:rPr>
        <w:t xml:space="preserve"> </w:t>
      </w:r>
      <w:r w:rsidR="00BC0ED0">
        <w:fldChar w:fldCharType="begin"/>
      </w:r>
      <w:r w:rsidR="00BC0ED0">
        <w:instrText xml:space="preserve"> ADDIN ZOTERO_ITEM CSL_CITATION {"citationID":"Ol5FW0gV","properties":{"formattedCitation":"(Balkema &amp; Haan, 1974)","plainCitation":"(Balkema &amp; Haan, 1974)","noteIndex":0},"citationItems":[{"id":1,"uris":["http://zotero.org/users/16294904/items/I6LQMQTS"],"itemData":{"id":1,"type":"article-journal","abstract":"The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A."},{"family":"Haan","given":"L.","dropping-particle":"de"}],"issued":{"date-parts":[["1974",10]]}}}],"schema":"https://github.com/citation-style-language/schema/raw/master/csl-citation.json"} </w:instrText>
      </w:r>
      <w:r w:rsidR="00BC0ED0">
        <w:fldChar w:fldCharType="separate"/>
      </w:r>
      <w:r w:rsidR="00BC0ED0" w:rsidRPr="00BC0ED0">
        <w:t>(Balkema &amp; Haan, 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t>此外，</w:t>
      </w:r>
      <w:proofErr w:type="gramEnd"/>
      <w:r w:rsidR="00BC0ED0">
        <w:fldChar w:fldCharType="begin"/>
      </w:r>
      <w:r w:rsidR="00BC0ED0">
        <w:instrText xml:space="preserve"> ADDIN ZOTERO_ITEM CSL_CITATION {"citationID":"MRNEUqtU","properties":{"formattedCitation":"(Hosking &amp; Wallis, 1987)","plainCitation":"(Hosking &amp; Wallis, 1987)","noteIndex":0},"citationItems":[{"id":27,"uris":["http://zotero.org/users/16294904/items/8JPL9TBJ"],"itemData":{"id":27,"type":"article-journal","abstract":"The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BC0ED0">
        <w:fldChar w:fldCharType="separate"/>
      </w:r>
      <w:r w:rsidR="00BC0ED0" w:rsidRPr="00BC0ED0">
        <w:t>(Hosking &amp; Wallis, 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BC0ED0">
        <w:rPr>
          <w:rFonts w:hint="eastAsia"/>
        </w:rPr>
        <w:t xml:space="preserve"> </w:t>
      </w:r>
      <w:r w:rsidR="00BC0ED0">
        <w:fldChar w:fldCharType="begin"/>
      </w:r>
      <w:r w:rsidR="00BC0ED0">
        <w:instrText xml:space="preserve"> ADDIN ZOTERO_ITEM CSL_CITATION {"citationID":"kbFqSQJG","properties":{"formattedCitation":"(McNeil &amp; Frey, 2000)","plainCitation":"(McNeil &amp; Frey, 2000)","noteIndex":0},"citationItems":[{"id":29,"uris":["http://zotero.org/users/16294904/items/8AWAERE4"],"itemData":{"id":29,"type":"article-journal","abstract":"We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J."},{"family":"Frey","given":"Rüdiger"}],"issued":{"date-parts":[["2000",11,1]]}}}],"schema":"https://github.com/citation-style-language/schema/raw/master/csl-citation.json"} </w:instrText>
      </w:r>
      <w:r w:rsidR="00BC0ED0">
        <w:fldChar w:fldCharType="separate"/>
      </w:r>
      <w:r w:rsidR="00BC0ED0" w:rsidRPr="00BC0ED0">
        <w:t>(McNeil &amp; Frey, 2000)</w:t>
      </w:r>
      <w:r w:rsidR="00BC0ED0">
        <w:fldChar w:fldCharType="end"/>
      </w:r>
      <w:r w:rsidR="00FB3472" w:rsidRPr="00FB3472">
        <w:t xml:space="preserve"> </w:t>
      </w:r>
      <w:r w:rsidR="00FB3472" w:rsidRPr="00FB3472">
        <w:t>的研究所示。實證研究方面，</w:t>
      </w:r>
      <w:r w:rsidR="00BC0ED0">
        <w:fldChar w:fldCharType="begin"/>
      </w:r>
      <w:r w:rsidR="00BC0ED0">
        <w:instrText xml:space="preserve"> ADDIN ZOTERO_ITEM CSL_CITATION {"citationID":"J32YwUiI","properties":{"formattedCitation":"(Birru &amp; Figlewski, 2012)","plainCitation":"(Birru &amp; Figlewski, 2012)","noteIndex":0},"citationItems":[{"id":5,"uris":["http://zotero.org/users/16294904/items/U3I3QZ5W"],"itemData":{"id":5,"type":"article-journal","abstract":"We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BC0ED0">
        <w:fldChar w:fldCharType="separate"/>
      </w:r>
      <w:r w:rsidR="00BC0ED0" w:rsidRPr="00BC0ED0">
        <w:t xml:space="preserve">(Birru &amp; </w:t>
      </w:r>
      <w:proofErr w:type="spellStart"/>
      <w:r w:rsidR="00BC0ED0" w:rsidRPr="00BC0ED0">
        <w:t>Figlewski</w:t>
      </w:r>
      <w:proofErr w:type="spellEnd"/>
      <w:r w:rsidR="00BC0ED0" w:rsidRPr="00BC0ED0">
        <w:t>, 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6427A813" w14:textId="4B7329F6" w:rsidR="00493B38" w:rsidRDefault="00493B38" w:rsidP="00493B38">
      <w:pPr>
        <w:pStyle w:val="3"/>
        <w:spacing w:before="180" w:after="180"/>
      </w:pPr>
      <w:r>
        <w:rPr>
          <w:rFonts w:hint="eastAsia"/>
        </w:rPr>
        <w:t>4.3.3</w:t>
      </w:r>
      <w:r>
        <w:rPr>
          <w:rFonts w:hint="eastAsia"/>
        </w:rPr>
        <w:t>尾部</w:t>
      </w:r>
      <w:r>
        <w:rPr>
          <w:rFonts w:hint="eastAsia"/>
        </w:rPr>
        <w:t>GPD</w:t>
      </w:r>
      <w:proofErr w:type="gramStart"/>
      <w:r>
        <w:rPr>
          <w:rFonts w:hint="eastAsia"/>
        </w:rPr>
        <w:t>雙點配適</w:t>
      </w:r>
      <w:proofErr w:type="gramEnd"/>
      <w:r>
        <w:rPr>
          <w:rFonts w:hint="eastAsia"/>
        </w:rPr>
        <w:t>法</w:t>
      </w:r>
    </w:p>
    <w:p w14:paraId="331773A1" w14:textId="4E102C9D" w:rsidR="008317BE" w:rsidRPr="008E6833" w:rsidRDefault="00BC0ED0" w:rsidP="001A6EE8">
      <w:pPr>
        <w:spacing w:before="180" w:after="180"/>
        <w:ind w:firstLine="480"/>
      </w:pPr>
      <w:r>
        <w:fldChar w:fldCharType="begin"/>
      </w:r>
      <w:r>
        <w:instrText xml:space="preserve"> ADDIN ZOTERO_ITEM CSL_CITATION {"citationID":"eACZIbbw","properties":{"formattedCitation":"(Birru &amp; Figlewski, 2012)","plainCitation":"(Birru &amp; Figlewski, 2012)","noteIndex":0},"citationItems":[{"id":5,"uris":["http://zotero.org/users/16294904/items/U3I3QZ5W"],"itemData":{"id":5,"type":"article-journal","abstract":"We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fldChar w:fldCharType="separate"/>
      </w:r>
      <w:r w:rsidRPr="00BC0ED0">
        <w:t xml:space="preserve">(Birru &amp; </w:t>
      </w:r>
      <w:proofErr w:type="spellStart"/>
      <w:r w:rsidRPr="00BC0ED0">
        <w:t>Figlewski</w:t>
      </w:r>
      <w:proofErr w:type="spellEnd"/>
      <w:r w:rsidRPr="00BC0ED0">
        <w:t>, 2012)</w:t>
      </w:r>
      <w:r>
        <w:fldChar w:fldCharType="end"/>
      </w:r>
      <w:r>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proofErr w:type="gramStart"/>
      <w:r w:rsidR="0090616F">
        <w:rPr>
          <w:rFonts w:hint="eastAsia"/>
        </w:rPr>
        <w:t>雙點</w:t>
      </w:r>
      <w:r w:rsidR="008317BE" w:rsidRPr="008E6833">
        <w:rPr>
          <w:rFonts w:hint="eastAsia"/>
        </w:rPr>
        <w:t>配適</w:t>
      </w:r>
      <w:proofErr w:type="gramEnd"/>
      <w:r w:rsidR="008317BE" w:rsidRPr="008E6833">
        <w:rPr>
          <w:rFonts w:hint="eastAsia"/>
        </w:rPr>
        <w:t>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proofErr w:type="gramStart"/>
      <w:r w:rsidR="008E6833" w:rsidRPr="008E6833">
        <w:rPr>
          <w:rFonts w:hint="eastAsia"/>
        </w:rPr>
        <w:t>尾部配適</w:t>
      </w:r>
      <w:r w:rsidR="008317BE" w:rsidRPr="008E6833">
        <w:rPr>
          <w:rFonts w:hint="eastAsia"/>
        </w:rPr>
        <w:t>條件</w:t>
      </w:r>
      <w:proofErr w:type="gramEnd"/>
      <w:r w:rsidR="008317BE" w:rsidRPr="008E6833">
        <w:rPr>
          <w:rFonts w:hint="eastAsia"/>
        </w:rPr>
        <w:t>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lastRenderedPageBreak/>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2C92590" w14:textId="0A8AD76D" w:rsidR="008E6833" w:rsidRPr="005638DE" w:rsidRDefault="005638DE" w:rsidP="005638DE">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p>
    <w:p w14:paraId="382C585A" w14:textId="0B06D2EF" w:rsidR="00493B38" w:rsidRDefault="00493B38" w:rsidP="00493B38">
      <w:pPr>
        <w:pStyle w:val="3"/>
        <w:spacing w:before="180" w:after="180"/>
      </w:pPr>
      <w:r>
        <w:rPr>
          <w:rFonts w:hint="eastAsia"/>
        </w:rPr>
        <w:t>4.3.4</w:t>
      </w:r>
      <w:r>
        <w:rPr>
          <w:rFonts w:hint="eastAsia"/>
        </w:rPr>
        <w:t>尾部</w:t>
      </w:r>
      <w:r>
        <w:rPr>
          <w:rFonts w:hint="eastAsia"/>
        </w:rPr>
        <w:t>GPD</w:t>
      </w:r>
      <w:r>
        <w:rPr>
          <w:rFonts w:hint="eastAsia"/>
        </w:rPr>
        <w:t>單點配適法</w:t>
      </w:r>
    </w:p>
    <w:p w14:paraId="12BBB388" w14:textId="1C1DA414" w:rsidR="00BE3F88" w:rsidRDefault="008317BE" w:rsidP="00BE3F88">
      <w:pPr>
        <w:spacing w:before="180" w:after="180"/>
        <w:ind w:firstLine="480"/>
      </w:pPr>
      <w:r w:rsidRPr="008317BE">
        <w:t>本研究提出使用</w:t>
      </w:r>
      <w:r w:rsidRPr="008317BE">
        <w:t>GPD</w:t>
      </w:r>
      <w:r>
        <w:rPr>
          <w:rFonts w:hint="eastAsia"/>
        </w:rPr>
        <w:t>之單</w:t>
      </w:r>
      <w:r w:rsidRPr="008317BE">
        <w:t>點配適法，</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lastRenderedPageBreak/>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485EE278"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w:t>
      </w:r>
      <w:r w:rsidRPr="001A6EE8">
        <w:lastRenderedPageBreak/>
        <w:t>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8A2FD0">
        <w:rPr>
          <w:rFonts w:hint="eastAsia"/>
        </w:rPr>
        <w:t>圖</w:t>
      </w:r>
      <w:r w:rsidR="008A2FD0">
        <w:rPr>
          <w:rFonts w:hint="eastAsia"/>
        </w:rPr>
        <w:t>4-</w:t>
      </w:r>
      <w:r w:rsidR="008A2FD0">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8A2FD0">
        <w:rPr>
          <w:rFonts w:hint="eastAsia"/>
        </w:rPr>
        <w:t>圖</w:t>
      </w:r>
      <w:r w:rsidR="008A2FD0">
        <w:rPr>
          <w:rFonts w:hint="eastAsia"/>
        </w:rPr>
        <w:t>4-</w:t>
      </w:r>
      <w:r w:rsidR="008A2FD0">
        <w:rPr>
          <w:noProof/>
        </w:rPr>
        <w:t>9</w:t>
      </w:r>
      <w:r w:rsidR="00D850AA">
        <w:fldChar w:fldCharType="end"/>
      </w:r>
      <w:r w:rsidR="00D850AA">
        <w:rPr>
          <w:rFonts w:hint="eastAsia"/>
        </w:rPr>
        <w:t>。</w:t>
      </w:r>
    </w:p>
    <w:p w14:paraId="6019FBDC" w14:textId="77777777" w:rsidR="005638DE" w:rsidRDefault="00A70ECC" w:rsidP="005638DE">
      <w:pPr>
        <w:pStyle w:val="aa"/>
        <w:keepNext/>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28"/>
                    <a:stretch>
                      <a:fillRect/>
                    </a:stretch>
                  </pic:blipFill>
                  <pic:spPr>
                    <a:xfrm>
                      <a:off x="0" y="0"/>
                      <a:ext cx="4680000" cy="3154487"/>
                    </a:xfrm>
                    <a:prstGeom prst="rect">
                      <a:avLst/>
                    </a:prstGeom>
                  </pic:spPr>
                </pic:pic>
              </a:graphicData>
            </a:graphic>
          </wp:inline>
        </w:drawing>
      </w:r>
    </w:p>
    <w:p w14:paraId="3D53A646" w14:textId="73F7D64B" w:rsidR="00A70ECC" w:rsidRDefault="005638DE" w:rsidP="00D850AA">
      <w:pPr>
        <w:pStyle w:val="a9"/>
        <w:spacing w:before="180" w:after="180"/>
        <w:ind w:firstLine="480"/>
      </w:pPr>
      <w:bookmarkStart w:id="24" w:name="_Ref189385976"/>
      <w:bookmarkStart w:id="25" w:name="_Ref18938596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A2FD0">
        <w:rPr>
          <w:noProof/>
        </w:rPr>
        <w:t>8</w:t>
      </w:r>
      <w:r>
        <w:fldChar w:fldCharType="end"/>
      </w:r>
      <w:bookmarkEnd w:id="2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25"/>
    </w:p>
    <w:p w14:paraId="25F0DEB5" w14:textId="77777777" w:rsidR="00D850AA" w:rsidRDefault="00A70ECC" w:rsidP="00D850AA">
      <w:pPr>
        <w:pStyle w:val="aa"/>
        <w:keepNext/>
        <w:spacing w:before="180" w:after="180"/>
      </w:pPr>
      <w:r w:rsidRPr="00A70ECC">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29"/>
                    <a:stretch>
                      <a:fillRect/>
                    </a:stretch>
                  </pic:blipFill>
                  <pic:spPr>
                    <a:xfrm>
                      <a:off x="0" y="0"/>
                      <a:ext cx="4680000" cy="3022959"/>
                    </a:xfrm>
                    <a:prstGeom prst="rect">
                      <a:avLst/>
                    </a:prstGeom>
                  </pic:spPr>
                </pic:pic>
              </a:graphicData>
            </a:graphic>
          </wp:inline>
        </w:drawing>
      </w:r>
    </w:p>
    <w:p w14:paraId="29C809D9" w14:textId="61BCB3AE" w:rsidR="00A70ECC" w:rsidRDefault="00D850AA" w:rsidP="00D850AA">
      <w:pPr>
        <w:pStyle w:val="a9"/>
        <w:spacing w:before="180" w:after="180"/>
        <w:ind w:firstLine="480"/>
      </w:pPr>
      <w:bookmarkStart w:id="26" w:name="_Ref189385978"/>
      <w:bookmarkStart w:id="27" w:name="_Ref18938596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8A2FD0">
        <w:rPr>
          <w:noProof/>
        </w:rPr>
        <w:t>9</w:t>
      </w:r>
      <w:r>
        <w:fldChar w:fldCharType="end"/>
      </w:r>
      <w:bookmarkEnd w:id="2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27"/>
    </w:p>
    <w:p w14:paraId="6A508266" w14:textId="10BCC826" w:rsidR="00E7699D" w:rsidRDefault="00E7699D" w:rsidP="00D85A59">
      <w:pPr>
        <w:pStyle w:val="2"/>
      </w:pPr>
      <w:r>
        <w:rPr>
          <w:rFonts w:hint="eastAsia"/>
        </w:rPr>
        <w:lastRenderedPageBreak/>
        <w:t>4.4</w:t>
      </w:r>
      <w:r>
        <w:rPr>
          <w:rFonts w:hint="eastAsia"/>
        </w:rPr>
        <w:t>風險中立機率密度</w:t>
      </w:r>
      <w:r w:rsidR="00110E7A">
        <w:rPr>
          <w:rFonts w:hint="eastAsia"/>
        </w:rPr>
        <w:t>函數</w:t>
      </w:r>
      <w:r>
        <w:rPr>
          <w:rFonts w:hint="eastAsia"/>
        </w:rPr>
        <w:t>之統計特徵</w:t>
      </w:r>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r>
        <w:rPr>
          <w:rFonts w:hint="eastAsia"/>
        </w:rPr>
        <w:t>4.4.1</w:t>
      </w:r>
      <w:proofErr w:type="gramStart"/>
      <w:r>
        <w:rPr>
          <w:rFonts w:hint="eastAsia"/>
        </w:rPr>
        <w:t>動差之</w:t>
      </w:r>
      <w:proofErr w:type="gramEnd"/>
      <w:r>
        <w:rPr>
          <w:rFonts w:hint="eastAsia"/>
        </w:rPr>
        <w:t>定義與意涵</w:t>
      </w:r>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r>
        <w:rPr>
          <w:rFonts w:hint="eastAsia"/>
        </w:rPr>
        <w:t>4.4.2</w:t>
      </w:r>
      <w:r>
        <w:rPr>
          <w:rFonts w:hint="eastAsia"/>
        </w:rPr>
        <w:t>風險中立機率密度函數之統計特徵量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C16AF1E" w:rsidR="00110E7A" w:rsidRPr="00110E7A" w:rsidRDefault="00110E7A" w:rsidP="00110E7A">
      <w:pPr>
        <w:spacing w:before="180" w:after="180"/>
        <w:ind w:firstLine="480"/>
      </w:pPr>
      <w:r w:rsidRPr="00110E7A">
        <w:t>平均數為第一階</w:t>
      </w:r>
      <w:proofErr w:type="gramStart"/>
      <w:r w:rsidRPr="00110E7A">
        <w:t>原始動差</w:t>
      </w:r>
      <w:proofErr w:type="gramEnd"/>
      <w:r w:rsidRPr="00110E7A">
        <w:t>，反映市場對標的資產未來價格水準之整體預期：</w:t>
      </w:r>
    </w:p>
    <w:p w14:paraId="69CA0023" w14:textId="1F562364" w:rsidR="00110E7A" w:rsidRPr="00110E7A" w:rsidRDefault="00000000" w:rsidP="00025179">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578BCA2E" w14:textId="337BEC0A" w:rsidR="00110E7A" w:rsidRDefault="00110E7A" w:rsidP="00025179">
      <w:pPr>
        <w:spacing w:before="180" w:after="180"/>
        <w:ind w:firstLine="480"/>
      </w:pPr>
      <w:r w:rsidRPr="00110E7A">
        <w:t>在風險中立定價理論下，</w:t>
      </w:r>
      <w:r w:rsidRPr="00110E7A">
        <w:t>RND</w:t>
      </w:r>
      <w:r w:rsidRPr="00110E7A">
        <w:t>之平均數應等於無風險利率折現之遠期價格，此特性提供了重要的套利限制條件。</w:t>
      </w:r>
    </w:p>
    <w:p w14:paraId="0B8FBD1A" w14:textId="486B2D5A" w:rsidR="00110E7A" w:rsidRDefault="00110E7A" w:rsidP="00110E7A">
      <w:pPr>
        <w:pStyle w:val="a5"/>
        <w:numPr>
          <w:ilvl w:val="0"/>
          <w:numId w:val="29"/>
        </w:numPr>
        <w:spacing w:before="180" w:after="180"/>
        <w:ind w:leftChars="0" w:firstLineChars="0"/>
      </w:pPr>
      <w:r>
        <w:rPr>
          <w:rFonts w:hint="eastAsia"/>
        </w:rPr>
        <w:lastRenderedPageBreak/>
        <w:t>標準差（</w:t>
      </w:r>
      <w:r>
        <w:rPr>
          <w:rFonts w:hint="eastAsia"/>
        </w:rPr>
        <w:t>Standard Deviation</w:t>
      </w:r>
      <w:r>
        <w:rPr>
          <w:rFonts w:hint="eastAsia"/>
        </w:rPr>
        <w:t>）</w:t>
      </w:r>
    </w:p>
    <w:p w14:paraId="6C65A5F9" w14:textId="38E21B4A" w:rsidR="00110E7A" w:rsidRDefault="00110E7A" w:rsidP="00110E7A">
      <w:pPr>
        <w:spacing w:before="180" w:after="180"/>
        <w:ind w:firstLine="480"/>
      </w:pPr>
      <w:r w:rsidRPr="00110E7A">
        <w:t>標準差為二階</w:t>
      </w:r>
      <w:proofErr w:type="gramStart"/>
      <w:r w:rsidRPr="00110E7A">
        <w:t>中央動差之</w:t>
      </w:r>
      <w:proofErr w:type="gramEnd"/>
      <w:r w:rsidRPr="00110E7A">
        <w:t>平方根，衡量價格分散程度：</w:t>
      </w:r>
    </w:p>
    <w:p w14:paraId="69738D5B" w14:textId="282D0C47" w:rsidR="00110E7A" w:rsidRPr="00110E7A" w:rsidRDefault="00110E7A" w:rsidP="00110E7A">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6387658F" w14:textId="335D6930" w:rsidR="00110E7A" w:rsidRDefault="008073F4" w:rsidP="00110E7A">
      <w:pPr>
        <w:spacing w:before="180" w:after="180"/>
        <w:ind w:firstLine="480"/>
      </w:pPr>
      <w:r w:rsidRPr="008073F4">
        <w:t>標準差反映市場對價格波動性之預期，其值越大表示市場參與者對未來價格走勢之不確定性越高。</w:t>
      </w:r>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22601DFF" w:rsidR="008073F4" w:rsidRDefault="008073F4" w:rsidP="008073F4">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90616F">
        <w:rPr>
          <w:rFonts w:hint="eastAsia"/>
        </w:rPr>
        <w:t>實證</w:t>
      </w:r>
      <w:r w:rsidR="0090616F" w:rsidRPr="0090616F">
        <w:t>研究</w:t>
      </w:r>
      <w:r w:rsidR="00BC0ED0">
        <w:rPr>
          <w:rFonts w:hint="eastAsia"/>
        </w:rPr>
        <w:t xml:space="preserve"> </w:t>
      </w:r>
      <w:r w:rsidR="00BC0ED0">
        <w:fldChar w:fldCharType="begin"/>
      </w:r>
      <w:r w:rsidR="00BC0ED0">
        <w:instrText xml:space="preserve"> ADDIN ZOTERO_ITEM CSL_CITATION {"citationID":"4Z8MGroi","properties":{"formattedCitation":"(Li et al., 2024)","plainCitation":"(Li et al., 2024)","noteIndex":0},"citationItems":[{"id":18,"uris":["http://zotero.org/users/16294904/items/967XFC5W"],"itemData":{"id":18,"type":"article-journal","abstract":"This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chema":"https://github.com/citation-style-language/schema/raw/master/csl-citation.json"} </w:instrText>
      </w:r>
      <w:r w:rsidR="00BC0ED0">
        <w:fldChar w:fldCharType="separate"/>
      </w:r>
      <w:r w:rsidR="00BC0ED0" w:rsidRPr="00BC0ED0">
        <w:t>(Li et al., 2024)</w:t>
      </w:r>
      <w:r w:rsidR="00BC0ED0">
        <w:fldChar w:fldCharType="end"/>
      </w:r>
      <w:r w:rsidR="00BC0ED0">
        <w:rPr>
          <w:rFonts w:hint="eastAsia"/>
        </w:rPr>
        <w:t xml:space="preserve"> </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34E45906" w:rsidR="0090616F" w:rsidRDefault="0090616F" w:rsidP="0090616F">
      <w:pPr>
        <w:spacing w:before="180" w:after="180"/>
        <w:ind w:firstLine="480"/>
      </w:pPr>
      <w:proofErr w:type="gramStart"/>
      <w:r w:rsidRPr="0090616F">
        <w:t>超額峰態為</w:t>
      </w:r>
      <w:proofErr w:type="gramEnd"/>
      <w:r w:rsidRPr="0090616F">
        <w:t>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EB8D6A7" w:rsidR="0090616F" w:rsidRDefault="0090616F" w:rsidP="0090616F">
      <w:pPr>
        <w:spacing w:before="180" w:after="180"/>
        <w:ind w:firstLine="480"/>
      </w:pPr>
      <w:r w:rsidRPr="0090616F">
        <w:t>在實務應用中，</w:t>
      </w:r>
      <w:proofErr w:type="gramStart"/>
      <w:r w:rsidRPr="0090616F">
        <w:t>超額峰態為</w:t>
      </w:r>
      <w:proofErr w:type="gramEnd"/>
      <w:r w:rsidRPr="0090616F">
        <w:t>評估市場極端風險的重要指標。當觀察到正的超額</w:t>
      </w:r>
      <w:proofErr w:type="gramStart"/>
      <w:r w:rsidRPr="0090616F">
        <w:t>峰態時</w:t>
      </w:r>
      <w:proofErr w:type="gramEnd"/>
      <w:r w:rsidRPr="0090616F">
        <w:t>，表示該分配相較於常態分配具有較為明顯</w:t>
      </w:r>
      <w:proofErr w:type="gramStart"/>
      <w:r w:rsidRPr="0090616F">
        <w:t>的肥尾特性</w:t>
      </w:r>
      <w:proofErr w:type="gramEnd"/>
      <w:r w:rsidRPr="0090616F">
        <w:t>，即極端事件發生的</w:t>
      </w:r>
      <w:r w:rsidRPr="0090616F">
        <w:lastRenderedPageBreak/>
        <w:t>機率高於常態分配的預期。</w:t>
      </w:r>
    </w:p>
    <w:p w14:paraId="38451DBB" w14:textId="3C6D990A" w:rsidR="0090616F" w:rsidRDefault="0090616F" w:rsidP="0090616F">
      <w:pPr>
        <w:pStyle w:val="3"/>
        <w:spacing w:before="180" w:after="180"/>
      </w:pPr>
      <w:r>
        <w:rPr>
          <w:rFonts w:hint="eastAsia"/>
        </w:rPr>
        <w:t>4.4.3</w:t>
      </w:r>
      <w:r>
        <w:rPr>
          <w:rFonts w:hint="eastAsia"/>
        </w:rPr>
        <w:t>統計特徵之市場意涵</w:t>
      </w:r>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107FC9C4" w:rsidR="0090616F" w:rsidRPr="0090616F" w:rsidRDefault="0090616F" w:rsidP="0090616F">
      <w:pPr>
        <w:spacing w:before="180" w:after="180"/>
        <w:ind w:firstLine="480"/>
      </w:pPr>
      <w:r w:rsidRPr="0090616F">
        <w:t>本研究中將透過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3119045" w:rsidR="00FC5EAE" w:rsidRDefault="00D85A59" w:rsidP="00D85A59">
      <w:pPr>
        <w:pStyle w:val="2"/>
      </w:pPr>
      <w:r>
        <w:rPr>
          <w:rFonts w:hint="eastAsia"/>
        </w:rPr>
        <w:t>4.</w:t>
      </w:r>
      <w:r w:rsidR="0090616F">
        <w:rPr>
          <w:rFonts w:hint="eastAsia"/>
        </w:rPr>
        <w:t>5</w:t>
      </w:r>
      <w:r>
        <w:rPr>
          <w:rFonts w:hint="eastAsia"/>
        </w:rPr>
        <w:t>實證</w:t>
      </w:r>
      <w:proofErr w:type="gramStart"/>
      <w:r>
        <w:rPr>
          <w:rFonts w:hint="eastAsia"/>
        </w:rPr>
        <w:t>迴</w:t>
      </w:r>
      <w:proofErr w:type="gramEnd"/>
      <w:r>
        <w:rPr>
          <w:rFonts w:hint="eastAsia"/>
        </w:rPr>
        <w:t>歸分析</w:t>
      </w:r>
    </w:p>
    <w:p w14:paraId="5C5AA112" w14:textId="3F32C139" w:rsidR="00E7699D" w:rsidRP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00E4307C">
        <w:rPr>
          <w:rFonts w:hint="eastAsia"/>
        </w:rPr>
        <w:t>超額</w:t>
      </w:r>
      <w:r w:rsidRPr="00E7699D">
        <w:t>峰態</w:t>
      </w:r>
      <w:proofErr w:type="gramEnd"/>
      <w:r w:rsidRPr="00E7699D">
        <w:t>（</w:t>
      </w:r>
      <w:r w:rsidR="00E4307C">
        <w:rPr>
          <w:rFonts w:hint="eastAsia"/>
        </w:rPr>
        <w:t xml:space="preserve">Excess </w:t>
      </w:r>
      <w:r w:rsidRPr="00E7699D">
        <w:t>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36764E42" w14:textId="77777777" w:rsidR="00693EEF" w:rsidRDefault="00E7699D" w:rsidP="00B50D85">
      <w:pPr>
        <w:spacing w:before="180" w:after="180"/>
        <w:ind w:firstLine="480"/>
      </w:pPr>
      <w:r w:rsidRPr="00E7699D">
        <w:t>本研究所提出之單點配</w:t>
      </w:r>
      <w:proofErr w:type="gramStart"/>
      <w:r w:rsidRPr="00E7699D">
        <w:t>適</w:t>
      </w:r>
      <w:proofErr w:type="gramEnd"/>
      <w:r w:rsidRPr="00E7699D">
        <w:t>法相較於既有文獻採用之</w:t>
      </w:r>
      <w:proofErr w:type="gramStart"/>
      <w:r w:rsidRPr="00E7699D">
        <w:t>雙點配適</w:t>
      </w:r>
      <w:proofErr w:type="gramEnd"/>
      <w:r w:rsidRPr="00E7699D">
        <w:t>法，在實務應用</w:t>
      </w:r>
      <w:r w:rsidRPr="00E7699D">
        <w:lastRenderedPageBreak/>
        <w:t>上具有計算效率之優勢。為驗證此方法之有效性，本研究將</w:t>
      </w:r>
      <w:proofErr w:type="gramStart"/>
      <w:r w:rsidRPr="00E7699D">
        <w:t>透過均方誤差</w:t>
      </w:r>
      <w:proofErr w:type="gramEnd"/>
      <w:r w:rsidRPr="00E7699D">
        <w:t>（</w:t>
      </w:r>
      <w:r w:rsidRPr="00E7699D">
        <w:t>Mean Squared Error, MSE</w:t>
      </w:r>
      <w:r w:rsidRPr="00E7699D">
        <w:t>）指標</w:t>
      </w:r>
      <w:r w:rsidR="00E4307C">
        <w:rPr>
          <w:rFonts w:hint="eastAsia"/>
        </w:rPr>
        <w:t>與模型變數顯著性</w:t>
      </w:r>
      <w:r w:rsidRPr="00E7699D">
        <w:t>，比較兩種方法所建構預測模型之準確度，以量化評估本研究所提出方法之實證效果。</w:t>
      </w:r>
    </w:p>
    <w:p w14:paraId="09D7BDDF" w14:textId="600906F0" w:rsidR="00B50D85" w:rsidRDefault="00693EEF" w:rsidP="00B50D85">
      <w:pPr>
        <w:spacing w:before="180" w:after="180"/>
        <w:ind w:firstLine="480"/>
      </w:pPr>
      <w:r w:rsidRPr="00693EEF">
        <w:t>本研究採用多層次的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0D6D4B2C" w:rsidR="00693EEF" w:rsidRDefault="00693EEF" w:rsidP="00693EEF">
      <w:pPr>
        <w:pStyle w:val="3"/>
        <w:spacing w:before="180" w:after="180"/>
      </w:pPr>
      <w:r>
        <w:rPr>
          <w:rFonts w:hint="eastAsia"/>
        </w:rPr>
        <w:t>4.5.1</w:t>
      </w: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2E51A2A3" w14:textId="712CBFA7" w:rsidR="001D79AD"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217758">
        <w:rPr>
          <w:rFonts w:hint="eastAsia"/>
        </w:rPr>
        <w:t>為平均數（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217758">
        <w:rPr>
          <w:rFonts w:hint="eastAsia"/>
        </w:rPr>
        <w:t>超額</w:t>
      </w:r>
      <w:r w:rsidR="00217758" w:rsidRPr="00E7699D">
        <w:t>峰態</w:t>
      </w:r>
      <w:proofErr w:type="gramEnd"/>
      <w:r w:rsidR="00217758" w:rsidRPr="00E7699D">
        <w:t>（</w:t>
      </w:r>
      <w:r w:rsidR="00217758" w:rsidRPr="00E7699D">
        <w:t>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）、波動率指數（</w:t>
      </w:r>
      <w:r w:rsidR="00217758" w:rsidRPr="00E7699D">
        <w:t>VIX</w:t>
      </w:r>
      <w:r w:rsidR="00217758"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p>
    <w:p w14:paraId="2A948CCB" w14:textId="0FBA72D1" w:rsidR="005D1B9E" w:rsidRDefault="005D1B9E" w:rsidP="005D1B9E">
      <w:pPr>
        <w:pStyle w:val="3"/>
        <w:spacing w:before="180" w:after="180"/>
      </w:pPr>
      <w:r>
        <w:rPr>
          <w:rFonts w:hint="eastAsia"/>
        </w:rPr>
        <w:t>4.5.2</w:t>
      </w:r>
      <w:proofErr w:type="gramStart"/>
      <w:r>
        <w:rPr>
          <w:rFonts w:hint="eastAsia"/>
        </w:rPr>
        <w:t>二</w:t>
      </w:r>
      <w:proofErr w:type="gramEnd"/>
      <w:r>
        <w:rPr>
          <w:rFonts w:hint="eastAsia"/>
        </w:rPr>
        <w:t>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考慮到偏態（</w:t>
      </w:r>
      <w:r w:rsidRPr="00850A16">
        <w:t>Skewness</w:t>
      </w:r>
      <w:r w:rsidRPr="00850A16">
        <w:t>）在選擇權定價理論中的重要性，本研究設計二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5FF847FC" w:rsidR="00850A16" w:rsidRDefault="00850A16" w:rsidP="00850A16">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w:t>
      </w:r>
      <w:proofErr w:type="gramStart"/>
      <w:r>
        <w:rPr>
          <w:rFonts w:hint="eastAsia"/>
        </w:rPr>
        <w:t>超額</w:t>
      </w:r>
      <w:r w:rsidRPr="00E7699D">
        <w:t>峰態</w:t>
      </w:r>
      <w:proofErr w:type="gramEnd"/>
      <w:r w:rsidRPr="00E7699D">
        <w:t>（</w:t>
      </w:r>
      <w:r w:rsidRPr="00E7699D">
        <w:t>Kurtosis</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w:t>
      </w:r>
      <w:r>
        <w:rPr>
          <w:rFonts w:hint="eastAsia"/>
        </w:rPr>
        <w:lastRenderedPageBreak/>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46EB8E53" w14:textId="77777777" w:rsidR="00850A16" w:rsidRDefault="00850A16" w:rsidP="00850A16">
      <w:pPr>
        <w:pStyle w:val="3"/>
        <w:spacing w:before="180" w:after="180"/>
      </w:pPr>
      <w:r>
        <w:rPr>
          <w:rFonts w:hint="eastAsia"/>
        </w:rPr>
        <w:t>4.5.3</w:t>
      </w: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w:t>
      </w:r>
    </w:p>
    <w:p w14:paraId="60FAB04D" w14:textId="34E5669F" w:rsidR="00850A16" w:rsidRDefault="00850A16" w:rsidP="00850A16">
      <w:pPr>
        <w:spacing w:before="180" w:after="180"/>
        <w:ind w:firstLine="480"/>
      </w:pPr>
      <w:proofErr w:type="gramStart"/>
      <w:r w:rsidRPr="00850A16">
        <w:t>三</w:t>
      </w:r>
      <w:proofErr w:type="gramEnd"/>
      <w:r>
        <w:rPr>
          <w:rFonts w:hint="eastAsia"/>
        </w:rPr>
        <w:t>變數</w:t>
      </w:r>
      <w:r w:rsidRPr="00850A16">
        <w:t>模型進一步納入</w:t>
      </w:r>
      <w:proofErr w:type="gramStart"/>
      <w:r>
        <w:rPr>
          <w:rFonts w:hint="eastAsia"/>
        </w:rPr>
        <w:t>超額</w:t>
      </w:r>
      <w:r w:rsidRPr="00850A16">
        <w:t>峰態</w:t>
      </w:r>
      <w:proofErr w:type="gramEnd"/>
      <w:r w:rsidRPr="00850A16">
        <w:t>（</w:t>
      </w:r>
      <w:r w:rsidRPr="00850A16">
        <w:t>Kurtosis</w:t>
      </w:r>
      <w:r w:rsidRPr="00850A16">
        <w:t>）作為固定因子，形成：</w:t>
      </w:r>
    </w:p>
    <w:p w14:paraId="62BC3D0F" w14:textId="7212AF31"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22AE0708" w:rsidR="00850A16" w:rsidRDefault="00850A16" w:rsidP="00850A16">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55BFE34A" w14:textId="4B5093E2" w:rsidR="00850A16" w:rsidRDefault="00850A16" w:rsidP="00850A16">
      <w:pPr>
        <w:pStyle w:val="3"/>
        <w:spacing w:before="180" w:after="180"/>
      </w:pPr>
      <w:r>
        <w:rPr>
          <w:rFonts w:hint="eastAsia"/>
        </w:rPr>
        <w:t>4.5.4</w:t>
      </w:r>
      <w:proofErr w:type="gramStart"/>
      <w:r>
        <w:rPr>
          <w:rFonts w:hint="eastAsia"/>
        </w:rPr>
        <w:t>四</w:t>
      </w:r>
      <w:proofErr w:type="gramEnd"/>
      <w:r>
        <w:rPr>
          <w:rFonts w:hint="eastAsia"/>
        </w:rPr>
        <w:t>變數</w:t>
      </w:r>
      <w:proofErr w:type="gramStart"/>
      <w:r>
        <w:rPr>
          <w:rFonts w:hint="eastAsia"/>
        </w:rPr>
        <w:t>迴</w:t>
      </w:r>
      <w:proofErr w:type="gramEnd"/>
      <w:r>
        <w:rPr>
          <w:rFonts w:hint="eastAsia"/>
        </w:rPr>
        <w:t>歸模型</w:t>
      </w:r>
    </w:p>
    <w:p w14:paraId="615CCE2F" w14:textId="5C981749" w:rsidR="00850A16" w:rsidRPr="00850A16" w:rsidRDefault="00C47024" w:rsidP="00850A16">
      <w:pPr>
        <w:spacing w:before="180" w:after="180"/>
        <w:ind w:firstLine="480"/>
      </w:pPr>
      <w:r w:rsidRPr="00C47024">
        <w:t>在三</w:t>
      </w:r>
      <w:r>
        <w:rPr>
          <w:rFonts w:hint="eastAsia"/>
        </w:rPr>
        <w:t>變數</w:t>
      </w:r>
      <w:r w:rsidRPr="00C47024">
        <w:t>模型的基礎上，四</w:t>
      </w:r>
      <w:r>
        <w:rPr>
          <w:rFonts w:hint="eastAsia"/>
        </w:rPr>
        <w:t>變數</w:t>
      </w:r>
      <w:r w:rsidRPr="00C47024">
        <w:t>模型加入標準差（</w:t>
      </w:r>
      <w:r w:rsidRPr="00C47024">
        <w:t>Std</w:t>
      </w:r>
      <w:r w:rsidRPr="00C47024">
        <w:t>）變數，完整模型如下：</w:t>
      </w:r>
    </w:p>
    <w:p w14:paraId="375952B6" w14:textId="69729608" w:rsidR="00C47024" w:rsidRPr="00850A16"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9507B47" w:rsidR="00850A16" w:rsidRPr="00C47024" w:rsidRDefault="00C47024" w:rsidP="00F66567">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3DFBC8BE" w14:textId="00065194" w:rsidR="00404225" w:rsidRDefault="00404225">
      <w:pPr>
        <w:widowControl/>
        <w:spacing w:before="180" w:after="180" w:line="240" w:lineRule="auto"/>
        <w:ind w:firstLineChars="0" w:firstLine="0"/>
        <w:jc w:val="left"/>
      </w:pPr>
      <w:r>
        <w:br w:type="page"/>
      </w:r>
    </w:p>
    <w:p w14:paraId="3045C9AF" w14:textId="42D58700" w:rsidR="0073610D" w:rsidRDefault="0073610D" w:rsidP="0073610D">
      <w:pPr>
        <w:pStyle w:val="1"/>
        <w:spacing w:before="180" w:after="180"/>
      </w:pPr>
      <w:bookmarkStart w:id="28" w:name="_Toc182815181"/>
      <w:r>
        <w:rPr>
          <w:rFonts w:hint="eastAsia"/>
        </w:rPr>
        <w:lastRenderedPageBreak/>
        <w:t>第五章、</w:t>
      </w:r>
      <w:bookmarkEnd w:id="28"/>
      <w:r w:rsidR="00404225">
        <w:rPr>
          <w:rFonts w:hint="eastAsia"/>
        </w:rPr>
        <w:t>實證結果分析</w:t>
      </w:r>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w:t>
      </w:r>
      <w:proofErr w:type="gramStart"/>
      <w:r w:rsidRPr="00642602">
        <w:t>雙點配適</w:t>
      </w:r>
      <w:proofErr w:type="gramEnd"/>
      <w:r w:rsidRPr="00642602">
        <w:t>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w:t>
      </w:r>
      <w:proofErr w:type="gramStart"/>
      <w:r w:rsidRPr="00642602">
        <w:t>兩種配適方法</w:t>
      </w:r>
      <w:proofErr w:type="gramEnd"/>
      <w:r w:rsidRPr="00642602">
        <w:t>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w:t>
      </w:r>
      <w:proofErr w:type="gramStart"/>
      <w:r w:rsidRPr="00642602">
        <w:t>特</w:t>
      </w:r>
      <w:proofErr w:type="gramEnd"/>
      <w:r w:rsidRPr="00642602">
        <w:t>幣選擇權商品進行實證分析，主要基於以下原因。比</w:t>
      </w:r>
      <w:proofErr w:type="gramStart"/>
      <w:r w:rsidRPr="00642602">
        <w:t>特</w:t>
      </w:r>
      <w:proofErr w:type="gramEnd"/>
      <w:r w:rsidRPr="00642602">
        <w:t>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w:t>
      </w:r>
      <w:proofErr w:type="gramStart"/>
      <w:r w:rsidRPr="00642602">
        <w:t>特</w:t>
      </w:r>
      <w:proofErr w:type="gramEnd"/>
      <w:r w:rsidRPr="00642602">
        <w:t>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r>
        <w:rPr>
          <w:rFonts w:hint="eastAsia"/>
        </w:rPr>
        <w:t>5.1</w:t>
      </w:r>
      <w:r>
        <w:rPr>
          <w:rFonts w:hint="eastAsia"/>
        </w:rPr>
        <w:t>實證樣本擬合效果分析</w:t>
      </w:r>
    </w:p>
    <w:p w14:paraId="47FC51A0" w14:textId="716C6AE8" w:rsidR="008771A3" w:rsidRDefault="008771A3" w:rsidP="008771A3">
      <w:pPr>
        <w:pStyle w:val="3"/>
        <w:spacing w:before="180" w:after="180"/>
      </w:pPr>
      <w:r>
        <w:rPr>
          <w:rFonts w:hint="eastAsia"/>
        </w:rPr>
        <w:t>5.1.1</w:t>
      </w:r>
      <w:r>
        <w:rPr>
          <w:rFonts w:hint="eastAsia"/>
        </w:rPr>
        <w:t>單點配適法與</w:t>
      </w:r>
      <w:proofErr w:type="gramStart"/>
      <w:r>
        <w:rPr>
          <w:rFonts w:hint="eastAsia"/>
        </w:rPr>
        <w:t>雙點配適</w:t>
      </w:r>
      <w:proofErr w:type="gramEnd"/>
      <w:r>
        <w:rPr>
          <w:rFonts w:hint="eastAsia"/>
        </w:rPr>
        <w:t>法之比較</w:t>
      </w:r>
    </w:p>
    <w:p w14:paraId="7A753335" w14:textId="7AA5E33C" w:rsidR="008F6801" w:rsidRDefault="008771A3" w:rsidP="008F6801">
      <w:pPr>
        <w:spacing w:before="180" w:after="180"/>
        <w:ind w:firstLine="480"/>
        <w:rPr>
          <w:rFonts w:hint="eastAsia"/>
        </w:rPr>
      </w:pPr>
      <w:r>
        <w:rPr>
          <w:rFonts w:hint="eastAsia"/>
        </w:rPr>
        <w:t>為進一步比較單點配適法與</w:t>
      </w:r>
      <w:proofErr w:type="gramStart"/>
      <w:r>
        <w:rPr>
          <w:rFonts w:hint="eastAsia"/>
        </w:rPr>
        <w:t>雙點配適</w:t>
      </w:r>
      <w:proofErr w:type="gramEnd"/>
      <w:r>
        <w:rPr>
          <w:rFonts w:hint="eastAsia"/>
        </w:rPr>
        <w:t>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rPr>
          <w:rFonts w:hint="eastAsia"/>
        </w:rPr>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0"/>
                    <a:stretch>
                      <a:fillRect/>
                    </a:stretch>
                  </pic:blipFill>
                  <pic:spPr>
                    <a:xfrm>
                      <a:off x="0" y="0"/>
                      <a:ext cx="5400040" cy="2804160"/>
                    </a:xfrm>
                    <a:prstGeom prst="rect">
                      <a:avLst/>
                    </a:prstGeom>
                  </pic:spPr>
                </pic:pic>
              </a:graphicData>
            </a:graphic>
          </wp:inline>
        </w:drawing>
      </w:r>
    </w:p>
    <w:p w14:paraId="6BC7CC57" w14:textId="36A3576A" w:rsidR="008771A3" w:rsidRDefault="008771A3" w:rsidP="002406B3">
      <w:pPr>
        <w:pStyle w:val="a9"/>
        <w:spacing w:before="180" w:after="180"/>
        <w:rPr>
          <w:rFonts w:hint="eastAsia"/>
        </w:rPr>
      </w:pPr>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8A2FD0">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proofErr w:type="gramEnd"/>
    </w:p>
    <w:p w14:paraId="68F4F404" w14:textId="5438D957" w:rsidR="008771A3" w:rsidRDefault="008771A3" w:rsidP="008771A3">
      <w:pPr>
        <w:spacing w:before="180" w:after="180"/>
        <w:ind w:firstLine="480"/>
      </w:pPr>
      <w:r>
        <w:rPr>
          <w:rFonts w:hint="eastAsia"/>
        </w:rPr>
        <w:t>觀察圖中左側之單點配適法擬合結果可知，其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t>反觀右側之</w:t>
      </w:r>
      <w:proofErr w:type="gramStart"/>
      <w:r>
        <w:rPr>
          <w:rFonts w:hint="eastAsia"/>
        </w:rPr>
        <w:t>雙點配適</w:t>
      </w:r>
      <w:proofErr w:type="gramEnd"/>
      <w:r>
        <w:rPr>
          <w:rFonts w:hint="eastAsia"/>
        </w:rPr>
        <w:t>法擬合結果，雖然在大多數情況下亦能產生合理之擬合曲線，惟在某些市場情境下可能出現擬合失敗或曲線不連續之情形。究其原因，主要係因</w:t>
      </w:r>
      <w:proofErr w:type="gramStart"/>
      <w:r>
        <w:rPr>
          <w:rFonts w:hint="eastAsia"/>
        </w:rPr>
        <w:t>雙點配適法需</w:t>
      </w:r>
      <w:proofErr w:type="gramEnd"/>
      <w:r>
        <w:rPr>
          <w:rFonts w:hint="eastAsia"/>
        </w:rPr>
        <w:t>同時滿足兩個接合點之連續性條件，當市場波動劇烈或價格分布極度</w:t>
      </w:r>
      <w:proofErr w:type="gramStart"/>
      <w:r>
        <w:rPr>
          <w:rFonts w:hint="eastAsia"/>
        </w:rPr>
        <w:t>偏斜時</w:t>
      </w:r>
      <w:proofErr w:type="gramEnd"/>
      <w:r>
        <w:rPr>
          <w:rFonts w:hint="eastAsia"/>
        </w:rPr>
        <w:t>，較難找到同時滿足雙重條件之參數組合，進而影響擬合結果之品質。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w:t>
      </w:r>
      <w:proofErr w:type="gramStart"/>
      <w:r>
        <w:rPr>
          <w:rFonts w:hint="eastAsia"/>
        </w:rPr>
        <w:t>再者，</w:t>
      </w:r>
      <w:proofErr w:type="gramEnd"/>
      <w:r>
        <w:rPr>
          <w:rFonts w:hint="eastAsia"/>
        </w:rPr>
        <w:t>單點配適法之擬合結果較為穩定，有助於後續統計特徵值之計算與分析。基於前述優勢，本研究認為在建構比</w:t>
      </w:r>
      <w:proofErr w:type="gramStart"/>
      <w:r>
        <w:rPr>
          <w:rFonts w:hint="eastAsia"/>
        </w:rPr>
        <w:t>特</w:t>
      </w:r>
      <w:proofErr w:type="gramEnd"/>
      <w:r>
        <w:rPr>
          <w:rFonts w:hint="eastAsia"/>
        </w:rPr>
        <w:t>幣選擇權之風險中立機率密度函數時，單點配適法</w:t>
      </w:r>
      <w:proofErr w:type="gramStart"/>
      <w:r>
        <w:rPr>
          <w:rFonts w:hint="eastAsia"/>
        </w:rPr>
        <w:t>較雙點配適</w:t>
      </w:r>
      <w:proofErr w:type="gramEnd"/>
      <w:r>
        <w:rPr>
          <w:rFonts w:hint="eastAsia"/>
        </w:rPr>
        <w:t>法更具實用價值。</w:t>
      </w:r>
    </w:p>
    <w:p w14:paraId="2E4DE5C4" w14:textId="24AE00EB" w:rsidR="00642602" w:rsidRDefault="00642602" w:rsidP="00642602">
      <w:pPr>
        <w:pStyle w:val="3"/>
        <w:spacing w:before="180" w:after="180"/>
      </w:pPr>
      <w:r>
        <w:rPr>
          <w:rFonts w:hint="eastAsia"/>
        </w:rPr>
        <w:lastRenderedPageBreak/>
        <w:t>5.1.2</w:t>
      </w:r>
      <w:r>
        <w:rPr>
          <w:rFonts w:hint="eastAsia"/>
        </w:rPr>
        <w:t>計算效率之實證比較</w:t>
      </w:r>
    </w:p>
    <w:p w14:paraId="1523A34C" w14:textId="363A1408" w:rsidR="00642602" w:rsidRDefault="00642602" w:rsidP="00642602">
      <w:pPr>
        <w:spacing w:before="180" w:after="180"/>
        <w:ind w:firstLine="480"/>
      </w:pPr>
      <w:r>
        <w:rPr>
          <w:rFonts w:hint="eastAsia"/>
        </w:rPr>
        <w:t>為評估單點配適法與</w:t>
      </w:r>
      <w:proofErr w:type="gramStart"/>
      <w:r>
        <w:rPr>
          <w:rFonts w:hint="eastAsia"/>
        </w:rPr>
        <w:t>雙點配適</w:t>
      </w:r>
      <w:proofErr w:type="gramEnd"/>
      <w:r>
        <w:rPr>
          <w:rFonts w:hint="eastAsia"/>
        </w:rPr>
        <w:t>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w:t>
      </w:r>
      <w:proofErr w:type="gramStart"/>
      <w:r>
        <w:rPr>
          <w:rFonts w:hint="eastAsia"/>
        </w:rPr>
        <w:t>週</w:t>
      </w:r>
      <w:proofErr w:type="gramEnd"/>
      <w:r>
        <w:rPr>
          <w:rFonts w:hint="eastAsia"/>
        </w:rPr>
        <w:t>報酬的風險中立機率密度函數（</w:t>
      </w:r>
      <w:r>
        <w:rPr>
          <w:rFonts w:hint="eastAsia"/>
        </w:rPr>
        <w:t>RND</w:t>
      </w:r>
      <w:r>
        <w:rPr>
          <w:rFonts w:hint="eastAsia"/>
        </w:rPr>
        <w:t>），並以</w:t>
      </w:r>
      <w:r>
        <w:rPr>
          <w:rFonts w:hint="eastAsia"/>
        </w:rPr>
        <w:t>GPD</w:t>
      </w:r>
      <w:r>
        <w:rPr>
          <w:rFonts w:hint="eastAsia"/>
        </w:rPr>
        <w:t>分配進行</w:t>
      </w:r>
      <w:proofErr w:type="gramStart"/>
      <w:r>
        <w:rPr>
          <w:rFonts w:hint="eastAsia"/>
        </w:rPr>
        <w:t>尾部配適</w:t>
      </w:r>
      <w:proofErr w:type="gramEnd"/>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8A2FD0">
        <w:rPr>
          <w:rFonts w:hint="eastAsia"/>
        </w:rPr>
        <w:t>表</w:t>
      </w:r>
      <w:r w:rsidR="008A2FD0">
        <w:rPr>
          <w:rFonts w:hint="eastAsia"/>
        </w:rPr>
        <w:t>5-</w:t>
      </w:r>
      <w:r w:rsidR="008A2FD0">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w:t>
      </w:r>
      <w:proofErr w:type="gramStart"/>
      <w:r>
        <w:rPr>
          <w:rFonts w:hint="eastAsia"/>
        </w:rPr>
        <w:t>雙點配適</w:t>
      </w:r>
      <w:proofErr w:type="gramEnd"/>
      <w:r>
        <w:rPr>
          <w:rFonts w:hint="eastAsia"/>
        </w:rPr>
        <w:t>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w:t>
      </w:r>
      <w:proofErr w:type="gramStart"/>
      <w:r>
        <w:rPr>
          <w:rFonts w:hint="eastAsia"/>
        </w:rPr>
        <w:t>較雙點配適</w:t>
      </w:r>
      <w:proofErr w:type="gramEnd"/>
      <w:r>
        <w:rPr>
          <w:rFonts w:hint="eastAsia"/>
        </w:rPr>
        <w:t>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w:t>
      </w:r>
      <w:proofErr w:type="gramStart"/>
      <w:r>
        <w:rPr>
          <w:rFonts w:hint="eastAsia"/>
        </w:rPr>
        <w:t>雙點配適</w:t>
      </w:r>
      <w:proofErr w:type="gramEnd"/>
      <w:r>
        <w:rPr>
          <w:rFonts w:hint="eastAsia"/>
        </w:rPr>
        <w:t>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w:t>
      </w:r>
      <w:proofErr w:type="gramStart"/>
      <w:r>
        <w:rPr>
          <w:rFonts w:hint="eastAsia"/>
        </w:rPr>
        <w:t>雙點配適</w:t>
      </w:r>
      <w:proofErr w:type="gramEnd"/>
      <w:r>
        <w:rPr>
          <w:rFonts w:hint="eastAsia"/>
        </w:rPr>
        <w:t>法。單點配適法的執行時間標準差較小，顯示其運算效能較為一致，這項特性在進行大規模實證分析時特別重要，有助於提升研究效率並降低運算資源的浪費。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4A2B632E" w14:textId="34F02533" w:rsidR="007901DC" w:rsidRDefault="008771A3" w:rsidP="002406B3">
      <w:pPr>
        <w:spacing w:before="180" w:after="180"/>
        <w:ind w:firstLine="480"/>
        <w:rPr>
          <w:rFonts w:hint="eastAsia"/>
        </w:rPr>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w:t>
      </w:r>
      <w:proofErr w:type="gramStart"/>
      <w:r>
        <w:rPr>
          <w:rFonts w:hint="eastAsia"/>
        </w:rPr>
        <w:t>兩種配適方法</w:t>
      </w:r>
      <w:proofErr w:type="gramEnd"/>
      <w:r>
        <w:rPr>
          <w:rFonts w:hint="eastAsia"/>
        </w:rPr>
        <w:t>在不同到期期間下之預測效果。</w:t>
      </w:r>
    </w:p>
    <w:p w14:paraId="3BC81B63" w14:textId="1E70F379" w:rsidR="002406B3" w:rsidRPr="002406B3" w:rsidRDefault="002406B3" w:rsidP="002406B3">
      <w:pPr>
        <w:pStyle w:val="a9"/>
        <w:keepNext/>
        <w:spacing w:before="180" w:after="180"/>
        <w:rPr>
          <w:rFonts w:hint="eastAsia"/>
        </w:rPr>
      </w:pPr>
      <w:bookmarkStart w:id="29" w:name="_Ref190094375"/>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8A2FD0">
        <w:rPr>
          <w:noProof/>
        </w:rPr>
        <w:t>1</w:t>
      </w:r>
      <w:r>
        <w:fldChar w:fldCharType="end"/>
      </w:r>
      <w:bookmarkEnd w:id="29"/>
      <w:r>
        <w:rPr>
          <w:rFonts w:hint="eastAsia"/>
        </w:rPr>
        <w:t>：比</w:t>
      </w:r>
      <w:proofErr w:type="gramStart"/>
      <w:r>
        <w:rPr>
          <w:rFonts w:hint="eastAsia"/>
        </w:rPr>
        <w:t>特</w:t>
      </w:r>
      <w:proofErr w:type="gramEnd"/>
      <w:r>
        <w:rPr>
          <w:rFonts w:hint="eastAsia"/>
        </w:rPr>
        <w:t>幣選擇權</w:t>
      </w:r>
      <w:r>
        <w:rPr>
          <w:rFonts w:hint="eastAsia"/>
        </w:rPr>
        <w:t>GPD</w:t>
      </w:r>
      <w:proofErr w:type="gramStart"/>
      <w:r>
        <w:rPr>
          <w:rFonts w:hint="eastAsia"/>
        </w:rPr>
        <w:t>尾部配適計算</w:t>
      </w:r>
      <w:proofErr w:type="gramEnd"/>
      <w:r>
        <w:rPr>
          <w:rFonts w:hint="eastAsia"/>
        </w:rPr>
        <w:t>效率比較</w:t>
      </w:r>
      <w:r>
        <w:br/>
      </w:r>
      <w:proofErr w:type="gramStart"/>
      <w:r>
        <w:rPr>
          <w:rFonts w:hint="eastAsia"/>
        </w:rPr>
        <w:lastRenderedPageBreak/>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proofErr w:type="gramEnd"/>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9"/>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9"/>
              <w:rPr>
                <w:rFonts w:hint="eastAsia"/>
              </w:rPr>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9"/>
              <w:rPr>
                <w:rFonts w:hint="eastAsia"/>
              </w:rPr>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9"/>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9"/>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9"/>
              <w:rPr>
                <w:rFonts w:hint="eastAsia"/>
              </w:rPr>
            </w:pPr>
            <w:r w:rsidRPr="002406B3">
              <w:rPr>
                <w:rFonts w:hint="eastAsia"/>
              </w:rPr>
              <w:t>每次生成</w:t>
            </w:r>
            <w:r w:rsidRPr="002406B3">
              <w:rPr>
                <w:rFonts w:hint="eastAsia"/>
              </w:rPr>
              <w:t>10</w:t>
            </w:r>
            <w:r w:rsidRPr="002406B3">
              <w:rPr>
                <w:rFonts w:hint="eastAsia"/>
              </w:rPr>
              <w:t>個</w:t>
            </w:r>
            <w:proofErr w:type="gramStart"/>
            <w:r w:rsidRPr="002406B3">
              <w:rPr>
                <w:rFonts w:hint="eastAsia"/>
              </w:rPr>
              <w:t>週</w:t>
            </w:r>
            <w:proofErr w:type="gramEnd"/>
            <w:r w:rsidRPr="002406B3">
              <w:rPr>
                <w:rFonts w:hint="eastAsia"/>
              </w:rPr>
              <w:t>報酬的</w:t>
            </w:r>
            <w:r w:rsidRPr="002406B3">
              <w:rPr>
                <w:rFonts w:hint="eastAsia"/>
              </w:rPr>
              <w:t>RND</w:t>
            </w:r>
            <w:r w:rsidRPr="002406B3">
              <w:rPr>
                <w:rFonts w:hint="eastAsia"/>
              </w:rPr>
              <w:t>，並以</w:t>
            </w:r>
            <w:r w:rsidRPr="002406B3">
              <w:rPr>
                <w:rFonts w:hint="eastAsia"/>
              </w:rPr>
              <w:t>GPD</w:t>
            </w:r>
            <w:proofErr w:type="gramStart"/>
            <w:r w:rsidRPr="002406B3">
              <w:rPr>
                <w:rFonts w:hint="eastAsia"/>
              </w:rPr>
              <w:t>分布配適尾部</w:t>
            </w:r>
            <w:proofErr w:type="gramEnd"/>
            <w:r w:rsidRPr="002406B3">
              <w:rPr>
                <w:rFonts w:hint="eastAsia"/>
              </w:rPr>
              <w:t>。</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9"/>
              <w:jc w:val="both"/>
              <w:rPr>
                <w:rFonts w:hint="eastAsia"/>
              </w:rPr>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9"/>
              <w:rPr>
                <w:rFonts w:hint="eastAsia"/>
              </w:rPr>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9"/>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9"/>
              <w:rPr>
                <w:rFonts w:hint="eastAsia"/>
              </w:rPr>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9"/>
              <w:rPr>
                <w:rFonts w:hint="eastAsia"/>
              </w:rPr>
            </w:pPr>
            <w:proofErr w:type="gramStart"/>
            <w:r w:rsidRPr="002406B3">
              <w:rPr>
                <w:rFonts w:hint="eastAsia"/>
              </w:rPr>
              <w:t>雙點配適</w:t>
            </w:r>
            <w:proofErr w:type="gramEnd"/>
            <w:r w:rsidRPr="002406B3">
              <w:rPr>
                <w:rFonts w:hint="eastAsia"/>
              </w:rPr>
              <w:t>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9"/>
              <w:jc w:val="right"/>
              <w:rPr>
                <w:rFonts w:hint="eastAsia"/>
              </w:rPr>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9"/>
              <w:rPr>
                <w:rFonts w:hint="eastAsia"/>
              </w:rPr>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9"/>
              <w:jc w:val="right"/>
              <w:rPr>
                <w:rFonts w:hint="eastAsia"/>
              </w:rPr>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9"/>
              <w:rPr>
                <w:rFonts w:hint="eastAsia"/>
              </w:rPr>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9"/>
              <w:jc w:val="right"/>
              <w:rPr>
                <w:rFonts w:hint="eastAsia"/>
              </w:rPr>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9"/>
              <w:rPr>
                <w:rFonts w:hint="eastAsia"/>
              </w:rPr>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9"/>
              <w:jc w:val="right"/>
              <w:rPr>
                <w:rFonts w:hint="eastAsia"/>
              </w:rPr>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9"/>
              <w:rPr>
                <w:rFonts w:hint="eastAsia"/>
              </w:rPr>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9"/>
              <w:jc w:val="right"/>
              <w:rPr>
                <w:rFonts w:hint="eastAsia"/>
              </w:rPr>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9"/>
              <w:rPr>
                <w:rFonts w:hint="eastAsia"/>
              </w:rPr>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9"/>
              <w:jc w:val="right"/>
              <w:rPr>
                <w:rFonts w:hint="eastAsia"/>
              </w:rPr>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9"/>
              <w:rPr>
                <w:rFonts w:hint="eastAsia"/>
              </w:rPr>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9"/>
              <w:jc w:val="right"/>
              <w:rPr>
                <w:rFonts w:hint="eastAsia"/>
              </w:rPr>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9"/>
              <w:rPr>
                <w:rFonts w:hint="eastAsia"/>
              </w:rPr>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9"/>
              <w:jc w:val="right"/>
              <w:rPr>
                <w:rFonts w:hint="eastAsia"/>
              </w:rPr>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9"/>
              <w:rPr>
                <w:rFonts w:hint="eastAsia"/>
              </w:rPr>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9"/>
              <w:jc w:val="right"/>
              <w:rPr>
                <w:rFonts w:hint="eastAsia"/>
              </w:rPr>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9"/>
              <w:rPr>
                <w:rFonts w:hint="eastAsia"/>
              </w:rPr>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9"/>
              <w:jc w:val="right"/>
              <w:rPr>
                <w:rFonts w:hint="eastAsia"/>
              </w:rPr>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9"/>
              <w:rPr>
                <w:rFonts w:hint="eastAsia"/>
              </w:rPr>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9"/>
              <w:jc w:val="right"/>
              <w:rPr>
                <w:rFonts w:hint="eastAsia"/>
              </w:rPr>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9"/>
              <w:rPr>
                <w:rFonts w:hint="eastAsia"/>
              </w:rPr>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9"/>
              <w:jc w:val="right"/>
              <w:rPr>
                <w:rFonts w:hint="eastAsia"/>
              </w:rPr>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9"/>
              <w:rPr>
                <w:rFonts w:hint="eastAsia"/>
              </w:rPr>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9"/>
              <w:jc w:val="right"/>
              <w:rPr>
                <w:rFonts w:hint="eastAsia"/>
              </w:rPr>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9"/>
              <w:rPr>
                <w:rFonts w:hint="eastAsia"/>
              </w:rPr>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9"/>
              <w:jc w:val="right"/>
              <w:rPr>
                <w:rFonts w:hint="eastAsia"/>
              </w:rPr>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9"/>
              <w:rPr>
                <w:rFonts w:hint="eastAsia"/>
              </w:rPr>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9"/>
              <w:jc w:val="right"/>
              <w:rPr>
                <w:rFonts w:hint="eastAsia"/>
              </w:rPr>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9"/>
              <w:rPr>
                <w:rFonts w:hint="eastAsia"/>
              </w:rPr>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9"/>
              <w:jc w:val="right"/>
              <w:rPr>
                <w:rFonts w:hint="eastAsia"/>
              </w:rPr>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9"/>
              <w:rPr>
                <w:rFonts w:hint="eastAsia"/>
              </w:rPr>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9"/>
              <w:jc w:val="right"/>
              <w:rPr>
                <w:rFonts w:hint="eastAsia"/>
              </w:rPr>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9"/>
              <w:rPr>
                <w:rFonts w:hint="eastAsia"/>
              </w:rPr>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9"/>
              <w:jc w:val="right"/>
              <w:rPr>
                <w:rFonts w:hint="eastAsia"/>
              </w:rPr>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9"/>
              <w:rPr>
                <w:rFonts w:hint="eastAsia"/>
              </w:rPr>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9"/>
              <w:jc w:val="right"/>
              <w:rPr>
                <w:rFonts w:hint="eastAsia"/>
              </w:rPr>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9"/>
              <w:rPr>
                <w:rFonts w:hint="eastAsia"/>
              </w:rPr>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9"/>
              <w:jc w:val="right"/>
              <w:rPr>
                <w:rFonts w:hint="eastAsia"/>
              </w:rPr>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9"/>
              <w:rPr>
                <w:rFonts w:hint="eastAsia"/>
              </w:rPr>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9"/>
              <w:jc w:val="right"/>
              <w:rPr>
                <w:rFonts w:hint="eastAsia"/>
              </w:rPr>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9"/>
              <w:rPr>
                <w:rFonts w:hint="eastAsia"/>
              </w:rPr>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9"/>
              <w:jc w:val="right"/>
              <w:rPr>
                <w:rFonts w:hint="eastAsia"/>
              </w:rPr>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9"/>
              <w:rPr>
                <w:rFonts w:hint="eastAsia"/>
              </w:rPr>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9"/>
              <w:jc w:val="right"/>
              <w:rPr>
                <w:rFonts w:hint="eastAsia"/>
              </w:rPr>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9"/>
              <w:rPr>
                <w:rFonts w:hint="eastAsia"/>
              </w:rPr>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9"/>
              <w:jc w:val="right"/>
              <w:rPr>
                <w:rFonts w:hint="eastAsia"/>
              </w:rPr>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9"/>
              <w:rPr>
                <w:rFonts w:hint="eastAsia"/>
              </w:rPr>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9"/>
              <w:jc w:val="right"/>
              <w:rPr>
                <w:rFonts w:hint="eastAsia"/>
              </w:rPr>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9"/>
              <w:rPr>
                <w:rFonts w:hint="eastAsia"/>
              </w:rPr>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9"/>
              <w:jc w:val="right"/>
              <w:rPr>
                <w:rFonts w:hint="eastAsia"/>
              </w:rPr>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9"/>
              <w:rPr>
                <w:rFonts w:hint="eastAsia"/>
              </w:rPr>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9"/>
              <w:jc w:val="right"/>
              <w:rPr>
                <w:rFonts w:hint="eastAsia"/>
              </w:rPr>
            </w:pPr>
            <w:r w:rsidRPr="002406B3">
              <w:rPr>
                <w:rFonts w:hint="eastAsia"/>
              </w:rPr>
              <w:t>347.95</w:t>
            </w:r>
          </w:p>
        </w:tc>
      </w:tr>
    </w:tbl>
    <w:p w14:paraId="3FBDDF6C" w14:textId="77777777" w:rsidR="002406B3" w:rsidRPr="008771A3" w:rsidRDefault="002406B3" w:rsidP="002406B3">
      <w:pPr>
        <w:spacing w:before="180" w:after="180"/>
        <w:ind w:firstLine="480"/>
        <w:rPr>
          <w:rFonts w:hint="eastAsia"/>
        </w:rPr>
      </w:pPr>
    </w:p>
    <w:p w14:paraId="24F56641" w14:textId="032B50F8" w:rsidR="00D92D2A" w:rsidRPr="00F008C1" w:rsidRDefault="007942E1" w:rsidP="00F008C1">
      <w:pPr>
        <w:pStyle w:val="2"/>
      </w:pPr>
      <w:r>
        <w:rPr>
          <w:rFonts w:hint="eastAsia"/>
        </w:rPr>
        <w:t>5.</w:t>
      </w:r>
      <w:r w:rsidR="008771A3">
        <w:rPr>
          <w:rFonts w:hint="eastAsia"/>
        </w:rPr>
        <w:t>2</w:t>
      </w:r>
      <w:r w:rsidR="00F008C1">
        <w:rPr>
          <w:rFonts w:hint="eastAsia"/>
        </w:rPr>
        <w:t>距離到期日</w:t>
      </w:r>
      <w:r w:rsidR="00F008C1">
        <w:rPr>
          <w:rFonts w:hint="eastAsia"/>
        </w:rPr>
        <w:t>1</w:t>
      </w:r>
      <w:r w:rsidR="00F008C1">
        <w:rPr>
          <w:rFonts w:hint="eastAsia"/>
        </w:rPr>
        <w:t>天之商品實證</w:t>
      </w:r>
      <w:proofErr w:type="gramStart"/>
      <w:r w:rsidR="00F008C1">
        <w:rPr>
          <w:rFonts w:hint="eastAsia"/>
        </w:rPr>
        <w:t>迴</w:t>
      </w:r>
      <w:proofErr w:type="gramEnd"/>
      <w:r w:rsidR="00F008C1">
        <w:rPr>
          <w:rFonts w:hint="eastAsia"/>
        </w:rPr>
        <w:t>歸分析</w:t>
      </w:r>
    </w:p>
    <w:p w14:paraId="098B8146" w14:textId="1C04F3F0" w:rsidR="00F008C1" w:rsidRDefault="00F008C1" w:rsidP="00F008C1">
      <w:pPr>
        <w:pStyle w:val="3"/>
        <w:spacing w:before="180" w:after="180"/>
      </w:pPr>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p>
    <w:p w14:paraId="58A40779" w14:textId="3FDED6AE"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8A2FD0">
        <w:rPr>
          <w:rFonts w:hint="eastAsia"/>
        </w:rPr>
        <w:t>表</w:t>
      </w:r>
      <w:r w:rsidR="008A2FD0">
        <w:rPr>
          <w:rFonts w:hint="eastAsia"/>
        </w:rPr>
        <w:t>5-</w:t>
      </w:r>
      <w:r w:rsidR="008A2FD0">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D54F57">
        <w:rPr>
          <w:rFonts w:hint="eastAsia"/>
        </w:rPr>
        <w:t>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31EDC613" w:rsidR="008F5CEB" w:rsidRDefault="008F5CEB" w:rsidP="008F5CEB">
      <w:pPr>
        <w:pStyle w:val="a9"/>
        <w:keepNext/>
        <w:spacing w:before="180" w:after="180"/>
      </w:pPr>
      <w:bookmarkStart w:id="30" w:name="_Ref189445652"/>
      <w:bookmarkStart w:id="31" w:name="_Ref189445655"/>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A2FD0">
        <w:rPr>
          <w:noProof/>
        </w:rPr>
        <w:t>2</w:t>
      </w:r>
      <w:r w:rsidR="002406B3">
        <w:fldChar w:fldCharType="end"/>
      </w:r>
      <w:bookmarkEnd w:id="31"/>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30"/>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77777777" w:rsidR="00E32CC8" w:rsidRPr="00DB4B95" w:rsidRDefault="00E32CC8" w:rsidP="00E32CC8">
            <w:pPr>
              <w:pStyle w:val="af9"/>
              <w:rPr>
                <w:szCs w:val="16"/>
              </w:rPr>
            </w:pPr>
            <w:r w:rsidRPr="00DB4B95">
              <w:rPr>
                <w:szCs w:val="16"/>
              </w:rPr>
              <w:t>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3567E846" w:rsidR="00E32CC8" w:rsidRDefault="00987DA1" w:rsidP="00E32CC8">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8A2FD0">
        <w:rPr>
          <w:rFonts w:hint="eastAsia"/>
        </w:rPr>
        <w:t>表</w:t>
      </w:r>
      <w:r w:rsidR="008A2FD0">
        <w:rPr>
          <w:rFonts w:hint="eastAsia"/>
        </w:rPr>
        <w:t>5-</w:t>
      </w:r>
      <w:r w:rsidR="008A2FD0">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203F820E" w:rsidR="00987DA1" w:rsidRDefault="00987DA1" w:rsidP="00987DA1">
      <w:pPr>
        <w:pStyle w:val="a9"/>
        <w:keepNext/>
        <w:spacing w:before="180" w:after="180"/>
      </w:pPr>
      <w:bookmarkStart w:id="32" w:name="_Ref1894465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A2FD0">
        <w:rPr>
          <w:noProof/>
        </w:rPr>
        <w:t>3</w:t>
      </w:r>
      <w:r w:rsidR="002406B3">
        <w:fldChar w:fldCharType="end"/>
      </w:r>
      <w:bookmarkEnd w:id="32"/>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77777777" w:rsidR="00987DA1" w:rsidRPr="00987DA1" w:rsidRDefault="00987DA1" w:rsidP="00987DA1">
            <w:pPr>
              <w:pStyle w:val="af9"/>
              <w:rPr>
                <w:szCs w:val="16"/>
              </w:rPr>
            </w:pPr>
            <w:r w:rsidRPr="00987DA1">
              <w:rPr>
                <w:szCs w:val="16"/>
              </w:rPr>
              <w:t>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7ED0716C" w14:textId="61D5438A" w:rsidR="00BB145A" w:rsidRDefault="000E3543"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4CAF9E40" w:rsidR="00B856BD" w:rsidRPr="00786B72" w:rsidRDefault="00B856BD" w:rsidP="00BB145A">
      <w:pPr>
        <w:spacing w:before="180" w:after="180"/>
        <w:ind w:firstLine="480"/>
      </w:pPr>
      <w:r>
        <w:rPr>
          <w:rFonts w:hint="eastAsia"/>
        </w:rPr>
        <w:lastRenderedPageBreak/>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8A2FD0">
        <w:rPr>
          <w:rFonts w:hint="eastAsia"/>
        </w:rPr>
        <w:t>表</w:t>
      </w:r>
      <w:r w:rsidR="008A2FD0">
        <w:rPr>
          <w:rFonts w:hint="eastAsia"/>
        </w:rPr>
        <w:t>5-</w:t>
      </w:r>
      <w:r w:rsidR="008A2FD0">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8A2FD0">
        <w:rPr>
          <w:rFonts w:hint="eastAsia"/>
        </w:rPr>
        <w:t>附表</w:t>
      </w:r>
      <w:r w:rsidR="008A2FD0">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8A2FD0">
        <w:rPr>
          <w:rFonts w:hint="eastAsia"/>
        </w:rPr>
        <w:t>附表</w:t>
      </w:r>
      <w:r w:rsidR="008A2FD0">
        <w:rPr>
          <w:noProof/>
        </w:rPr>
        <w:t>2</w:t>
      </w:r>
      <w:r w:rsidR="00BB145A">
        <w:fldChar w:fldCharType="end"/>
      </w:r>
      <w:r w:rsidR="00786B72">
        <w:rPr>
          <w:rFonts w:hint="eastAsia"/>
        </w:rPr>
        <w:t>。</w:t>
      </w:r>
    </w:p>
    <w:p w14:paraId="5B9DD788" w14:textId="700E9BC8" w:rsidR="00B856BD" w:rsidRDefault="00B856BD" w:rsidP="00B856BD">
      <w:pPr>
        <w:pStyle w:val="a9"/>
        <w:keepNext/>
        <w:spacing w:before="180" w:after="180"/>
      </w:pPr>
      <w:bookmarkStart w:id="33" w:name="_Ref1894475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A2FD0">
        <w:rPr>
          <w:noProof/>
        </w:rPr>
        <w:t>4</w:t>
      </w:r>
      <w:r w:rsidR="002406B3">
        <w:fldChar w:fldCharType="end"/>
      </w:r>
      <w:bookmarkEnd w:id="33"/>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77777777" w:rsidR="00B856BD" w:rsidRPr="00B856BD" w:rsidRDefault="00B856BD" w:rsidP="00B856BD">
            <w:pPr>
              <w:pStyle w:val="af9"/>
              <w:rPr>
                <w:szCs w:val="16"/>
              </w:rPr>
            </w:pPr>
            <w:r w:rsidRPr="00B856BD">
              <w:rPr>
                <w:szCs w:val="16"/>
              </w:rPr>
              <w:t>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2C1D485D" w:rsidR="00142EA2" w:rsidRDefault="00987F37" w:rsidP="00142EA2">
      <w:pPr>
        <w:spacing w:before="180" w:after="180"/>
        <w:ind w:firstLine="480"/>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8A2FD0">
        <w:rPr>
          <w:rFonts w:hint="eastAsia"/>
        </w:rPr>
        <w:t>表</w:t>
      </w:r>
      <w:r w:rsidR="008A2FD0">
        <w:rPr>
          <w:rFonts w:hint="eastAsia"/>
        </w:rPr>
        <w:t>5-</w:t>
      </w:r>
      <w:r w:rsidR="008A2FD0">
        <w:rPr>
          <w:noProof/>
        </w:rPr>
        <w:t>5</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8A2FD0">
        <w:rPr>
          <w:rFonts w:hint="eastAsia"/>
        </w:rPr>
        <w:t>附表</w:t>
      </w:r>
      <w:r w:rsidR="008A2FD0">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5CDDD1F6" w:rsidR="00DB54B6" w:rsidRDefault="00DB54B6" w:rsidP="00DB54B6">
      <w:pPr>
        <w:pStyle w:val="a9"/>
        <w:keepNext/>
        <w:spacing w:before="180" w:after="180"/>
      </w:pPr>
      <w:bookmarkStart w:id="34" w:name="_Ref18944962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A2FD0">
        <w:rPr>
          <w:noProof/>
        </w:rPr>
        <w:t>5</w:t>
      </w:r>
      <w:r w:rsidR="002406B3">
        <w:fldChar w:fldCharType="end"/>
      </w:r>
      <w:bookmarkEnd w:id="34"/>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EAD42F1" w14:textId="77777777" w:rsidR="00DB54B6" w:rsidRPr="00DB54B6" w:rsidRDefault="00DB54B6" w:rsidP="00142EA2">
      <w:pPr>
        <w:spacing w:before="180" w:after="180"/>
        <w:ind w:firstLine="480"/>
      </w:pPr>
    </w:p>
    <w:p w14:paraId="1CC9AA72" w14:textId="1149D8F9" w:rsidR="00F008C1" w:rsidRDefault="00F008C1" w:rsidP="00F008C1">
      <w:pPr>
        <w:pStyle w:val="3"/>
        <w:spacing w:before="180" w:after="180"/>
      </w:pPr>
      <w:r>
        <w:rPr>
          <w:rFonts w:hint="eastAsia"/>
        </w:rPr>
        <w:lastRenderedPageBreak/>
        <w:t>5.</w:t>
      </w:r>
      <w:r w:rsidR="008771A3">
        <w:rPr>
          <w:rFonts w:hint="eastAsia"/>
        </w:rPr>
        <w:t>2</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p>
    <w:p w14:paraId="55C1E466" w14:textId="34348E8D"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8A2FD0">
        <w:rPr>
          <w:rFonts w:hint="eastAsia"/>
        </w:rPr>
        <w:t>表</w:t>
      </w:r>
      <w:r w:rsidR="008A2FD0">
        <w:rPr>
          <w:rFonts w:hint="eastAsia"/>
        </w:rPr>
        <w:t>5-</w:t>
      </w:r>
      <w:r w:rsidR="008A2FD0">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758FFF0A" w:rsidR="00F36EA6" w:rsidRDefault="00F36EA6" w:rsidP="00F36EA6">
      <w:pPr>
        <w:pStyle w:val="a9"/>
        <w:keepNext/>
        <w:spacing w:before="180" w:after="180"/>
      </w:pPr>
      <w:bookmarkStart w:id="35" w:name="_Ref1894508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A2FD0">
        <w:rPr>
          <w:noProof/>
        </w:rPr>
        <w:t>6</w:t>
      </w:r>
      <w:r w:rsidR="002406B3">
        <w:fldChar w:fldCharType="end"/>
      </w:r>
      <w:bookmarkEnd w:id="35"/>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7E4761">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7E4761">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7777777" w:rsidR="006A1E80" w:rsidRPr="00DB4B95" w:rsidRDefault="006A1E80" w:rsidP="006A1E80">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53E210E4" w:rsidR="00F36EA6" w:rsidRDefault="00F36EA6" w:rsidP="00F36EA6">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8A2FD0">
        <w:rPr>
          <w:rFonts w:hint="eastAsia"/>
        </w:rPr>
        <w:t>表</w:t>
      </w:r>
      <w:r w:rsidR="008A2FD0">
        <w:rPr>
          <w:rFonts w:hint="eastAsia"/>
        </w:rPr>
        <w:t>5-</w:t>
      </w:r>
      <w:r w:rsidR="008A2FD0">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6CF3F6EB" w:rsidR="00F36EA6" w:rsidRDefault="00F36EA6" w:rsidP="00F36EA6">
      <w:pPr>
        <w:pStyle w:val="a9"/>
        <w:keepNext/>
        <w:spacing w:before="180" w:after="180"/>
      </w:pPr>
      <w:bookmarkStart w:id="36" w:name="_Ref18945105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A2FD0">
        <w:rPr>
          <w:noProof/>
        </w:rPr>
        <w:t>7</w:t>
      </w:r>
      <w:r w:rsidR="002406B3">
        <w:fldChar w:fldCharType="end"/>
      </w:r>
      <w:bookmarkEnd w:id="36"/>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7E4761">
            <w:pPr>
              <w:pStyle w:val="af9"/>
              <w:jc w:val="center"/>
              <w:rPr>
                <w:szCs w:val="16"/>
              </w:rPr>
            </w:pPr>
            <w:r w:rsidRPr="00987DA1">
              <w:rPr>
                <w:szCs w:val="16"/>
              </w:rPr>
              <w:t>R-squared</w:t>
            </w:r>
          </w:p>
        </w:tc>
      </w:tr>
      <w:tr w:rsidR="006A1E80" w:rsidRPr="00987DA1" w14:paraId="1FE6FCD2" w14:textId="77777777" w:rsidTr="00ED0627">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ED0627">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ED0627">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lastRenderedPageBreak/>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ED0627">
        <w:trPr>
          <w:trHeight w:val="310"/>
        </w:trPr>
        <w:tc>
          <w:tcPr>
            <w:tcW w:w="892" w:type="pct"/>
            <w:tcBorders>
              <w:right w:val="single" w:sz="8" w:space="0" w:color="auto"/>
            </w:tcBorders>
            <w:shd w:val="clear" w:color="auto" w:fill="auto"/>
            <w:noWrap/>
            <w:vAlign w:val="center"/>
            <w:hideMark/>
          </w:tcPr>
          <w:p w14:paraId="1BD13EF4" w14:textId="77777777" w:rsidR="006A1E80" w:rsidRPr="00987DA1" w:rsidRDefault="006A1E80" w:rsidP="006A1E80">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ED0627">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ED0627">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ED0627">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ED0627">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ED0627">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ED0627">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ED0627">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028DE1F7" w14:textId="18226C6B" w:rsidR="00BB145A" w:rsidRDefault="00F36EA6"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05863CCC" w:rsidR="00F36EA6" w:rsidRPr="00786B72" w:rsidRDefault="00F36EA6" w:rsidP="009E3FD2">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8A2FD0">
        <w:rPr>
          <w:rFonts w:hint="eastAsia"/>
        </w:rPr>
        <w:t>表</w:t>
      </w:r>
      <w:r w:rsidR="008A2FD0">
        <w:rPr>
          <w:rFonts w:hint="eastAsia"/>
        </w:rPr>
        <w:t>5-</w:t>
      </w:r>
      <w:r w:rsidR="008A2FD0">
        <w:rPr>
          <w:noProof/>
        </w:rPr>
        <w:t>8</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8A2FD0">
        <w:rPr>
          <w:rFonts w:hint="eastAsia"/>
        </w:rPr>
        <w:t>附表</w:t>
      </w:r>
      <w:r w:rsidR="008A2FD0">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8A2FD0">
        <w:rPr>
          <w:rFonts w:hint="eastAsia"/>
        </w:rPr>
        <w:t>附表</w:t>
      </w:r>
      <w:r w:rsidR="008A2FD0">
        <w:rPr>
          <w:noProof/>
        </w:rPr>
        <w:t>5</w:t>
      </w:r>
      <w:r w:rsidR="009E3FD2">
        <w:fldChar w:fldCharType="end"/>
      </w:r>
    </w:p>
    <w:p w14:paraId="4EECD36A" w14:textId="30A887E2" w:rsidR="00F36EA6" w:rsidRDefault="00F36EA6" w:rsidP="00F36EA6">
      <w:pPr>
        <w:pStyle w:val="a9"/>
        <w:keepNext/>
        <w:spacing w:before="180" w:after="180"/>
      </w:pPr>
      <w:bookmarkStart w:id="37" w:name="_Ref1894512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A2FD0">
        <w:rPr>
          <w:noProof/>
        </w:rPr>
        <w:t>8</w:t>
      </w:r>
      <w:r w:rsidR="002406B3">
        <w:fldChar w:fldCharType="end"/>
      </w:r>
      <w:bookmarkEnd w:id="37"/>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7E4761">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7E4761">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7E4761">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7E4761">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7E4761">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7E4761">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7E4761">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7E4761">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7E4761">
            <w:pPr>
              <w:pStyle w:val="af9"/>
              <w:jc w:val="center"/>
              <w:rPr>
                <w:szCs w:val="16"/>
              </w:rPr>
            </w:pPr>
            <w:r w:rsidRPr="00B856BD">
              <w:rPr>
                <w:szCs w:val="16"/>
              </w:rPr>
              <w:t>R-squared</w:t>
            </w:r>
          </w:p>
        </w:tc>
      </w:tr>
      <w:tr w:rsidR="006A1E80" w:rsidRPr="00B856BD" w14:paraId="26DFA891" w14:textId="77777777" w:rsidTr="00A62EC3">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A62EC3">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A62EC3">
        <w:trPr>
          <w:trHeight w:val="310"/>
        </w:trPr>
        <w:tc>
          <w:tcPr>
            <w:tcW w:w="895" w:type="pct"/>
            <w:tcBorders>
              <w:right w:val="single" w:sz="8" w:space="0" w:color="auto"/>
            </w:tcBorders>
            <w:shd w:val="clear" w:color="auto" w:fill="auto"/>
            <w:noWrap/>
            <w:vAlign w:val="center"/>
            <w:hideMark/>
          </w:tcPr>
          <w:p w14:paraId="19002A29" w14:textId="77777777" w:rsidR="006A1E80" w:rsidRPr="00B856BD" w:rsidRDefault="006A1E80" w:rsidP="006A1E80">
            <w:pPr>
              <w:pStyle w:val="af9"/>
              <w:rPr>
                <w:szCs w:val="16"/>
              </w:rPr>
            </w:pPr>
            <w:r w:rsidRPr="00B856BD">
              <w:rPr>
                <w:szCs w:val="16"/>
              </w:rPr>
              <w:t>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A62EC3">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A62EC3">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A62EC3">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A62EC3">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A62EC3">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A62EC3">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A62EC3">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73D7E1B0" w:rsidR="00F36EA6" w:rsidRDefault="002D0E3A" w:rsidP="00F36EA6">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8A2FD0">
        <w:rPr>
          <w:rFonts w:hint="eastAsia"/>
        </w:rPr>
        <w:t>表</w:t>
      </w:r>
      <w:r w:rsidR="008A2FD0">
        <w:rPr>
          <w:rFonts w:hint="eastAsia"/>
        </w:rPr>
        <w:t>5-</w:t>
      </w:r>
      <w:r w:rsidR="008A2FD0">
        <w:rPr>
          <w:noProof/>
        </w:rPr>
        <w:t>9</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4563AF3C" w:rsidR="00F36EA6" w:rsidRDefault="00F36EA6" w:rsidP="00F36EA6">
      <w:pPr>
        <w:pStyle w:val="a9"/>
        <w:keepNext/>
        <w:spacing w:before="180" w:after="180"/>
      </w:pPr>
      <w:bookmarkStart w:id="38" w:name="_Ref189451908"/>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A2FD0">
        <w:rPr>
          <w:noProof/>
        </w:rPr>
        <w:t>9</w:t>
      </w:r>
      <w:r w:rsidR="002406B3">
        <w:fldChar w:fldCharType="end"/>
      </w:r>
      <w:bookmarkEnd w:id="38"/>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7E4761">
            <w:pPr>
              <w:pStyle w:val="af9"/>
              <w:jc w:val="center"/>
            </w:pPr>
            <w:r w:rsidRPr="00DB54B6">
              <w:t>MSE</w:t>
            </w:r>
          </w:p>
        </w:tc>
      </w:tr>
      <w:tr w:rsidR="002D0E3A" w:rsidRPr="00DB54B6" w14:paraId="1218242B" w14:textId="77777777" w:rsidTr="006D6876">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6D6876">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6D6876">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1A6EFC82" w:rsidR="00F008C1" w:rsidRDefault="00F008C1" w:rsidP="00F008C1">
      <w:pPr>
        <w:pStyle w:val="3"/>
        <w:spacing w:before="180" w:after="180"/>
      </w:pPr>
      <w:r>
        <w:rPr>
          <w:rFonts w:hint="eastAsia"/>
        </w:rPr>
        <w:t>5.</w:t>
      </w:r>
      <w:r w:rsidR="008771A3">
        <w:rPr>
          <w:rFonts w:hint="eastAsia"/>
        </w:rPr>
        <w:t>2</w:t>
      </w:r>
      <w:r>
        <w:rPr>
          <w:rFonts w:hint="eastAsia"/>
        </w:rPr>
        <w:t>.3</w:t>
      </w:r>
      <w:proofErr w:type="gramStart"/>
      <w:r>
        <w:rPr>
          <w:rFonts w:hint="eastAsia"/>
        </w:rPr>
        <w:t>兩</w:t>
      </w:r>
      <w:proofErr w:type="gramEnd"/>
      <w:r>
        <w:rPr>
          <w:rFonts w:hint="eastAsia"/>
        </w:rPr>
        <w:t>方法比較分析</w:t>
      </w:r>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w:t>
      </w:r>
      <w:proofErr w:type="gramStart"/>
      <w:r w:rsidRPr="00B079F1">
        <w:t>特</w:t>
      </w:r>
      <w:proofErr w:type="gramEnd"/>
      <w:r w:rsidRPr="00B079F1">
        <w:t>幣選擇權商品，分別採用單點配適法與</w:t>
      </w:r>
      <w:proofErr w:type="gramStart"/>
      <w:r w:rsidRPr="00B079F1">
        <w:t>雙點配適法建</w:t>
      </w:r>
      <w:proofErr w:type="gramEnd"/>
      <w:r w:rsidRPr="00B079F1">
        <w:t>構</w:t>
      </w:r>
      <w:r w:rsidRPr="00B079F1">
        <w:t>RND</w:t>
      </w:r>
      <w:r w:rsidRPr="00B079F1">
        <w:t>，並進行實證</w:t>
      </w:r>
      <w:proofErr w:type="gramStart"/>
      <w:r w:rsidRPr="00B079F1">
        <w:t>迴</w:t>
      </w:r>
      <w:proofErr w:type="gramEnd"/>
      <w:r w:rsidRPr="00B079F1">
        <w:t>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w:t>
      </w:r>
      <w:proofErr w:type="gramStart"/>
      <w:r w:rsidRPr="00B079F1">
        <w:t>較雙點配適</w:t>
      </w:r>
      <w:proofErr w:type="gramEnd"/>
      <w:r w:rsidRPr="00B079F1">
        <w:t>法（</w:t>
      </w:r>
      <w:r w:rsidRPr="00B079F1">
        <w:t>831</w:t>
      </w:r>
      <w:r w:rsidRPr="00B079F1">
        <w:t>個）多出</w:t>
      </w:r>
      <w:r w:rsidRPr="00B079F1">
        <w:t>1</w:t>
      </w:r>
      <w:r w:rsidRPr="00B079F1">
        <w:t>個有效樣本。此差異雖然微小，但反映出</w:t>
      </w:r>
      <w:proofErr w:type="gramStart"/>
      <w:r w:rsidRPr="00B079F1">
        <w:t>雙點配適</w:t>
      </w:r>
      <w:proofErr w:type="gramEnd"/>
      <w:r w:rsidRPr="00B079F1">
        <w:t>法在某些市場情境下可能面臨</w:t>
      </w:r>
      <w:proofErr w:type="gramStart"/>
      <w:r w:rsidRPr="00B079F1">
        <w:t>無法配適的</w:t>
      </w:r>
      <w:proofErr w:type="gramEnd"/>
      <w:r w:rsidRPr="00B079F1">
        <w:t>技術限制，顯示單點配適法在實務應用上具有較佳的穩定性。</w:t>
      </w:r>
    </w:p>
    <w:p w14:paraId="45F58F05" w14:textId="61DE60CC" w:rsidR="00B079F1" w:rsidRPr="00B079F1" w:rsidRDefault="00B079F1" w:rsidP="00B079F1">
      <w:pPr>
        <w:spacing w:before="180" w:after="180"/>
        <w:ind w:firstLine="480"/>
      </w:pPr>
      <w:r w:rsidRPr="00B079F1">
        <w:t>其次，在變數預測能力方面，兩種方法雖然皆選用偏態（</w:t>
      </w:r>
      <w:r w:rsidRPr="00B079F1">
        <w:t>Skewness</w:t>
      </w:r>
      <w:r w:rsidRPr="00B079F1">
        <w:t>）、中位數（</w:t>
      </w:r>
      <w:r w:rsidRPr="00B079F1">
        <w:t>Median</w:t>
      </w:r>
      <w:r w:rsidRPr="00B079F1">
        <w:t>）及前四期報酬率（</w:t>
      </w:r>
      <w:r w:rsidRPr="00B079F1">
        <w:t>T-4 Return</w:t>
      </w:r>
      <w:r w:rsidRPr="00B079F1">
        <w:t>）作為預測變數，但其統計顯著性與影響方向卻有所不同。單點配適法下，三個變數皆達統計顯著水準（偏態與前四期報酬率在</w:t>
      </w:r>
      <w:r w:rsidRPr="00B079F1">
        <w:t>10%</w:t>
      </w:r>
      <w:r>
        <w:rPr>
          <w:rFonts w:hint="eastAsia"/>
        </w:rPr>
        <w:t xml:space="preserve"> </w:t>
      </w:r>
      <w:r w:rsidRPr="00B079F1">
        <w:t>顯著水準下顯著，中位數在</w:t>
      </w:r>
      <w:r w:rsidRPr="00B079F1">
        <w:t>5%</w:t>
      </w:r>
      <w:r>
        <w:rPr>
          <w:rFonts w:hint="eastAsia"/>
        </w:rPr>
        <w:t xml:space="preserve"> </w:t>
      </w:r>
      <w:r w:rsidRPr="00B079F1">
        <w:t>顯著水準下顯著），</w:t>
      </w:r>
      <w:proofErr w:type="gramStart"/>
      <w:r w:rsidRPr="00B079F1">
        <w:t>且偏態</w:t>
      </w:r>
      <w:proofErr w:type="gramEnd"/>
      <w:r w:rsidRPr="00B079F1">
        <w:t>與前四期報酬率呈現正向影響，中位數</w:t>
      </w:r>
      <w:proofErr w:type="gramStart"/>
      <w:r w:rsidRPr="00B079F1">
        <w:t>則具負向</w:t>
      </w:r>
      <w:proofErr w:type="gramEnd"/>
      <w:r w:rsidRPr="00B079F1">
        <w:t>影響。反觀</w:t>
      </w:r>
      <w:proofErr w:type="gramStart"/>
      <w:r w:rsidRPr="00B079F1">
        <w:t>雙點配適</w:t>
      </w:r>
      <w:proofErr w:type="gramEnd"/>
      <w:r w:rsidRPr="00B079F1">
        <w:t>法，偏態變數不具顯著性，僅中位數與前四期報酬率維持顯著水準，顯示單點配適法能更有效地捕捉市場偏態特徵對價格走勢的影響。</w:t>
      </w:r>
    </w:p>
    <w:p w14:paraId="787C7CD8" w14:textId="6E6C1FC0" w:rsidR="00B079F1" w:rsidRDefault="00B079F1" w:rsidP="00B079F1">
      <w:pPr>
        <w:spacing w:before="180" w:after="180"/>
        <w:ind w:firstLine="480"/>
      </w:pPr>
      <w:r>
        <w:rPr>
          <w:rFonts w:hint="eastAsia"/>
        </w:rPr>
        <w:t>最後</w:t>
      </w:r>
      <w:r w:rsidRPr="00B079F1">
        <w:t>，就模型整體預測效果而言，單點配適法之解釋能力（</w:t>
      </w:r>
      <w:r w:rsidRPr="00B079F1">
        <w:t>R-squared = 0.0130</w:t>
      </w:r>
      <w:r w:rsidRPr="00B079F1">
        <w:t>）優於</w:t>
      </w:r>
      <w:proofErr w:type="gramStart"/>
      <w:r w:rsidRPr="00B079F1">
        <w:t>雙點配適</w:t>
      </w:r>
      <w:proofErr w:type="gramEnd"/>
      <w:r w:rsidRPr="00B079F1">
        <w:t>法（</w:t>
      </w:r>
      <w:r w:rsidRPr="00B079F1">
        <w:t>R-squared = 0.0098</w:t>
      </w:r>
      <w:r w:rsidRPr="00B079F1">
        <w:t>），</w:t>
      </w:r>
      <w:proofErr w:type="gramStart"/>
      <w:r w:rsidRPr="00B079F1">
        <w:t>同時均方誤差</w:t>
      </w:r>
      <w:proofErr w:type="gramEnd"/>
      <w:r w:rsidRPr="00B079F1">
        <w:t>（</w:t>
      </w:r>
      <w:r w:rsidRPr="00B079F1">
        <w:t>MSE</w:t>
      </w:r>
      <w:r w:rsidRPr="00B079F1">
        <w:t>）亦較低（</w:t>
      </w:r>
      <w:r w:rsidRPr="00B079F1">
        <w:t>0.9858 &lt; 0.9890</w:t>
      </w:r>
      <w:r w:rsidRPr="00B079F1">
        <w:t>）。此結果顯示，單點配適法不僅在變數顯著性表現較佳，其預測準確度亦優於</w:t>
      </w:r>
      <w:proofErr w:type="gramStart"/>
      <w:r w:rsidRPr="00B079F1">
        <w:t>雙點配適</w:t>
      </w:r>
      <w:proofErr w:type="gramEnd"/>
      <w:r w:rsidRPr="00B079F1">
        <w:t>法。</w:t>
      </w:r>
    </w:p>
    <w:p w14:paraId="7F58F94A" w14:textId="16F0D415" w:rsidR="00B70483" w:rsidRPr="00B079F1" w:rsidRDefault="00B70483" w:rsidP="00B079F1">
      <w:pPr>
        <w:spacing w:before="180" w:after="180"/>
        <w:ind w:firstLine="480"/>
      </w:pPr>
      <w:r w:rsidRPr="00B70483">
        <w:t>綜上所述，本研究發現在預測比</w:t>
      </w:r>
      <w:proofErr w:type="gramStart"/>
      <w:r w:rsidRPr="00B70483">
        <w:t>特幣日</w:t>
      </w:r>
      <w:proofErr w:type="gramEnd"/>
      <w:r w:rsidRPr="00B70483">
        <w:t>報酬率時，單點配適法</w:t>
      </w:r>
      <w:proofErr w:type="gramStart"/>
      <w:r w:rsidRPr="00B70483">
        <w:t>較雙點配適</w:t>
      </w:r>
      <w:proofErr w:type="gramEnd"/>
      <w:r w:rsidRPr="00B70483">
        <w:t>法具</w:t>
      </w:r>
      <w:r w:rsidRPr="00B70483">
        <w:lastRenderedPageBreak/>
        <w:t>有以下優勢：</w:t>
      </w:r>
      <w:r w:rsidRPr="00B70483">
        <w:t>(1)</w:t>
      </w:r>
      <w:r>
        <w:rPr>
          <w:rFonts w:hint="eastAsia"/>
        </w:rPr>
        <w:t xml:space="preserve"> </w:t>
      </w:r>
      <w:proofErr w:type="gramStart"/>
      <w:r w:rsidRPr="00B70483">
        <w:t>樣本配適的</w:t>
      </w:r>
      <w:proofErr w:type="gramEnd"/>
      <w:r w:rsidRPr="00B70483">
        <w:t>穩定性較高；</w:t>
      </w:r>
      <w:r w:rsidRPr="00B70483">
        <w:t>(2)</w:t>
      </w:r>
      <w:r>
        <w:rPr>
          <w:rFonts w:hint="eastAsia"/>
        </w:rPr>
        <w:t xml:space="preserve"> </w:t>
      </w:r>
      <w:r w:rsidRPr="00B70483">
        <w:t>能更有效捕捉市場偏態特徵；</w:t>
      </w:r>
      <w:r w:rsidRPr="00B70483">
        <w:t>(3)</w:t>
      </w:r>
      <w:r>
        <w:rPr>
          <w:rFonts w:hint="eastAsia"/>
        </w:rPr>
        <w:t xml:space="preserve"> </w:t>
      </w:r>
      <w:r w:rsidRPr="00B70483">
        <w:t>模型預測能力較佳</w:t>
      </w:r>
      <w:r>
        <w:rPr>
          <w:rFonts w:hint="eastAsia"/>
        </w:rPr>
        <w:t>。</w:t>
      </w:r>
    </w:p>
    <w:p w14:paraId="47DD06AD" w14:textId="14F017DE" w:rsidR="00F008C1" w:rsidRDefault="00F008C1" w:rsidP="00B079F1">
      <w:pPr>
        <w:pStyle w:val="2"/>
      </w:pPr>
      <w:r>
        <w:rPr>
          <w:rFonts w:hint="eastAsia"/>
        </w:rPr>
        <w:t>5.</w:t>
      </w:r>
      <w:r w:rsidR="008771A3">
        <w:rPr>
          <w:rFonts w:hint="eastAsia"/>
        </w:rPr>
        <w:t>3</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p>
    <w:p w14:paraId="4D56B895" w14:textId="1A39CF15" w:rsidR="00F008C1" w:rsidRDefault="00F008C1" w:rsidP="00F008C1">
      <w:pPr>
        <w:pStyle w:val="3"/>
        <w:spacing w:before="180" w:after="180"/>
      </w:pPr>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p>
    <w:p w14:paraId="3DCF91C8" w14:textId="4717E8DB"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8A2FD0">
        <w:rPr>
          <w:rFonts w:hint="eastAsia"/>
        </w:rPr>
        <w:t>表</w:t>
      </w:r>
      <w:r w:rsidR="008A2FD0">
        <w:rPr>
          <w:rFonts w:hint="eastAsia"/>
        </w:rPr>
        <w:t>5-</w:t>
      </w:r>
      <w:r w:rsidR="008A2FD0">
        <w:rPr>
          <w:noProof/>
        </w:rPr>
        <w:t>10</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7C1436BF" w:rsidR="002D0E3A" w:rsidRDefault="002D0E3A" w:rsidP="002D0E3A">
      <w:pPr>
        <w:pStyle w:val="a9"/>
        <w:keepNext/>
        <w:spacing w:before="180" w:after="180"/>
      </w:pPr>
      <w:bookmarkStart w:id="39" w:name="_Ref18945444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A2FD0">
        <w:rPr>
          <w:noProof/>
        </w:rPr>
        <w:t>10</w:t>
      </w:r>
      <w:r w:rsidR="002406B3">
        <w:fldChar w:fldCharType="end"/>
      </w:r>
      <w:bookmarkEnd w:id="39"/>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7E4761">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7E4761">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77777777" w:rsidR="006129FC" w:rsidRPr="00DB4B95" w:rsidRDefault="006129FC" w:rsidP="006129FC">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70161E90" w:rsidR="002D0E3A" w:rsidRDefault="002D0E3A" w:rsidP="002D0E3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8A2FD0">
        <w:rPr>
          <w:rFonts w:hint="eastAsia"/>
        </w:rPr>
        <w:t>表</w:t>
      </w:r>
      <w:r w:rsidR="008A2FD0">
        <w:rPr>
          <w:rFonts w:hint="eastAsia"/>
        </w:rPr>
        <w:t>5-</w:t>
      </w:r>
      <w:r w:rsidR="008A2FD0">
        <w:rPr>
          <w:noProof/>
        </w:rPr>
        <w:t>11</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6C020E65" w:rsidR="002D0E3A" w:rsidRDefault="002D0E3A" w:rsidP="002D0E3A">
      <w:pPr>
        <w:pStyle w:val="a9"/>
        <w:keepNext/>
        <w:spacing w:before="180" w:after="180"/>
      </w:pPr>
      <w:bookmarkStart w:id="40" w:name="_Ref18945473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A2FD0">
        <w:rPr>
          <w:noProof/>
        </w:rPr>
        <w:t>11</w:t>
      </w:r>
      <w:r w:rsidR="002406B3">
        <w:fldChar w:fldCharType="end"/>
      </w:r>
      <w:bookmarkEnd w:id="40"/>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7E4761">
            <w:pPr>
              <w:pStyle w:val="af9"/>
              <w:jc w:val="center"/>
              <w:rPr>
                <w:szCs w:val="16"/>
              </w:rPr>
            </w:pPr>
            <w:r w:rsidRPr="00987DA1">
              <w:rPr>
                <w:szCs w:val="16"/>
              </w:rPr>
              <w:t>R-squared</w:t>
            </w:r>
          </w:p>
        </w:tc>
      </w:tr>
      <w:tr w:rsidR="00A56D4E" w:rsidRPr="00987DA1" w14:paraId="697F8F6B" w14:textId="77777777" w:rsidTr="00A928AF">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A928AF">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A928AF">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A928AF">
        <w:trPr>
          <w:trHeight w:val="310"/>
        </w:trPr>
        <w:tc>
          <w:tcPr>
            <w:tcW w:w="892" w:type="pct"/>
            <w:tcBorders>
              <w:right w:val="single" w:sz="8" w:space="0" w:color="auto"/>
            </w:tcBorders>
            <w:shd w:val="clear" w:color="auto" w:fill="auto"/>
            <w:noWrap/>
            <w:vAlign w:val="center"/>
            <w:hideMark/>
          </w:tcPr>
          <w:p w14:paraId="1824AC82" w14:textId="77777777" w:rsidR="00A56D4E" w:rsidRPr="00987DA1" w:rsidRDefault="00A56D4E" w:rsidP="00A56D4E">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A928AF">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A928AF">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A928AF">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A928AF">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A928AF">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A928AF">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A928AF">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00F3EAFD"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8A2FD0">
        <w:rPr>
          <w:rFonts w:hint="eastAsia"/>
        </w:rPr>
        <w:t>附表</w:t>
      </w:r>
      <w:r w:rsidR="008A2FD0">
        <w:rPr>
          <w:noProof/>
        </w:rPr>
        <w:t>6</w:t>
      </w:r>
      <w:r>
        <w:fldChar w:fldCharType="end"/>
      </w:r>
      <w:r w:rsidRPr="002A67DD">
        <w:t>至</w:t>
      </w:r>
      <w:r>
        <w:fldChar w:fldCharType="begin"/>
      </w:r>
      <w:r>
        <w:instrText xml:space="preserve"> REF _Ref189455847 \h </w:instrText>
      </w:r>
      <w:r>
        <w:fldChar w:fldCharType="separate"/>
      </w:r>
      <w:r w:rsidR="008A2FD0">
        <w:rPr>
          <w:rFonts w:hint="eastAsia"/>
        </w:rPr>
        <w:t>附表</w:t>
      </w:r>
      <w:r w:rsidR="008A2FD0">
        <w:rPr>
          <w:noProof/>
        </w:rPr>
        <w:t>8</w:t>
      </w:r>
      <w:r>
        <w:fldChar w:fldCharType="end"/>
      </w:r>
      <w:r w:rsidRPr="002A67DD">
        <w:t>。此現象顯示，單純增加變數數量並無法有效提升模型的預測能力，反而可能導致模型過度擬合的問題。</w:t>
      </w:r>
    </w:p>
    <w:p w14:paraId="4F8D3FD5" w14:textId="7A752EA3" w:rsidR="002A67DD" w:rsidRPr="002A67DD" w:rsidRDefault="002A67DD" w:rsidP="002A67DD">
      <w:pPr>
        <w:spacing w:before="180" w:after="180"/>
        <w:ind w:firstLine="480"/>
      </w:pPr>
      <w:r w:rsidRPr="002A67DD">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Pr="002A67DD">
        <w:t>超額峰度</w:t>
      </w:r>
      <w:proofErr w:type="gramEnd"/>
      <w:r w:rsidRPr="002A67DD">
        <w:t>（</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sidR="008A2FD0">
        <w:rPr>
          <w:rFonts w:hint="eastAsia"/>
        </w:rPr>
        <w:t>表</w:t>
      </w:r>
      <w:r w:rsidR="008A2FD0">
        <w:rPr>
          <w:rFonts w:hint="eastAsia"/>
        </w:rPr>
        <w:t>5-</w:t>
      </w:r>
      <w:r w:rsidR="008A2FD0">
        <w:rPr>
          <w:noProof/>
        </w:rPr>
        <w:t>12</w:t>
      </w:r>
      <w:r>
        <w:fldChar w:fldCharType="end"/>
      </w:r>
      <w:r w:rsidRPr="002A67DD">
        <w:t>。</w:t>
      </w:r>
    </w:p>
    <w:p w14:paraId="73662678" w14:textId="1DDA6F19" w:rsidR="002D0E3A" w:rsidRDefault="002D0E3A" w:rsidP="002D0E3A">
      <w:pPr>
        <w:pStyle w:val="a9"/>
        <w:keepNext/>
        <w:spacing w:before="180" w:after="180"/>
      </w:pPr>
      <w:bookmarkStart w:id="41" w:name="_Ref18945662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A2FD0">
        <w:rPr>
          <w:noProof/>
        </w:rPr>
        <w:t>12</w:t>
      </w:r>
      <w:r w:rsidR="002406B3">
        <w:fldChar w:fldCharType="end"/>
      </w:r>
      <w:bookmarkEnd w:id="41"/>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7E4761">
            <w:pPr>
              <w:pStyle w:val="af9"/>
              <w:jc w:val="center"/>
            </w:pPr>
            <w:r w:rsidRPr="00DB54B6">
              <w:t>MSE</w:t>
            </w:r>
          </w:p>
        </w:tc>
      </w:tr>
      <w:tr w:rsidR="00653EE0" w:rsidRPr="00DB54B6" w14:paraId="6A9A9F2F" w14:textId="77777777" w:rsidTr="0032590B">
        <w:trPr>
          <w:trHeight w:val="310"/>
        </w:trPr>
        <w:tc>
          <w:tcPr>
            <w:tcW w:w="935" w:type="pct"/>
            <w:tcBorders>
              <w:top w:val="single" w:sz="8" w:space="0" w:color="auto"/>
              <w:right w:val="single" w:sz="8" w:space="0" w:color="auto"/>
            </w:tcBorders>
            <w:shd w:val="clear" w:color="auto" w:fill="auto"/>
            <w:noWrap/>
            <w:hideMark/>
          </w:tcPr>
          <w:p w14:paraId="7590D7E6" w14:textId="562F49F2" w:rsidR="00653EE0" w:rsidRPr="00DB54B6" w:rsidRDefault="00653EE0" w:rsidP="00653EE0">
            <w:pPr>
              <w:pStyle w:val="af9"/>
            </w:pPr>
            <w:r w:rsidRPr="001639B4">
              <w:t>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32590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32590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r>
        <w:rPr>
          <w:rFonts w:hint="eastAsia"/>
        </w:rPr>
        <w:lastRenderedPageBreak/>
        <w:t>5.</w:t>
      </w:r>
      <w:r w:rsidR="008771A3">
        <w:rPr>
          <w:rFonts w:hint="eastAsia"/>
        </w:rPr>
        <w:t>3</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p>
    <w:p w14:paraId="14C9629D" w14:textId="62513CBB"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8A2FD0">
        <w:rPr>
          <w:rFonts w:hint="eastAsia"/>
        </w:rPr>
        <w:t>表</w:t>
      </w:r>
      <w:r w:rsidR="008A2FD0">
        <w:rPr>
          <w:rFonts w:hint="eastAsia"/>
        </w:rPr>
        <w:t>5-</w:t>
      </w:r>
      <w:r w:rsidR="008A2FD0">
        <w:rPr>
          <w:noProof/>
        </w:rPr>
        <w:t>13</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）之平均數皆大於</w:t>
      </w:r>
      <w:r>
        <w:rPr>
          <w:rFonts w:hint="eastAsia"/>
        </w:rPr>
        <w:t>0</w:t>
      </w:r>
      <w:r>
        <w:rPr>
          <w:rFonts w:hint="eastAsia"/>
        </w:rPr>
        <w:t>，且敘述統計量與單點配適法高度相似，顯示對於</w:t>
      </w:r>
      <w:proofErr w:type="gramStart"/>
      <w:r>
        <w:rPr>
          <w:rFonts w:hint="eastAsia"/>
        </w:rPr>
        <w:t>週</w:t>
      </w:r>
      <w:proofErr w:type="gramEnd"/>
      <w:r>
        <w:rPr>
          <w:rFonts w:hint="eastAsia"/>
        </w:rPr>
        <w:t>報酬，此二方法並無較大差異。</w:t>
      </w:r>
    </w:p>
    <w:p w14:paraId="0CD8EDB1" w14:textId="79FA7558" w:rsidR="00556A6A" w:rsidRDefault="00556A6A" w:rsidP="00556A6A">
      <w:pPr>
        <w:pStyle w:val="a9"/>
        <w:keepNext/>
        <w:spacing w:before="180" w:after="180"/>
      </w:pPr>
      <w:bookmarkStart w:id="42" w:name="_Ref18945703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A2FD0">
        <w:rPr>
          <w:noProof/>
        </w:rPr>
        <w:t>13</w:t>
      </w:r>
      <w:r w:rsidR="002406B3">
        <w:fldChar w:fldCharType="end"/>
      </w:r>
      <w:bookmarkEnd w:id="42"/>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7E4761">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7E4761">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7E4761">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7E4761">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7777777" w:rsidR="00556A6A" w:rsidRPr="00DB4B95" w:rsidRDefault="00556A6A" w:rsidP="00556A6A">
            <w:pPr>
              <w:pStyle w:val="af9"/>
              <w:rPr>
                <w:szCs w:val="16"/>
              </w:rPr>
            </w:pPr>
            <w:r w:rsidRPr="00DB4B95">
              <w:rPr>
                <w:szCs w:val="16"/>
              </w:rPr>
              <w:t>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4590CA70" w:rsidR="00556A6A" w:rsidRDefault="00556A6A" w:rsidP="00556A6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8A2FD0">
        <w:rPr>
          <w:rFonts w:hint="eastAsia"/>
        </w:rPr>
        <w:t>表</w:t>
      </w:r>
      <w:r w:rsidR="008A2FD0">
        <w:rPr>
          <w:rFonts w:hint="eastAsia"/>
        </w:rPr>
        <w:t>5-</w:t>
      </w:r>
      <w:r w:rsidR="008A2FD0">
        <w:rPr>
          <w:noProof/>
        </w:rPr>
        <w:t>14</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42E3D2A7" w:rsidR="00556A6A" w:rsidRDefault="00556A6A" w:rsidP="00556A6A">
      <w:pPr>
        <w:pStyle w:val="a9"/>
        <w:keepNext/>
        <w:spacing w:before="180" w:after="180"/>
      </w:pPr>
      <w:bookmarkStart w:id="43" w:name="_Ref18945745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A2FD0">
        <w:rPr>
          <w:noProof/>
        </w:rPr>
        <w:t>14</w:t>
      </w:r>
      <w:r w:rsidR="002406B3">
        <w:fldChar w:fldCharType="end"/>
      </w:r>
      <w:bookmarkEnd w:id="43"/>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7E4761">
            <w:pPr>
              <w:pStyle w:val="af9"/>
              <w:jc w:val="center"/>
              <w:rPr>
                <w:szCs w:val="16"/>
              </w:rPr>
            </w:pPr>
            <w:r w:rsidRPr="00987DA1">
              <w:rPr>
                <w:szCs w:val="16"/>
              </w:rPr>
              <w:t>R-squared</w:t>
            </w:r>
          </w:p>
        </w:tc>
      </w:tr>
      <w:tr w:rsidR="00360605" w:rsidRPr="00987DA1" w14:paraId="47519351" w14:textId="77777777" w:rsidTr="007E4761">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7E4761">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7E4761">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7E4761">
        <w:trPr>
          <w:trHeight w:val="310"/>
        </w:trPr>
        <w:tc>
          <w:tcPr>
            <w:tcW w:w="892" w:type="pct"/>
            <w:tcBorders>
              <w:right w:val="single" w:sz="8" w:space="0" w:color="auto"/>
            </w:tcBorders>
            <w:shd w:val="clear" w:color="auto" w:fill="auto"/>
            <w:noWrap/>
            <w:vAlign w:val="center"/>
            <w:hideMark/>
          </w:tcPr>
          <w:p w14:paraId="507F0D7B" w14:textId="77777777" w:rsidR="00360605" w:rsidRPr="00987DA1" w:rsidRDefault="00360605" w:rsidP="00360605">
            <w:pPr>
              <w:pStyle w:val="af9"/>
              <w:rPr>
                <w:szCs w:val="16"/>
              </w:rPr>
            </w:pPr>
            <w:r w:rsidRPr="00987DA1">
              <w:rPr>
                <w:szCs w:val="16"/>
              </w:rPr>
              <w:lastRenderedPageBreak/>
              <w:t>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7E4761">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7E4761">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7E4761">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7E4761">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7E4761">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7E4761">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7E4761">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089CC653"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8A2FD0">
        <w:rPr>
          <w:rFonts w:hint="eastAsia"/>
        </w:rPr>
        <w:t>附表</w:t>
      </w:r>
      <w:r w:rsidR="008A2FD0">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8A2FD0">
        <w:rPr>
          <w:rFonts w:hint="eastAsia"/>
        </w:rPr>
        <w:t>附表</w:t>
      </w:r>
      <w:r w:rsidR="008A2FD0">
        <w:rPr>
          <w:noProof/>
        </w:rPr>
        <w:t>8</w:t>
      </w:r>
      <w:r w:rsidR="00556A6A">
        <w:fldChar w:fldCharType="end"/>
      </w:r>
      <w:r w:rsidR="00556A6A" w:rsidRPr="002A67DD">
        <w:t>。</w:t>
      </w:r>
    </w:p>
    <w:p w14:paraId="75C7163E" w14:textId="608D1FD2" w:rsidR="00556A6A" w:rsidRPr="002A67DD" w:rsidRDefault="00F22A38" w:rsidP="00F22A38">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歸模型進行比較，本小節亦選擇</w:t>
      </w:r>
      <w:proofErr w:type="gramStart"/>
      <w:r>
        <w:rPr>
          <w:rFonts w:hint="eastAsia"/>
        </w:rPr>
        <w:t>超額峰態</w:t>
      </w:r>
      <w:proofErr w:type="gramEnd"/>
      <w:r>
        <w:rPr>
          <w:rFonts w:hint="eastAsia"/>
        </w:rPr>
        <w:t>（</w:t>
      </w:r>
      <w:r>
        <w:rPr>
          <w:rFonts w:hint="eastAsia"/>
        </w:rPr>
        <w:t>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8A2FD0">
        <w:rPr>
          <w:rFonts w:hint="eastAsia"/>
        </w:rPr>
        <w:t>表</w:t>
      </w:r>
      <w:r w:rsidR="008A2FD0">
        <w:rPr>
          <w:rFonts w:hint="eastAsia"/>
        </w:rPr>
        <w:t>5-</w:t>
      </w:r>
      <w:r w:rsidR="008A2FD0">
        <w:rPr>
          <w:noProof/>
        </w:rPr>
        <w:t>15</w:t>
      </w:r>
      <w:r>
        <w:fldChar w:fldCharType="end"/>
      </w:r>
      <w:r>
        <w:rPr>
          <w:rFonts w:hint="eastAsia"/>
        </w:rPr>
        <w:t>，變數顯著性與模型預測能力皆與單點配適法模型相仿。</w:t>
      </w:r>
    </w:p>
    <w:p w14:paraId="71AD3AA3" w14:textId="41AE6F48" w:rsidR="00556A6A" w:rsidRDefault="00556A6A" w:rsidP="00556A6A">
      <w:pPr>
        <w:pStyle w:val="a9"/>
        <w:keepNext/>
        <w:spacing w:before="180" w:after="180"/>
      </w:pPr>
      <w:bookmarkStart w:id="44" w:name="_Ref1894579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8A2FD0">
        <w:rPr>
          <w:noProof/>
        </w:rPr>
        <w:t>15</w:t>
      </w:r>
      <w:r w:rsidR="002406B3">
        <w:fldChar w:fldCharType="end"/>
      </w:r>
      <w:bookmarkEnd w:id="44"/>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7E4761">
            <w:pPr>
              <w:pStyle w:val="af9"/>
              <w:jc w:val="center"/>
            </w:pPr>
            <w:r w:rsidRPr="00DB54B6">
              <w:t>MSE</w:t>
            </w:r>
          </w:p>
        </w:tc>
      </w:tr>
      <w:tr w:rsidR="00556A6A" w:rsidRPr="00DB54B6" w14:paraId="280095AA" w14:textId="77777777" w:rsidTr="007E4761">
        <w:trPr>
          <w:trHeight w:val="310"/>
        </w:trPr>
        <w:tc>
          <w:tcPr>
            <w:tcW w:w="935" w:type="pct"/>
            <w:tcBorders>
              <w:top w:val="single" w:sz="8" w:space="0" w:color="auto"/>
              <w:right w:val="single" w:sz="8" w:space="0" w:color="auto"/>
            </w:tcBorders>
            <w:shd w:val="clear" w:color="auto" w:fill="auto"/>
            <w:noWrap/>
            <w:hideMark/>
          </w:tcPr>
          <w:p w14:paraId="5F39CB39" w14:textId="77777777" w:rsidR="00556A6A" w:rsidRPr="00DB54B6" w:rsidRDefault="00556A6A" w:rsidP="007E4761">
            <w:pPr>
              <w:pStyle w:val="af9"/>
            </w:pPr>
            <w:r w:rsidRPr="001639B4">
              <w:t>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7E4761">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7E4761">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7E4761">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7E4761">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7E4761">
            <w:pPr>
              <w:pStyle w:val="af9"/>
              <w:jc w:val="right"/>
            </w:pPr>
            <w:r w:rsidRPr="00DD3DE5">
              <w:t>0.9256</w:t>
            </w:r>
          </w:p>
        </w:tc>
      </w:tr>
      <w:tr w:rsidR="00556A6A" w:rsidRPr="00DB54B6" w14:paraId="63E0222A" w14:textId="77777777" w:rsidTr="007E4761">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7E4761">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7E4761">
            <w:pPr>
              <w:pStyle w:val="af9"/>
              <w:jc w:val="right"/>
            </w:pPr>
            <w:r w:rsidRPr="00DD3DE5">
              <w:t>-0.2706</w:t>
            </w:r>
          </w:p>
        </w:tc>
        <w:tc>
          <w:tcPr>
            <w:tcW w:w="774" w:type="pct"/>
            <w:shd w:val="clear" w:color="auto" w:fill="auto"/>
            <w:noWrap/>
            <w:hideMark/>
          </w:tcPr>
          <w:p w14:paraId="11A70BB8" w14:textId="77777777" w:rsidR="00556A6A" w:rsidRPr="00DB54B6" w:rsidRDefault="00556A6A" w:rsidP="007E4761">
            <w:pPr>
              <w:pStyle w:val="af9"/>
              <w:jc w:val="right"/>
            </w:pPr>
            <w:r w:rsidRPr="00DD3DE5">
              <w:t>0.0144</w:t>
            </w:r>
          </w:p>
        </w:tc>
        <w:tc>
          <w:tcPr>
            <w:tcW w:w="807" w:type="pct"/>
            <w:shd w:val="clear" w:color="auto" w:fill="auto"/>
            <w:noWrap/>
            <w:hideMark/>
          </w:tcPr>
          <w:p w14:paraId="507949BD" w14:textId="77777777" w:rsidR="00556A6A" w:rsidRPr="00DB54B6" w:rsidRDefault="00556A6A" w:rsidP="007E4761">
            <w:pPr>
              <w:pStyle w:val="af9"/>
            </w:pPr>
            <w:r w:rsidRPr="00DD3DE5">
              <w:t>**</w:t>
            </w:r>
          </w:p>
        </w:tc>
        <w:tc>
          <w:tcPr>
            <w:tcW w:w="818" w:type="pct"/>
            <w:shd w:val="clear" w:color="auto" w:fill="auto"/>
            <w:noWrap/>
            <w:hideMark/>
          </w:tcPr>
          <w:p w14:paraId="580EC4D4" w14:textId="77777777" w:rsidR="00556A6A" w:rsidRPr="00DB54B6" w:rsidRDefault="00556A6A" w:rsidP="007E4761">
            <w:pPr>
              <w:pStyle w:val="af9"/>
            </w:pPr>
          </w:p>
        </w:tc>
        <w:tc>
          <w:tcPr>
            <w:tcW w:w="774" w:type="pct"/>
            <w:shd w:val="clear" w:color="auto" w:fill="auto"/>
            <w:noWrap/>
            <w:hideMark/>
          </w:tcPr>
          <w:p w14:paraId="49A1EBCE" w14:textId="77777777" w:rsidR="00556A6A" w:rsidRPr="00DB54B6" w:rsidRDefault="00556A6A" w:rsidP="007E4761">
            <w:pPr>
              <w:pStyle w:val="af9"/>
            </w:pPr>
          </w:p>
        </w:tc>
      </w:tr>
      <w:tr w:rsidR="00556A6A" w:rsidRPr="00DB54B6" w14:paraId="4AB8D293" w14:textId="77777777" w:rsidTr="007E4761">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7E4761">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7E4761">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7E4761">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7E4761">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7E4761">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7E4761">
            <w:pPr>
              <w:pStyle w:val="af9"/>
            </w:pPr>
          </w:p>
        </w:tc>
      </w:tr>
    </w:tbl>
    <w:p w14:paraId="2F7336C8"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r>
        <w:rPr>
          <w:rFonts w:hint="eastAsia"/>
        </w:rPr>
        <w:t>5.</w:t>
      </w:r>
      <w:r w:rsidR="008771A3">
        <w:rPr>
          <w:rFonts w:hint="eastAsia"/>
        </w:rPr>
        <w:t>3</w:t>
      </w:r>
      <w:r>
        <w:rPr>
          <w:rFonts w:hint="eastAsia"/>
        </w:rPr>
        <w:t>.3</w:t>
      </w:r>
      <w:proofErr w:type="gramStart"/>
      <w:r>
        <w:rPr>
          <w:rFonts w:hint="eastAsia"/>
        </w:rPr>
        <w:t>兩</w:t>
      </w:r>
      <w:proofErr w:type="gramEnd"/>
      <w:r>
        <w:rPr>
          <w:rFonts w:hint="eastAsia"/>
        </w:rPr>
        <w:t>方法比較分析</w:t>
      </w:r>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w:t>
      </w:r>
      <w:proofErr w:type="gramStart"/>
      <w:r w:rsidRPr="00B74C6F">
        <w:t>特</w:t>
      </w:r>
      <w:proofErr w:type="gramEnd"/>
      <w:r w:rsidRPr="00B74C6F">
        <w:t>幣選擇權商品，本研究分別採用單點配適法與</w:t>
      </w:r>
      <w:proofErr w:type="gramStart"/>
      <w:r w:rsidRPr="00B74C6F">
        <w:t>雙點配適法建</w:t>
      </w:r>
      <w:proofErr w:type="gramEnd"/>
      <w:r w:rsidRPr="00B74C6F">
        <w:t>構</w:t>
      </w:r>
      <w:r w:rsidRPr="00B74C6F">
        <w:t>RND</w:t>
      </w:r>
      <w:r w:rsidRPr="00B74C6F">
        <w:t>，並進行實證</w:t>
      </w:r>
      <w:proofErr w:type="gramStart"/>
      <w:r w:rsidRPr="00B74C6F">
        <w:t>迴</w:t>
      </w:r>
      <w:proofErr w:type="gramEnd"/>
      <w:r w:rsidRPr="00B74C6F">
        <w:t>歸分析比較。實證結果顯示，兩種方法在預測</w:t>
      </w:r>
      <w:proofErr w:type="gramStart"/>
      <w:r w:rsidRPr="00B74C6F">
        <w:t>週</w:t>
      </w:r>
      <w:proofErr w:type="gramEnd"/>
      <w:r w:rsidRPr="00B74C6F">
        <w:t>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w:t>
      </w:r>
      <w:proofErr w:type="gramStart"/>
      <w:r w:rsidRPr="00B74C6F">
        <w:t>週</w:t>
      </w:r>
      <w:proofErr w:type="gramEnd"/>
      <w:r w:rsidRPr="00B74C6F">
        <w:t>報酬率的預測上，單點配適法與</w:t>
      </w:r>
      <w:proofErr w:type="gramStart"/>
      <w:r w:rsidRPr="00B74C6F">
        <w:t>雙點配適</w:t>
      </w:r>
      <w:proofErr w:type="gramEnd"/>
      <w:r w:rsidRPr="00B74C6F">
        <w:t>法皆能有效捕捉市場資訊。此結果與日報酬率預測時所觀察到的差異形成對比，推測其原因可能為：</w:t>
      </w:r>
      <w:proofErr w:type="gramStart"/>
      <w:r w:rsidRPr="00B74C6F">
        <w:t>週</w:t>
      </w:r>
      <w:proofErr w:type="gramEnd"/>
      <w:r w:rsidRPr="00B74C6F">
        <w:t>報酬率之預測區間較</w:t>
      </w:r>
      <w:r w:rsidRPr="00B74C6F">
        <w:lastRenderedPageBreak/>
        <w:t>長，使得</w:t>
      </w:r>
      <w:proofErr w:type="gramStart"/>
      <w:r w:rsidRPr="00B74C6F">
        <w:t>尾部配適方法</w:t>
      </w:r>
      <w:proofErr w:type="gramEnd"/>
      <w:r w:rsidRPr="00B74C6F">
        <w:t>對整體預測結果的影響程度相對降低。</w:t>
      </w:r>
    </w:p>
    <w:p w14:paraId="42613C16" w14:textId="77777777" w:rsidR="00B74C6F" w:rsidRDefault="00B74C6F" w:rsidP="00B74C6F">
      <w:pPr>
        <w:spacing w:before="180" w:after="180"/>
        <w:ind w:firstLine="480"/>
      </w:pPr>
      <w:r w:rsidRPr="00B74C6F">
        <w:t>在模型預測效果方面，兩種方法皆選取</w:t>
      </w:r>
      <w:proofErr w:type="gramStart"/>
      <w:r w:rsidRPr="00B74C6F">
        <w:t>超額峰度</w:t>
      </w:r>
      <w:proofErr w:type="gramEnd"/>
      <w:r w:rsidRPr="00B74C6F">
        <w:t>（</w:t>
      </w:r>
      <w:r w:rsidRPr="00B74C6F">
        <w:t>Kurtosis</w:t>
      </w:r>
      <w:r w:rsidRPr="00B74C6F">
        <w:t>）、中位數（</w:t>
      </w:r>
      <w:r w:rsidRPr="00B74C6F">
        <w:t>Median</w:t>
      </w:r>
      <w:r w:rsidRPr="00B74C6F">
        <w:t>）及加密貨幣恐懼貪婪指數（</w:t>
      </w:r>
      <w:r w:rsidRPr="00B74C6F">
        <w:t>Fear and Greed Index</w:t>
      </w:r>
      <w:r w:rsidRPr="00B74C6F">
        <w:t>）作為最佳預測變數組合，且模型之解釋能力（</w:t>
      </w:r>
      <w:r w:rsidRPr="00B74C6F">
        <w:t>R-squared = 0.0666</w:t>
      </w:r>
      <w:r w:rsidRPr="00B74C6F">
        <w:t>）與預測誤差（</w:t>
      </w:r>
      <w:r w:rsidRPr="00B74C6F">
        <w:t>MSE = 0.9256</w:t>
      </w:r>
      <w:r w:rsidRPr="00B74C6F">
        <w:t>）完全相同。</w:t>
      </w:r>
    </w:p>
    <w:p w14:paraId="56411E6E" w14:textId="0D678E32" w:rsidR="00655F06" w:rsidRPr="00B74C6F" w:rsidRDefault="00B74C6F" w:rsidP="00B74C6F">
      <w:pPr>
        <w:spacing w:before="180" w:after="180"/>
        <w:ind w:firstLine="480"/>
      </w:pPr>
      <w:r>
        <w:rPr>
          <w:rFonts w:hint="eastAsia"/>
        </w:rPr>
        <w:t>綜上所述，本研究發現</w:t>
      </w:r>
      <w:r w:rsidRPr="00B74C6F">
        <w:t>在預測</w:t>
      </w:r>
      <w:proofErr w:type="gramStart"/>
      <w:r w:rsidRPr="00B74C6F">
        <w:t>週</w:t>
      </w:r>
      <w:proofErr w:type="gramEnd"/>
      <w:r w:rsidRPr="00B74C6F">
        <w:t>報酬率時，單點配適法不僅能達到與</w:t>
      </w:r>
      <w:proofErr w:type="gramStart"/>
      <w:r w:rsidRPr="00B74C6F">
        <w:t>雙點配適</w:t>
      </w:r>
      <w:proofErr w:type="gramEnd"/>
      <w:r w:rsidRPr="00B74C6F">
        <w:t>法相同的預測效果，更具有計算效率之優勢。</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45" w:name="_Toc182815183"/>
      <w:r>
        <w:rPr>
          <w:rFonts w:hint="eastAsia"/>
        </w:rPr>
        <w:lastRenderedPageBreak/>
        <w:t>附錄</w:t>
      </w:r>
    </w:p>
    <w:p w14:paraId="0377CFCD" w14:textId="278B010A" w:rsidR="00786B72" w:rsidRDefault="00786B72" w:rsidP="00786B72">
      <w:pPr>
        <w:pStyle w:val="a9"/>
        <w:keepNext/>
        <w:spacing w:before="180" w:after="180"/>
      </w:pPr>
      <w:bookmarkStart w:id="46" w:name="_Ref1894486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A2FD0">
        <w:rPr>
          <w:noProof/>
        </w:rPr>
        <w:t>1</w:t>
      </w:r>
      <w:r>
        <w:fldChar w:fldCharType="end"/>
      </w:r>
      <w:bookmarkEnd w:id="46"/>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47"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5C137C33" w:rsidR="00786B72" w:rsidRDefault="00786B72" w:rsidP="00786B72">
      <w:pPr>
        <w:pStyle w:val="a9"/>
        <w:keepNext/>
        <w:spacing w:before="180" w:after="180"/>
      </w:pPr>
      <w:bookmarkStart w:id="48" w:name="_Ref18990494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A2FD0">
        <w:rPr>
          <w:noProof/>
        </w:rPr>
        <w:t>2</w:t>
      </w:r>
      <w:r>
        <w:fldChar w:fldCharType="end"/>
      </w:r>
      <w:bookmarkEnd w:id="47"/>
      <w:bookmarkEnd w:id="48"/>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49"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28A61652" w:rsidR="00925907" w:rsidRDefault="00925907" w:rsidP="00925907">
      <w:pPr>
        <w:pStyle w:val="a9"/>
        <w:keepNext/>
        <w:spacing w:before="180" w:after="180"/>
      </w:pPr>
      <w:bookmarkStart w:id="50" w:name="_Ref18990600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A2FD0">
        <w:rPr>
          <w:noProof/>
        </w:rPr>
        <w:t>3</w:t>
      </w:r>
      <w:r>
        <w:fldChar w:fldCharType="end"/>
      </w:r>
      <w:bookmarkEnd w:id="49"/>
      <w:bookmarkEnd w:id="50"/>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77777777" w:rsidR="00925907" w:rsidRPr="00925907" w:rsidRDefault="00925907" w:rsidP="00925907">
            <w:pPr>
              <w:pStyle w:val="af9"/>
              <w:rPr>
                <w:sz w:val="8"/>
                <w:szCs w:val="10"/>
              </w:rPr>
            </w:pPr>
            <w:r w:rsidRPr="00925907">
              <w:rPr>
                <w:sz w:val="8"/>
                <w:szCs w:val="10"/>
              </w:rPr>
              <w:t>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51" w:name="_Ref18945176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473F1AB0" w:rsidR="006A1E80" w:rsidRDefault="006A1E80" w:rsidP="006A1E80">
      <w:pPr>
        <w:pStyle w:val="a9"/>
        <w:keepNext/>
        <w:spacing w:before="180" w:after="180"/>
      </w:pPr>
      <w:bookmarkStart w:id="52" w:name="_Ref18990589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A2FD0">
        <w:rPr>
          <w:noProof/>
        </w:rPr>
        <w:t>4</w:t>
      </w:r>
      <w:r>
        <w:fldChar w:fldCharType="end"/>
      </w:r>
      <w:bookmarkEnd w:id="51"/>
      <w:bookmarkEnd w:id="52"/>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7E4761">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7E4761">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7E4761">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7E4761">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7E4761">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7E4761">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7E4761">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7E4761">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7E4761">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7E4761">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7E4761">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53"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4800C4DB" w:rsidR="006A1E80" w:rsidRDefault="006A1E80" w:rsidP="006A1E80">
      <w:pPr>
        <w:pStyle w:val="a9"/>
        <w:keepNext/>
        <w:spacing w:before="180" w:after="180"/>
      </w:pPr>
      <w:bookmarkStart w:id="54" w:name="_Ref18990589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A2FD0">
        <w:rPr>
          <w:noProof/>
        </w:rPr>
        <w:t>5</w:t>
      </w:r>
      <w:r>
        <w:fldChar w:fldCharType="end"/>
      </w:r>
      <w:bookmarkEnd w:id="53"/>
      <w:bookmarkEnd w:id="54"/>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7E4761">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7E4761">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7E4761">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7E4761">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7E4761">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7E4761">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7E4761">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7E4761">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7E4761">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7E4761">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7E4761">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7E4761">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7E4761">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7E4761">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0FD3BA42" w:rsidR="00A56D4E" w:rsidRDefault="00A56D4E" w:rsidP="00A56D4E">
      <w:pPr>
        <w:pStyle w:val="a9"/>
        <w:keepNext/>
        <w:spacing w:before="180" w:after="180"/>
      </w:pPr>
      <w:bookmarkStart w:id="55" w:name="_Ref189455844"/>
      <w:bookmarkStart w:id="56" w:name="_Ref189455832"/>
      <w:bookmarkStart w:id="57"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A2FD0">
        <w:rPr>
          <w:noProof/>
        </w:rPr>
        <w:t>6</w:t>
      </w:r>
      <w:r>
        <w:fldChar w:fldCharType="end"/>
      </w:r>
      <w:bookmarkEnd w:id="55"/>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歸分析結果（單點配適法）</w:t>
      </w:r>
      <w:bookmarkEnd w:id="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7777777" w:rsidR="00653EE0" w:rsidRPr="00A56D4E" w:rsidRDefault="00653EE0" w:rsidP="00653EE0">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58"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099FF978" w:rsidR="00653EE0" w:rsidRDefault="00653EE0" w:rsidP="00653EE0">
      <w:pPr>
        <w:pStyle w:val="a9"/>
        <w:keepNext/>
        <w:spacing w:before="180" w:after="180"/>
        <w:ind w:firstLine="480"/>
      </w:pPr>
      <w:bookmarkStart w:id="59" w:name="_Ref189455846"/>
      <w:bookmarkEnd w:id="5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A2FD0">
        <w:rPr>
          <w:noProof/>
        </w:rPr>
        <w:t>7</w:t>
      </w:r>
      <w:r>
        <w:fldChar w:fldCharType="end"/>
      </w:r>
      <w:bookmarkEnd w:id="59"/>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00BCC674" w:rsidR="00653EE0" w:rsidRDefault="00653EE0" w:rsidP="00653EE0">
      <w:pPr>
        <w:pStyle w:val="a9"/>
        <w:keepNext/>
        <w:spacing w:before="180" w:after="180"/>
        <w:ind w:firstLine="480"/>
      </w:pPr>
      <w:bookmarkStart w:id="60" w:name="_Ref18945584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A2FD0">
        <w:rPr>
          <w:noProof/>
        </w:rPr>
        <w:t>8</w:t>
      </w:r>
      <w:r>
        <w:fldChar w:fldCharType="end"/>
      </w:r>
      <w:bookmarkEnd w:id="60"/>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7E4761">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7E4761">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7E4761">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7E4761">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7E4761">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7E4761">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7E4761">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7E4761">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57"/>
    </w:p>
    <w:p w14:paraId="54113F93" w14:textId="45CF868D"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A2FD0">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7E4761">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7E4761">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7E4761">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7E4761">
        <w:trPr>
          <w:trHeight w:val="310"/>
        </w:trPr>
        <w:tc>
          <w:tcPr>
            <w:tcW w:w="719" w:type="pct"/>
            <w:tcBorders>
              <w:right w:val="single" w:sz="8" w:space="0" w:color="auto"/>
            </w:tcBorders>
            <w:shd w:val="clear" w:color="auto" w:fill="auto"/>
            <w:noWrap/>
            <w:vAlign w:val="center"/>
            <w:hideMark/>
          </w:tcPr>
          <w:p w14:paraId="1ABA9BD8" w14:textId="77777777" w:rsidR="00360605" w:rsidRPr="00A56D4E" w:rsidRDefault="00360605" w:rsidP="00360605">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7E4761">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7E4761">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7E4761">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7E4761">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7E4761">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7E4761">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7E4761">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4EBE2FD8"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A2FD0">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0A8E6CC6"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8A2FD0">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7E4761">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7E4761">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7E4761">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7E4761">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7E4761">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7E4761">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7E4761">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7E4761">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02F0225D" w14:textId="77CCEA91" w:rsidR="0068520F" w:rsidRDefault="0073610D" w:rsidP="00025BEA">
      <w:pPr>
        <w:pStyle w:val="1"/>
        <w:spacing w:before="180" w:after="180"/>
      </w:pPr>
      <w:r>
        <w:rPr>
          <w:rFonts w:hint="eastAsia"/>
        </w:rPr>
        <w:lastRenderedPageBreak/>
        <w:t>參考文獻</w:t>
      </w:r>
      <w:bookmarkEnd w:id="45"/>
    </w:p>
    <w:p w14:paraId="70EF9504" w14:textId="77777777" w:rsidR="00025BEA" w:rsidRPr="00025BEA" w:rsidRDefault="00025BEA" w:rsidP="00025BEA">
      <w:pPr>
        <w:pStyle w:val="af2"/>
        <w:spacing w:beforeLines="0" w:before="0" w:after="180" w:line="240" w:lineRule="auto"/>
        <w:ind w:left="0" w:firstLine="480"/>
        <w:jc w:val="left"/>
      </w:pPr>
      <w:r>
        <w:fldChar w:fldCharType="begin"/>
      </w:r>
      <w:r w:rsidRPr="00025BEA">
        <w:rPr>
          <w:lang w:val="de-DE"/>
        </w:rPr>
        <w:instrText xml:space="preserve"> ADDIN ZOTERO_BIBL {"uncited":[],"omitted":[],"custom":[]} CSL_BIBLIOGRAPHY </w:instrText>
      </w:r>
      <w:r>
        <w:fldChar w:fldCharType="separate"/>
      </w:r>
      <w:r w:rsidRPr="00025BEA">
        <w:rPr>
          <w:lang w:val="de-DE"/>
        </w:rPr>
        <w:t xml:space="preserve">Balkema, A. A., &amp; Haan, L. de. </w:t>
      </w:r>
      <w:r w:rsidRPr="00025BEA">
        <w:t xml:space="preserve">(1974). Residual Life Time at Great Age. </w:t>
      </w:r>
      <w:r w:rsidRPr="00025BEA">
        <w:rPr>
          <w:i/>
          <w:iCs/>
        </w:rPr>
        <w:t>The Annals of Probability</w:t>
      </w:r>
      <w:r w:rsidRPr="00025BEA">
        <w:t xml:space="preserve">, </w:t>
      </w:r>
      <w:r w:rsidRPr="00025BEA">
        <w:rPr>
          <w:i/>
          <w:iCs/>
        </w:rPr>
        <w:t>2</w:t>
      </w:r>
      <w:r w:rsidRPr="00025BEA">
        <w:t>(5), 792–804. https://doi.org/10.1214/aop/1176996548</w:t>
      </w:r>
    </w:p>
    <w:p w14:paraId="3234B869" w14:textId="77777777" w:rsidR="00025BEA" w:rsidRPr="00025BEA" w:rsidRDefault="00025BEA" w:rsidP="00025BEA">
      <w:pPr>
        <w:pStyle w:val="af2"/>
        <w:spacing w:beforeLines="0" w:before="0" w:after="180" w:line="240" w:lineRule="auto"/>
        <w:ind w:left="0" w:firstLine="480"/>
        <w:jc w:val="left"/>
      </w:pPr>
      <w:r w:rsidRPr="00025BEA">
        <w:t xml:space="preserve">Birru, J., &amp; Figlewski, S. (2012). Anatomy of a meltdown: The risk neutral density for the S&amp;P 500 in the fall of 2008. </w:t>
      </w:r>
      <w:r w:rsidRPr="00025BEA">
        <w:rPr>
          <w:i/>
          <w:iCs/>
        </w:rPr>
        <w:t>Journal of Financial Markets</w:t>
      </w:r>
      <w:r w:rsidRPr="00025BEA">
        <w:t xml:space="preserve">, </w:t>
      </w:r>
      <w:r w:rsidRPr="00025BEA">
        <w:rPr>
          <w:i/>
          <w:iCs/>
        </w:rPr>
        <w:t>15</w:t>
      </w:r>
      <w:r w:rsidRPr="00025BEA">
        <w:t>(2), 151–180. https://doi.org/10.1016/j.finmar.2011.09.001</w:t>
      </w:r>
    </w:p>
    <w:p w14:paraId="2B9354A9" w14:textId="77777777" w:rsidR="00025BEA" w:rsidRPr="00025BEA" w:rsidRDefault="00025BEA" w:rsidP="00025BEA">
      <w:pPr>
        <w:pStyle w:val="af2"/>
        <w:spacing w:beforeLines="0" w:before="0" w:after="180" w:line="240" w:lineRule="auto"/>
        <w:ind w:left="0" w:firstLine="480"/>
        <w:jc w:val="left"/>
      </w:pPr>
      <w:r w:rsidRPr="00025BEA">
        <w:t xml:space="preserve">Figlewski, S. (2008). </w:t>
      </w:r>
      <w:r w:rsidRPr="00025BEA">
        <w:rPr>
          <w:i/>
          <w:iCs/>
        </w:rPr>
        <w:t>Estimating the Implied Risk Neutral Density for the U.S. Market Portfolio</w:t>
      </w:r>
      <w:r w:rsidRPr="00025BEA">
        <w:t xml:space="preserve"> (SSRN Scholarly Paper No. 1256783). Social Science Research Network. https://papers.ssrn.com/abstract=1256783</w:t>
      </w:r>
    </w:p>
    <w:p w14:paraId="4E2399EE" w14:textId="77777777" w:rsidR="00025BEA" w:rsidRPr="00025BEA" w:rsidRDefault="00025BEA" w:rsidP="00025BEA">
      <w:pPr>
        <w:pStyle w:val="af2"/>
        <w:spacing w:beforeLines="0" w:before="0" w:after="180" w:line="240" w:lineRule="auto"/>
        <w:ind w:left="0" w:firstLine="480"/>
        <w:jc w:val="left"/>
        <w:rPr>
          <w:lang w:val="de-DE"/>
        </w:rPr>
      </w:pPr>
      <w:r w:rsidRPr="00025BEA">
        <w:t xml:space="preserve">Hosking, J. R. M., &amp; Wallis, J. R. (1987). Parameter and Quantile Estimation for the Generalized Pareto Distribution. </w:t>
      </w:r>
      <w:r w:rsidRPr="00025BEA">
        <w:rPr>
          <w:i/>
          <w:iCs/>
          <w:lang w:val="de-DE"/>
        </w:rPr>
        <w:t>Technometrics</w:t>
      </w:r>
      <w:r w:rsidRPr="00025BEA">
        <w:rPr>
          <w:lang w:val="de-DE"/>
        </w:rPr>
        <w:t xml:space="preserve">, </w:t>
      </w:r>
      <w:r w:rsidRPr="00025BEA">
        <w:rPr>
          <w:i/>
          <w:iCs/>
          <w:lang w:val="de-DE"/>
        </w:rPr>
        <w:t>29</w:t>
      </w:r>
      <w:r w:rsidRPr="00025BEA">
        <w:rPr>
          <w:lang w:val="de-DE"/>
        </w:rPr>
        <w:t>(3), 339–349. https://doi.org/10.2307/1269343</w:t>
      </w:r>
    </w:p>
    <w:p w14:paraId="46D524B0" w14:textId="77777777" w:rsidR="00025BEA" w:rsidRPr="00025BEA" w:rsidRDefault="00025BEA" w:rsidP="00025BEA">
      <w:pPr>
        <w:pStyle w:val="af2"/>
        <w:spacing w:beforeLines="0" w:before="0" w:after="180" w:line="240" w:lineRule="auto"/>
        <w:ind w:left="0" w:firstLine="480"/>
        <w:jc w:val="left"/>
      </w:pPr>
      <w:r w:rsidRPr="00025BEA">
        <w:rPr>
          <w:lang w:val="de-DE"/>
        </w:rPr>
        <w:t xml:space="preserve">Li, X., Wu, Z., Zhang, H., &amp; Zhang, L. (2024). </w:t>
      </w:r>
      <w:r w:rsidRPr="00025BEA">
        <w:t xml:space="preserve">Risk-neutral skewness and stock market returns: A time-series analysis. </w:t>
      </w:r>
      <w:r w:rsidRPr="00025BEA">
        <w:rPr>
          <w:i/>
          <w:iCs/>
        </w:rPr>
        <w:t>The North American Journal of Economics and Finance</w:t>
      </w:r>
      <w:r w:rsidRPr="00025BEA">
        <w:t xml:space="preserve">, </w:t>
      </w:r>
      <w:r w:rsidRPr="00025BEA">
        <w:rPr>
          <w:i/>
          <w:iCs/>
        </w:rPr>
        <w:t>70</w:t>
      </w:r>
      <w:r w:rsidRPr="00025BEA">
        <w:t>, 102040. https://doi.org/10.1016/j.najef.2023.102040</w:t>
      </w:r>
    </w:p>
    <w:p w14:paraId="79ED5CFC" w14:textId="77777777" w:rsidR="00025BEA" w:rsidRPr="00025BEA" w:rsidRDefault="00025BEA" w:rsidP="00025BEA">
      <w:pPr>
        <w:pStyle w:val="af2"/>
        <w:spacing w:beforeLines="0" w:before="0" w:after="180" w:line="240" w:lineRule="auto"/>
        <w:ind w:left="0" w:firstLine="480"/>
        <w:jc w:val="left"/>
      </w:pPr>
      <w:r w:rsidRPr="00025BEA">
        <w:rPr>
          <w:lang w:val="de-DE"/>
        </w:rPr>
        <w:t xml:space="preserve">McNeil, A. J., &amp; Frey, R. (2000). </w:t>
      </w:r>
      <w:r w:rsidRPr="00025BEA">
        <w:t xml:space="preserve">Estimation of tail-related risk measures for heteroscedastic financial time series: An extreme value approach. </w:t>
      </w:r>
      <w:r w:rsidRPr="00025BEA">
        <w:rPr>
          <w:i/>
          <w:iCs/>
        </w:rPr>
        <w:t>Journal of Empirical Finance</w:t>
      </w:r>
      <w:r w:rsidRPr="00025BEA">
        <w:t xml:space="preserve">, </w:t>
      </w:r>
      <w:r w:rsidRPr="00025BEA">
        <w:rPr>
          <w:i/>
          <w:iCs/>
        </w:rPr>
        <w:t>7</w:t>
      </w:r>
      <w:r w:rsidRPr="00025BEA">
        <w:t>(3), 271–300. https://doi.org/10.1016/S0927-5398(00)00012-8</w:t>
      </w:r>
    </w:p>
    <w:p w14:paraId="221522B7" w14:textId="77777777" w:rsidR="00025BEA" w:rsidRPr="00025BEA" w:rsidRDefault="00025BEA" w:rsidP="00025BEA">
      <w:pPr>
        <w:pStyle w:val="af2"/>
        <w:spacing w:beforeLines="0" w:before="0" w:after="180" w:line="240" w:lineRule="auto"/>
        <w:ind w:left="0" w:firstLine="480"/>
        <w:jc w:val="left"/>
      </w:pPr>
      <w:r w:rsidRPr="00025BEA">
        <w:t xml:space="preserve">Shimko, D. (1993). Bounds of probability. </w:t>
      </w:r>
      <w:r w:rsidRPr="00025BEA">
        <w:rPr>
          <w:i/>
          <w:iCs/>
        </w:rPr>
        <w:t>Risk</w:t>
      </w:r>
      <w:r w:rsidRPr="00025BEA">
        <w:t xml:space="preserve">, </w:t>
      </w:r>
      <w:r w:rsidRPr="00025BEA">
        <w:rPr>
          <w:i/>
          <w:iCs/>
        </w:rPr>
        <w:t>6</w:t>
      </w:r>
      <w:r w:rsidRPr="00025BEA">
        <w:t>(4), 33–37.</w:t>
      </w:r>
    </w:p>
    <w:p w14:paraId="28587081" w14:textId="198D10F6" w:rsidR="00025BEA" w:rsidRPr="00025BEA" w:rsidRDefault="00025BEA" w:rsidP="00025BEA">
      <w:pPr>
        <w:pStyle w:val="afb"/>
        <w:spacing w:after="1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F55EA" w14:textId="77777777" w:rsidR="002E6A38" w:rsidRDefault="002E6A38" w:rsidP="001C4CCF">
      <w:pPr>
        <w:spacing w:before="120" w:after="120" w:line="240" w:lineRule="auto"/>
        <w:ind w:firstLine="480"/>
      </w:pPr>
      <w:r>
        <w:separator/>
      </w:r>
    </w:p>
  </w:endnote>
  <w:endnote w:type="continuationSeparator" w:id="0">
    <w:p w14:paraId="0484F12F" w14:textId="77777777" w:rsidR="002E6A38" w:rsidRDefault="002E6A38"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178AF7" w14:textId="77777777" w:rsidR="002E6A38" w:rsidRDefault="002E6A38" w:rsidP="001C4CCF">
      <w:pPr>
        <w:spacing w:before="120" w:after="120" w:line="240" w:lineRule="auto"/>
        <w:ind w:firstLine="480"/>
      </w:pPr>
      <w:r>
        <w:separator/>
      </w:r>
    </w:p>
  </w:footnote>
  <w:footnote w:type="continuationSeparator" w:id="0">
    <w:p w14:paraId="4600A37A" w14:textId="77777777" w:rsidR="002E6A38" w:rsidRDefault="002E6A38" w:rsidP="001C4CCF">
      <w:pPr>
        <w:spacing w:before="120" w:after="120" w:line="240" w:lineRule="auto"/>
        <w:ind w:firstLine="480"/>
      </w:pPr>
      <w:r>
        <w:continuationSeparator/>
      </w:r>
    </w:p>
  </w:footnote>
  <w:footnote w:id="1">
    <w:p w14:paraId="44948E6A" w14:textId="77777777" w:rsidR="00FC6694" w:rsidRPr="00D20BE4" w:rsidRDefault="00FC6694" w:rsidP="00FC669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Pr>
            <w:rStyle w:val="af4"/>
          </w:rPr>
          <w:t>https://www.deribit.com/</w:t>
        </w:r>
      </w:hyperlink>
    </w:p>
  </w:footnote>
  <w:footnote w:id="2">
    <w:p w14:paraId="5535ABD3" w14:textId="77777777" w:rsidR="00FC6694" w:rsidRDefault="00FC6694" w:rsidP="00FC6694">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216EAB5B" w14:textId="77777777" w:rsidR="00182BF8" w:rsidRDefault="00182BF8" w:rsidP="00182BF8">
      <w:pPr>
        <w:pStyle w:val="af"/>
        <w:spacing w:before="180" w:after="180"/>
        <w:ind w:firstLine="400"/>
      </w:pPr>
      <w:r>
        <w:rPr>
          <w:rStyle w:val="af1"/>
        </w:rPr>
        <w:footnoteRef/>
      </w:r>
      <w:r>
        <w:rPr>
          <w:rFonts w:hint="eastAsia"/>
        </w:rPr>
        <w:t xml:space="preserve"> 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2"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4"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5"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5"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C1E57C7"/>
    <w:multiLevelType w:val="hybridMultilevel"/>
    <w:tmpl w:val="D2A8147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28"/>
  </w:num>
  <w:num w:numId="2" w16cid:durableId="396368862">
    <w:abstractNumId w:val="23"/>
  </w:num>
  <w:num w:numId="3" w16cid:durableId="164177961">
    <w:abstractNumId w:val="14"/>
  </w:num>
  <w:num w:numId="4" w16cid:durableId="1695351208">
    <w:abstractNumId w:val="26"/>
  </w:num>
  <w:num w:numId="5" w16cid:durableId="1314259761">
    <w:abstractNumId w:val="18"/>
  </w:num>
  <w:num w:numId="6" w16cid:durableId="1586499273">
    <w:abstractNumId w:val="13"/>
  </w:num>
  <w:num w:numId="7" w16cid:durableId="1924871501">
    <w:abstractNumId w:val="24"/>
  </w:num>
  <w:num w:numId="8" w16cid:durableId="2020084510">
    <w:abstractNumId w:val="11"/>
  </w:num>
  <w:num w:numId="9" w16cid:durableId="84423681">
    <w:abstractNumId w:val="5"/>
  </w:num>
  <w:num w:numId="10" w16cid:durableId="833880678">
    <w:abstractNumId w:val="8"/>
  </w:num>
  <w:num w:numId="11" w16cid:durableId="1789004280">
    <w:abstractNumId w:val="15"/>
  </w:num>
  <w:num w:numId="12" w16cid:durableId="1722898519">
    <w:abstractNumId w:val="9"/>
  </w:num>
  <w:num w:numId="13" w16cid:durableId="962811505">
    <w:abstractNumId w:val="12"/>
  </w:num>
  <w:num w:numId="14" w16cid:durableId="1621257747">
    <w:abstractNumId w:val="21"/>
  </w:num>
  <w:num w:numId="15" w16cid:durableId="1069961925">
    <w:abstractNumId w:val="17"/>
  </w:num>
  <w:num w:numId="16" w16cid:durableId="1538084520">
    <w:abstractNumId w:val="4"/>
  </w:num>
  <w:num w:numId="17" w16cid:durableId="1553735742">
    <w:abstractNumId w:val="3"/>
  </w:num>
  <w:num w:numId="18" w16cid:durableId="865992748">
    <w:abstractNumId w:val="10"/>
  </w:num>
  <w:num w:numId="19" w16cid:durableId="1331524736">
    <w:abstractNumId w:val="6"/>
  </w:num>
  <w:num w:numId="20" w16cid:durableId="2005157502">
    <w:abstractNumId w:val="7"/>
  </w:num>
  <w:num w:numId="21" w16cid:durableId="829718078">
    <w:abstractNumId w:val="27"/>
  </w:num>
  <w:num w:numId="22" w16cid:durableId="1448886782">
    <w:abstractNumId w:val="25"/>
  </w:num>
  <w:num w:numId="23" w16cid:durableId="2040815325">
    <w:abstractNumId w:val="2"/>
  </w:num>
  <w:num w:numId="24" w16cid:durableId="1695767039">
    <w:abstractNumId w:val="19"/>
  </w:num>
  <w:num w:numId="25" w16cid:durableId="163011745">
    <w:abstractNumId w:val="16"/>
  </w:num>
  <w:num w:numId="26" w16cid:durableId="1295677988">
    <w:abstractNumId w:val="0"/>
  </w:num>
  <w:num w:numId="27" w16cid:durableId="749424290">
    <w:abstractNumId w:val="20"/>
  </w:num>
  <w:num w:numId="28" w16cid:durableId="187914683">
    <w:abstractNumId w:val="1"/>
  </w:num>
  <w:num w:numId="29" w16cid:durableId="1869683316">
    <w:abstractNumId w:val="29"/>
  </w:num>
  <w:num w:numId="30" w16cid:durableId="16782656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07CC0"/>
    <w:rsid w:val="00010512"/>
    <w:rsid w:val="00011B2D"/>
    <w:rsid w:val="0001476B"/>
    <w:rsid w:val="00016079"/>
    <w:rsid w:val="000235ED"/>
    <w:rsid w:val="00024747"/>
    <w:rsid w:val="00025179"/>
    <w:rsid w:val="00025BEA"/>
    <w:rsid w:val="000305BC"/>
    <w:rsid w:val="00030F3D"/>
    <w:rsid w:val="00031B9B"/>
    <w:rsid w:val="00032567"/>
    <w:rsid w:val="000371D9"/>
    <w:rsid w:val="00040BE8"/>
    <w:rsid w:val="00044F9A"/>
    <w:rsid w:val="00045C7C"/>
    <w:rsid w:val="00046AD7"/>
    <w:rsid w:val="000514EA"/>
    <w:rsid w:val="00052FE1"/>
    <w:rsid w:val="00053374"/>
    <w:rsid w:val="00056AB0"/>
    <w:rsid w:val="0007168F"/>
    <w:rsid w:val="00074155"/>
    <w:rsid w:val="000763A9"/>
    <w:rsid w:val="00080D79"/>
    <w:rsid w:val="0008389B"/>
    <w:rsid w:val="00084FEA"/>
    <w:rsid w:val="0008528A"/>
    <w:rsid w:val="0009304E"/>
    <w:rsid w:val="000A6DD5"/>
    <w:rsid w:val="000B2681"/>
    <w:rsid w:val="000B35CE"/>
    <w:rsid w:val="000B7B11"/>
    <w:rsid w:val="000C2370"/>
    <w:rsid w:val="000C67BD"/>
    <w:rsid w:val="000E0357"/>
    <w:rsid w:val="000E34B5"/>
    <w:rsid w:val="000E3543"/>
    <w:rsid w:val="000E4C3D"/>
    <w:rsid w:val="000E51BD"/>
    <w:rsid w:val="000E56AA"/>
    <w:rsid w:val="000E5D8B"/>
    <w:rsid w:val="000E6321"/>
    <w:rsid w:val="000F11D8"/>
    <w:rsid w:val="000F5196"/>
    <w:rsid w:val="0010376E"/>
    <w:rsid w:val="00110614"/>
    <w:rsid w:val="00110E7A"/>
    <w:rsid w:val="0011729B"/>
    <w:rsid w:val="001215E5"/>
    <w:rsid w:val="0012177C"/>
    <w:rsid w:val="00122FA0"/>
    <w:rsid w:val="00124244"/>
    <w:rsid w:val="0012601A"/>
    <w:rsid w:val="0012631B"/>
    <w:rsid w:val="0012721A"/>
    <w:rsid w:val="00142AC2"/>
    <w:rsid w:val="00142EA2"/>
    <w:rsid w:val="001435BB"/>
    <w:rsid w:val="00151470"/>
    <w:rsid w:val="00162422"/>
    <w:rsid w:val="00175851"/>
    <w:rsid w:val="0017684B"/>
    <w:rsid w:val="001808D5"/>
    <w:rsid w:val="00182BF8"/>
    <w:rsid w:val="00187B87"/>
    <w:rsid w:val="00193D2A"/>
    <w:rsid w:val="00195C95"/>
    <w:rsid w:val="001A292E"/>
    <w:rsid w:val="001A6EE8"/>
    <w:rsid w:val="001B0DC3"/>
    <w:rsid w:val="001B4A7C"/>
    <w:rsid w:val="001B4D74"/>
    <w:rsid w:val="001B5A34"/>
    <w:rsid w:val="001C375F"/>
    <w:rsid w:val="001C4CCF"/>
    <w:rsid w:val="001C7481"/>
    <w:rsid w:val="001D0C18"/>
    <w:rsid w:val="001D27B3"/>
    <w:rsid w:val="001D3715"/>
    <w:rsid w:val="001D6108"/>
    <w:rsid w:val="001D79AD"/>
    <w:rsid w:val="001E1E99"/>
    <w:rsid w:val="001F069E"/>
    <w:rsid w:val="001F1765"/>
    <w:rsid w:val="001F3818"/>
    <w:rsid w:val="00205D84"/>
    <w:rsid w:val="00206F16"/>
    <w:rsid w:val="002116B3"/>
    <w:rsid w:val="00213679"/>
    <w:rsid w:val="00213E82"/>
    <w:rsid w:val="00215913"/>
    <w:rsid w:val="00217758"/>
    <w:rsid w:val="00220B8F"/>
    <w:rsid w:val="00221976"/>
    <w:rsid w:val="002241FA"/>
    <w:rsid w:val="00224FF9"/>
    <w:rsid w:val="00225C55"/>
    <w:rsid w:val="00230409"/>
    <w:rsid w:val="00235F9F"/>
    <w:rsid w:val="00236D2C"/>
    <w:rsid w:val="002406B3"/>
    <w:rsid w:val="0024171A"/>
    <w:rsid w:val="002451AB"/>
    <w:rsid w:val="00250604"/>
    <w:rsid w:val="002526C7"/>
    <w:rsid w:val="002549B3"/>
    <w:rsid w:val="00257875"/>
    <w:rsid w:val="0026154C"/>
    <w:rsid w:val="00262DC7"/>
    <w:rsid w:val="0026420B"/>
    <w:rsid w:val="00265CDD"/>
    <w:rsid w:val="0027238B"/>
    <w:rsid w:val="00274E81"/>
    <w:rsid w:val="00275C2A"/>
    <w:rsid w:val="002812B7"/>
    <w:rsid w:val="0028185C"/>
    <w:rsid w:val="00283E30"/>
    <w:rsid w:val="00286AC6"/>
    <w:rsid w:val="00287204"/>
    <w:rsid w:val="00290B69"/>
    <w:rsid w:val="002914A5"/>
    <w:rsid w:val="002A2A2A"/>
    <w:rsid w:val="002A4B81"/>
    <w:rsid w:val="002A67DD"/>
    <w:rsid w:val="002B276B"/>
    <w:rsid w:val="002B3678"/>
    <w:rsid w:val="002C02EC"/>
    <w:rsid w:val="002C32E3"/>
    <w:rsid w:val="002D0497"/>
    <w:rsid w:val="002D0E3A"/>
    <w:rsid w:val="002D44E0"/>
    <w:rsid w:val="002D4800"/>
    <w:rsid w:val="002D4E7E"/>
    <w:rsid w:val="002E6A38"/>
    <w:rsid w:val="002E7B1A"/>
    <w:rsid w:val="002F31B5"/>
    <w:rsid w:val="002F760E"/>
    <w:rsid w:val="00305489"/>
    <w:rsid w:val="003145D8"/>
    <w:rsid w:val="00320142"/>
    <w:rsid w:val="00321AF4"/>
    <w:rsid w:val="0032294F"/>
    <w:rsid w:val="00323AF2"/>
    <w:rsid w:val="00346E16"/>
    <w:rsid w:val="00353420"/>
    <w:rsid w:val="00354949"/>
    <w:rsid w:val="00360605"/>
    <w:rsid w:val="003643C9"/>
    <w:rsid w:val="0036511B"/>
    <w:rsid w:val="0036771E"/>
    <w:rsid w:val="003819B4"/>
    <w:rsid w:val="00382A2D"/>
    <w:rsid w:val="00384265"/>
    <w:rsid w:val="0038596A"/>
    <w:rsid w:val="00387F38"/>
    <w:rsid w:val="0039058D"/>
    <w:rsid w:val="00392A8C"/>
    <w:rsid w:val="00397794"/>
    <w:rsid w:val="003A010D"/>
    <w:rsid w:val="003A210D"/>
    <w:rsid w:val="003A2FCD"/>
    <w:rsid w:val="003A7CA9"/>
    <w:rsid w:val="003B1AD5"/>
    <w:rsid w:val="003B4B4D"/>
    <w:rsid w:val="003C0819"/>
    <w:rsid w:val="003C52A1"/>
    <w:rsid w:val="003D0FC6"/>
    <w:rsid w:val="003D7C9D"/>
    <w:rsid w:val="003D7CD6"/>
    <w:rsid w:val="003E4990"/>
    <w:rsid w:val="003E53B0"/>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61853"/>
    <w:rsid w:val="00463C12"/>
    <w:rsid w:val="00466389"/>
    <w:rsid w:val="00470204"/>
    <w:rsid w:val="00472B0B"/>
    <w:rsid w:val="00473435"/>
    <w:rsid w:val="0048442A"/>
    <w:rsid w:val="00484866"/>
    <w:rsid w:val="00493B38"/>
    <w:rsid w:val="00494A77"/>
    <w:rsid w:val="00496610"/>
    <w:rsid w:val="004A3BE2"/>
    <w:rsid w:val="004A52F2"/>
    <w:rsid w:val="004B43D7"/>
    <w:rsid w:val="004B64B4"/>
    <w:rsid w:val="004C2212"/>
    <w:rsid w:val="004C67FB"/>
    <w:rsid w:val="004D56B0"/>
    <w:rsid w:val="004D7F17"/>
    <w:rsid w:val="004F559A"/>
    <w:rsid w:val="004F5F74"/>
    <w:rsid w:val="004F631C"/>
    <w:rsid w:val="004F7EE0"/>
    <w:rsid w:val="00506C97"/>
    <w:rsid w:val="00514310"/>
    <w:rsid w:val="005220FD"/>
    <w:rsid w:val="00523FCE"/>
    <w:rsid w:val="0052435A"/>
    <w:rsid w:val="00527792"/>
    <w:rsid w:val="00531C6E"/>
    <w:rsid w:val="00533897"/>
    <w:rsid w:val="00536E9A"/>
    <w:rsid w:val="0054114A"/>
    <w:rsid w:val="005453E3"/>
    <w:rsid w:val="0055125C"/>
    <w:rsid w:val="00554F86"/>
    <w:rsid w:val="005568D9"/>
    <w:rsid w:val="00556A6A"/>
    <w:rsid w:val="00556A89"/>
    <w:rsid w:val="00560A40"/>
    <w:rsid w:val="0056376C"/>
    <w:rsid w:val="005638DE"/>
    <w:rsid w:val="005670CD"/>
    <w:rsid w:val="0057431E"/>
    <w:rsid w:val="00582167"/>
    <w:rsid w:val="005830E5"/>
    <w:rsid w:val="005855DB"/>
    <w:rsid w:val="0059638A"/>
    <w:rsid w:val="005A1503"/>
    <w:rsid w:val="005A4D09"/>
    <w:rsid w:val="005A6321"/>
    <w:rsid w:val="005A76A0"/>
    <w:rsid w:val="005B1DEE"/>
    <w:rsid w:val="005B25EF"/>
    <w:rsid w:val="005C0960"/>
    <w:rsid w:val="005D15A4"/>
    <w:rsid w:val="005D1B9E"/>
    <w:rsid w:val="005D344F"/>
    <w:rsid w:val="005E059C"/>
    <w:rsid w:val="005E4298"/>
    <w:rsid w:val="005E5DE9"/>
    <w:rsid w:val="005E7638"/>
    <w:rsid w:val="005F41B9"/>
    <w:rsid w:val="005F66D1"/>
    <w:rsid w:val="00601A99"/>
    <w:rsid w:val="00601FDB"/>
    <w:rsid w:val="00604130"/>
    <w:rsid w:val="00604430"/>
    <w:rsid w:val="00610A0B"/>
    <w:rsid w:val="006129FC"/>
    <w:rsid w:val="00613C88"/>
    <w:rsid w:val="006235BB"/>
    <w:rsid w:val="0062587E"/>
    <w:rsid w:val="00626099"/>
    <w:rsid w:val="00631166"/>
    <w:rsid w:val="00642602"/>
    <w:rsid w:val="00645DB1"/>
    <w:rsid w:val="006467BB"/>
    <w:rsid w:val="00646BB2"/>
    <w:rsid w:val="006476CE"/>
    <w:rsid w:val="006527EC"/>
    <w:rsid w:val="0065282E"/>
    <w:rsid w:val="00653CFB"/>
    <w:rsid w:val="00653EE0"/>
    <w:rsid w:val="00654B34"/>
    <w:rsid w:val="00655F06"/>
    <w:rsid w:val="00657271"/>
    <w:rsid w:val="00657B1F"/>
    <w:rsid w:val="00663F14"/>
    <w:rsid w:val="00666B54"/>
    <w:rsid w:val="0067113F"/>
    <w:rsid w:val="006746B2"/>
    <w:rsid w:val="00676CC7"/>
    <w:rsid w:val="00681D11"/>
    <w:rsid w:val="00682CB2"/>
    <w:rsid w:val="00683DC9"/>
    <w:rsid w:val="00684849"/>
    <w:rsid w:val="0068520F"/>
    <w:rsid w:val="00693EEF"/>
    <w:rsid w:val="00695C5B"/>
    <w:rsid w:val="006A058E"/>
    <w:rsid w:val="006A08C1"/>
    <w:rsid w:val="006A1E80"/>
    <w:rsid w:val="006A2B39"/>
    <w:rsid w:val="006A2DA5"/>
    <w:rsid w:val="006A639C"/>
    <w:rsid w:val="006B09C7"/>
    <w:rsid w:val="006B50EE"/>
    <w:rsid w:val="006B5E4E"/>
    <w:rsid w:val="006C5FDE"/>
    <w:rsid w:val="006C70DC"/>
    <w:rsid w:val="006D399C"/>
    <w:rsid w:val="006E13A6"/>
    <w:rsid w:val="006F2A22"/>
    <w:rsid w:val="0070037D"/>
    <w:rsid w:val="00701E33"/>
    <w:rsid w:val="00705918"/>
    <w:rsid w:val="0070684E"/>
    <w:rsid w:val="00710703"/>
    <w:rsid w:val="00716605"/>
    <w:rsid w:val="00716965"/>
    <w:rsid w:val="00717A90"/>
    <w:rsid w:val="00717F46"/>
    <w:rsid w:val="00720E4C"/>
    <w:rsid w:val="00722E5C"/>
    <w:rsid w:val="00727C07"/>
    <w:rsid w:val="00730202"/>
    <w:rsid w:val="00731282"/>
    <w:rsid w:val="00734D49"/>
    <w:rsid w:val="0073610D"/>
    <w:rsid w:val="0074744B"/>
    <w:rsid w:val="00750A47"/>
    <w:rsid w:val="007637A9"/>
    <w:rsid w:val="00764F78"/>
    <w:rsid w:val="00765613"/>
    <w:rsid w:val="00767608"/>
    <w:rsid w:val="0077361A"/>
    <w:rsid w:val="007749D3"/>
    <w:rsid w:val="00775E82"/>
    <w:rsid w:val="00786B72"/>
    <w:rsid w:val="00787D31"/>
    <w:rsid w:val="007901DC"/>
    <w:rsid w:val="00791C43"/>
    <w:rsid w:val="00791EA7"/>
    <w:rsid w:val="007942E1"/>
    <w:rsid w:val="007950D0"/>
    <w:rsid w:val="007A6E58"/>
    <w:rsid w:val="007B3873"/>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073F4"/>
    <w:rsid w:val="0081184A"/>
    <w:rsid w:val="0081515F"/>
    <w:rsid w:val="00816A1B"/>
    <w:rsid w:val="00817714"/>
    <w:rsid w:val="008214E7"/>
    <w:rsid w:val="0082413A"/>
    <w:rsid w:val="00830EEC"/>
    <w:rsid w:val="008317BE"/>
    <w:rsid w:val="008503EB"/>
    <w:rsid w:val="00850A16"/>
    <w:rsid w:val="00852AA5"/>
    <w:rsid w:val="00853AEB"/>
    <w:rsid w:val="00865287"/>
    <w:rsid w:val="00865AC6"/>
    <w:rsid w:val="00870186"/>
    <w:rsid w:val="008751EC"/>
    <w:rsid w:val="00875BFD"/>
    <w:rsid w:val="008771A3"/>
    <w:rsid w:val="00877845"/>
    <w:rsid w:val="0088017E"/>
    <w:rsid w:val="00882547"/>
    <w:rsid w:val="00886807"/>
    <w:rsid w:val="00890FE8"/>
    <w:rsid w:val="008916DD"/>
    <w:rsid w:val="00896866"/>
    <w:rsid w:val="008A2FD0"/>
    <w:rsid w:val="008A610B"/>
    <w:rsid w:val="008B3FDC"/>
    <w:rsid w:val="008B468E"/>
    <w:rsid w:val="008C1437"/>
    <w:rsid w:val="008C4933"/>
    <w:rsid w:val="008D031B"/>
    <w:rsid w:val="008D080D"/>
    <w:rsid w:val="008D41C5"/>
    <w:rsid w:val="008D5149"/>
    <w:rsid w:val="008D6AEC"/>
    <w:rsid w:val="008E1AF4"/>
    <w:rsid w:val="008E3193"/>
    <w:rsid w:val="008E3E9E"/>
    <w:rsid w:val="008E5DE5"/>
    <w:rsid w:val="008E6833"/>
    <w:rsid w:val="008F14ED"/>
    <w:rsid w:val="008F4555"/>
    <w:rsid w:val="008F5CEB"/>
    <w:rsid w:val="008F6801"/>
    <w:rsid w:val="00900D70"/>
    <w:rsid w:val="009039FA"/>
    <w:rsid w:val="00905A59"/>
    <w:rsid w:val="0090616F"/>
    <w:rsid w:val="00906EB0"/>
    <w:rsid w:val="00907B6B"/>
    <w:rsid w:val="00910484"/>
    <w:rsid w:val="0091402F"/>
    <w:rsid w:val="0091593D"/>
    <w:rsid w:val="0091609E"/>
    <w:rsid w:val="00922BD6"/>
    <w:rsid w:val="00925907"/>
    <w:rsid w:val="0092596A"/>
    <w:rsid w:val="00926EE0"/>
    <w:rsid w:val="00935478"/>
    <w:rsid w:val="00942A2F"/>
    <w:rsid w:val="00943B97"/>
    <w:rsid w:val="009455B8"/>
    <w:rsid w:val="00951C44"/>
    <w:rsid w:val="00955B12"/>
    <w:rsid w:val="00962EA8"/>
    <w:rsid w:val="009703DB"/>
    <w:rsid w:val="00972409"/>
    <w:rsid w:val="00973643"/>
    <w:rsid w:val="00974AD3"/>
    <w:rsid w:val="009773DB"/>
    <w:rsid w:val="00985E70"/>
    <w:rsid w:val="00987726"/>
    <w:rsid w:val="00987819"/>
    <w:rsid w:val="00987DA1"/>
    <w:rsid w:val="00987F37"/>
    <w:rsid w:val="00992A58"/>
    <w:rsid w:val="00994121"/>
    <w:rsid w:val="009A24CB"/>
    <w:rsid w:val="009A72E0"/>
    <w:rsid w:val="009A78D0"/>
    <w:rsid w:val="009B031A"/>
    <w:rsid w:val="009B2DF6"/>
    <w:rsid w:val="009B46EE"/>
    <w:rsid w:val="009C0043"/>
    <w:rsid w:val="009C0B7B"/>
    <w:rsid w:val="009C2823"/>
    <w:rsid w:val="009C2E60"/>
    <w:rsid w:val="009C7EF2"/>
    <w:rsid w:val="009D1162"/>
    <w:rsid w:val="009D1950"/>
    <w:rsid w:val="009D2F6E"/>
    <w:rsid w:val="009D4D5D"/>
    <w:rsid w:val="009D524B"/>
    <w:rsid w:val="009D5494"/>
    <w:rsid w:val="009E0E77"/>
    <w:rsid w:val="009E3939"/>
    <w:rsid w:val="009E3EFF"/>
    <w:rsid w:val="009E3FD2"/>
    <w:rsid w:val="009E7680"/>
    <w:rsid w:val="009F20CD"/>
    <w:rsid w:val="009F55DC"/>
    <w:rsid w:val="009F634B"/>
    <w:rsid w:val="00A00028"/>
    <w:rsid w:val="00A013CD"/>
    <w:rsid w:val="00A214DE"/>
    <w:rsid w:val="00A25A04"/>
    <w:rsid w:val="00A2663C"/>
    <w:rsid w:val="00A305AC"/>
    <w:rsid w:val="00A343E5"/>
    <w:rsid w:val="00A455E8"/>
    <w:rsid w:val="00A47EE0"/>
    <w:rsid w:val="00A50D4D"/>
    <w:rsid w:val="00A56D4E"/>
    <w:rsid w:val="00A644AA"/>
    <w:rsid w:val="00A66B01"/>
    <w:rsid w:val="00A6725B"/>
    <w:rsid w:val="00A70A1B"/>
    <w:rsid w:val="00A70ECC"/>
    <w:rsid w:val="00A710BF"/>
    <w:rsid w:val="00A71B02"/>
    <w:rsid w:val="00A8621D"/>
    <w:rsid w:val="00A9266B"/>
    <w:rsid w:val="00A92DEA"/>
    <w:rsid w:val="00A934BB"/>
    <w:rsid w:val="00A96F87"/>
    <w:rsid w:val="00AB133B"/>
    <w:rsid w:val="00AB2758"/>
    <w:rsid w:val="00AB3ACB"/>
    <w:rsid w:val="00AC1094"/>
    <w:rsid w:val="00AC1297"/>
    <w:rsid w:val="00AC23C0"/>
    <w:rsid w:val="00AC75BE"/>
    <w:rsid w:val="00AD284F"/>
    <w:rsid w:val="00AD704C"/>
    <w:rsid w:val="00AE1107"/>
    <w:rsid w:val="00AF3083"/>
    <w:rsid w:val="00AF4043"/>
    <w:rsid w:val="00AF4CB0"/>
    <w:rsid w:val="00AF5D80"/>
    <w:rsid w:val="00AF758B"/>
    <w:rsid w:val="00B079F1"/>
    <w:rsid w:val="00B11D41"/>
    <w:rsid w:val="00B14E00"/>
    <w:rsid w:val="00B162E6"/>
    <w:rsid w:val="00B20A25"/>
    <w:rsid w:val="00B21E34"/>
    <w:rsid w:val="00B3145E"/>
    <w:rsid w:val="00B348B8"/>
    <w:rsid w:val="00B377A6"/>
    <w:rsid w:val="00B40CFC"/>
    <w:rsid w:val="00B4199B"/>
    <w:rsid w:val="00B42346"/>
    <w:rsid w:val="00B47E73"/>
    <w:rsid w:val="00B50D85"/>
    <w:rsid w:val="00B519E3"/>
    <w:rsid w:val="00B5230A"/>
    <w:rsid w:val="00B53880"/>
    <w:rsid w:val="00B53910"/>
    <w:rsid w:val="00B565B1"/>
    <w:rsid w:val="00B60CD3"/>
    <w:rsid w:val="00B61431"/>
    <w:rsid w:val="00B634F1"/>
    <w:rsid w:val="00B6390B"/>
    <w:rsid w:val="00B665F4"/>
    <w:rsid w:val="00B66B76"/>
    <w:rsid w:val="00B70483"/>
    <w:rsid w:val="00B74C6F"/>
    <w:rsid w:val="00B856BD"/>
    <w:rsid w:val="00B86AE6"/>
    <w:rsid w:val="00B9105A"/>
    <w:rsid w:val="00BA0521"/>
    <w:rsid w:val="00BA0540"/>
    <w:rsid w:val="00BA4DE9"/>
    <w:rsid w:val="00BA74F6"/>
    <w:rsid w:val="00BA7CF4"/>
    <w:rsid w:val="00BB145A"/>
    <w:rsid w:val="00BB756F"/>
    <w:rsid w:val="00BC0D8D"/>
    <w:rsid w:val="00BC0ED0"/>
    <w:rsid w:val="00BC378B"/>
    <w:rsid w:val="00BD06D2"/>
    <w:rsid w:val="00BD071F"/>
    <w:rsid w:val="00BE3333"/>
    <w:rsid w:val="00BE3F88"/>
    <w:rsid w:val="00BF0B1C"/>
    <w:rsid w:val="00BF138D"/>
    <w:rsid w:val="00BF32FB"/>
    <w:rsid w:val="00BF4AA0"/>
    <w:rsid w:val="00C04D35"/>
    <w:rsid w:val="00C1570D"/>
    <w:rsid w:val="00C23924"/>
    <w:rsid w:val="00C276F9"/>
    <w:rsid w:val="00C30021"/>
    <w:rsid w:val="00C3215A"/>
    <w:rsid w:val="00C34BB2"/>
    <w:rsid w:val="00C40C3F"/>
    <w:rsid w:val="00C451F7"/>
    <w:rsid w:val="00C47024"/>
    <w:rsid w:val="00C52650"/>
    <w:rsid w:val="00C54885"/>
    <w:rsid w:val="00C605B8"/>
    <w:rsid w:val="00C61AE1"/>
    <w:rsid w:val="00C64AC6"/>
    <w:rsid w:val="00C7394B"/>
    <w:rsid w:val="00C7484F"/>
    <w:rsid w:val="00C849DF"/>
    <w:rsid w:val="00C84D8E"/>
    <w:rsid w:val="00C84F89"/>
    <w:rsid w:val="00C8694C"/>
    <w:rsid w:val="00C86AA3"/>
    <w:rsid w:val="00C873F8"/>
    <w:rsid w:val="00C96DE9"/>
    <w:rsid w:val="00CA36F0"/>
    <w:rsid w:val="00CA3B35"/>
    <w:rsid w:val="00CA4918"/>
    <w:rsid w:val="00CB31CF"/>
    <w:rsid w:val="00CB7A0C"/>
    <w:rsid w:val="00CC1EDD"/>
    <w:rsid w:val="00CC2AA8"/>
    <w:rsid w:val="00CC4CB8"/>
    <w:rsid w:val="00CC7872"/>
    <w:rsid w:val="00CD7500"/>
    <w:rsid w:val="00CE12CA"/>
    <w:rsid w:val="00CE50A4"/>
    <w:rsid w:val="00CE763B"/>
    <w:rsid w:val="00CE7B4A"/>
    <w:rsid w:val="00CF650B"/>
    <w:rsid w:val="00CF65C5"/>
    <w:rsid w:val="00D01F9A"/>
    <w:rsid w:val="00D052BF"/>
    <w:rsid w:val="00D0543D"/>
    <w:rsid w:val="00D06B02"/>
    <w:rsid w:val="00D1221A"/>
    <w:rsid w:val="00D137AD"/>
    <w:rsid w:val="00D20BE4"/>
    <w:rsid w:val="00D25173"/>
    <w:rsid w:val="00D303DE"/>
    <w:rsid w:val="00D3120F"/>
    <w:rsid w:val="00D43390"/>
    <w:rsid w:val="00D46F4D"/>
    <w:rsid w:val="00D5107F"/>
    <w:rsid w:val="00D53CDB"/>
    <w:rsid w:val="00D54F57"/>
    <w:rsid w:val="00D57591"/>
    <w:rsid w:val="00D577EB"/>
    <w:rsid w:val="00D63026"/>
    <w:rsid w:val="00D638B5"/>
    <w:rsid w:val="00D64CE5"/>
    <w:rsid w:val="00D67F91"/>
    <w:rsid w:val="00D71F61"/>
    <w:rsid w:val="00D72805"/>
    <w:rsid w:val="00D72F07"/>
    <w:rsid w:val="00D75654"/>
    <w:rsid w:val="00D850AA"/>
    <w:rsid w:val="00D859BC"/>
    <w:rsid w:val="00D85A59"/>
    <w:rsid w:val="00D8601D"/>
    <w:rsid w:val="00D92D2A"/>
    <w:rsid w:val="00D93BDB"/>
    <w:rsid w:val="00D960EA"/>
    <w:rsid w:val="00DA497E"/>
    <w:rsid w:val="00DA5AA9"/>
    <w:rsid w:val="00DA6A69"/>
    <w:rsid w:val="00DB10C1"/>
    <w:rsid w:val="00DB4B95"/>
    <w:rsid w:val="00DB54B6"/>
    <w:rsid w:val="00DB7417"/>
    <w:rsid w:val="00DC1D42"/>
    <w:rsid w:val="00DC5D5F"/>
    <w:rsid w:val="00DD2DBC"/>
    <w:rsid w:val="00DD6901"/>
    <w:rsid w:val="00DE06FF"/>
    <w:rsid w:val="00DE318B"/>
    <w:rsid w:val="00DE3699"/>
    <w:rsid w:val="00DF7014"/>
    <w:rsid w:val="00E01870"/>
    <w:rsid w:val="00E06DB1"/>
    <w:rsid w:val="00E14F32"/>
    <w:rsid w:val="00E20F97"/>
    <w:rsid w:val="00E21AD3"/>
    <w:rsid w:val="00E24A26"/>
    <w:rsid w:val="00E25CCC"/>
    <w:rsid w:val="00E32CC8"/>
    <w:rsid w:val="00E410D8"/>
    <w:rsid w:val="00E4307C"/>
    <w:rsid w:val="00E453C8"/>
    <w:rsid w:val="00E459AE"/>
    <w:rsid w:val="00E52D5F"/>
    <w:rsid w:val="00E5598D"/>
    <w:rsid w:val="00E60DAF"/>
    <w:rsid w:val="00E61F75"/>
    <w:rsid w:val="00E6602F"/>
    <w:rsid w:val="00E67017"/>
    <w:rsid w:val="00E673AD"/>
    <w:rsid w:val="00E743A6"/>
    <w:rsid w:val="00E748C3"/>
    <w:rsid w:val="00E74967"/>
    <w:rsid w:val="00E75374"/>
    <w:rsid w:val="00E7699D"/>
    <w:rsid w:val="00E76F46"/>
    <w:rsid w:val="00E83066"/>
    <w:rsid w:val="00E83DB1"/>
    <w:rsid w:val="00E85726"/>
    <w:rsid w:val="00E923AC"/>
    <w:rsid w:val="00E97FD8"/>
    <w:rsid w:val="00EA6491"/>
    <w:rsid w:val="00EB225D"/>
    <w:rsid w:val="00EB5CE1"/>
    <w:rsid w:val="00EC48E7"/>
    <w:rsid w:val="00EC4CA2"/>
    <w:rsid w:val="00EC5B94"/>
    <w:rsid w:val="00ED3B39"/>
    <w:rsid w:val="00ED61D0"/>
    <w:rsid w:val="00ED770A"/>
    <w:rsid w:val="00EE46F3"/>
    <w:rsid w:val="00EF4FE7"/>
    <w:rsid w:val="00F008C1"/>
    <w:rsid w:val="00F00B8D"/>
    <w:rsid w:val="00F0399E"/>
    <w:rsid w:val="00F03E10"/>
    <w:rsid w:val="00F0423B"/>
    <w:rsid w:val="00F145BE"/>
    <w:rsid w:val="00F22A38"/>
    <w:rsid w:val="00F276FE"/>
    <w:rsid w:val="00F277CB"/>
    <w:rsid w:val="00F3280E"/>
    <w:rsid w:val="00F362D1"/>
    <w:rsid w:val="00F36D4C"/>
    <w:rsid w:val="00F36EA6"/>
    <w:rsid w:val="00F40883"/>
    <w:rsid w:val="00F4379F"/>
    <w:rsid w:val="00F54A2B"/>
    <w:rsid w:val="00F564B1"/>
    <w:rsid w:val="00F66567"/>
    <w:rsid w:val="00F67FB5"/>
    <w:rsid w:val="00F7013E"/>
    <w:rsid w:val="00F70BCC"/>
    <w:rsid w:val="00F76E35"/>
    <w:rsid w:val="00F83C73"/>
    <w:rsid w:val="00F8525E"/>
    <w:rsid w:val="00F86E11"/>
    <w:rsid w:val="00F909BF"/>
    <w:rsid w:val="00F97637"/>
    <w:rsid w:val="00FA17A1"/>
    <w:rsid w:val="00FA3E79"/>
    <w:rsid w:val="00FA3EA0"/>
    <w:rsid w:val="00FA4B71"/>
    <w:rsid w:val="00FB218D"/>
    <w:rsid w:val="00FB3472"/>
    <w:rsid w:val="00FB35F3"/>
    <w:rsid w:val="00FB4B80"/>
    <w:rsid w:val="00FC1861"/>
    <w:rsid w:val="00FC5180"/>
    <w:rsid w:val="00FC5782"/>
    <w:rsid w:val="00FC5EAE"/>
    <w:rsid w:val="00FC6694"/>
    <w:rsid w:val="00FD3081"/>
    <w:rsid w:val="00FD6825"/>
    <w:rsid w:val="00FE09E2"/>
    <w:rsid w:val="00FE47A7"/>
    <w:rsid w:val="00FE59E1"/>
    <w:rsid w:val="00FE7792"/>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C0A4895C-F5FB-4EE0-8233-B4AB3309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817714"/>
    <w:pPr>
      <w:ind w:left="480" w:hanging="480"/>
      <w:jc w:val="left"/>
    </w:pPr>
    <w:rPr>
      <w:rFonts w:asciiTheme="minorHAnsi" w:hAnsiTheme="minorHAnsi" w:cstheme="minorHAnsi"/>
      <w:smallCaps/>
      <w:sz w:val="20"/>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1260258784">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247159026">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53</Pages>
  <Words>9140</Words>
  <Characters>52100</Characters>
  <Application>Microsoft Office Word</Application>
  <DocSecurity>0</DocSecurity>
  <Lines>434</Lines>
  <Paragraphs>122</Paragraphs>
  <ScaleCrop>false</ScaleCrop>
  <Company/>
  <LinksUpToDate>false</LinksUpToDate>
  <CharactersWithSpaces>61118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16</cp:revision>
  <cp:lastPrinted>2025-02-09T08:06:00Z</cp:lastPrinted>
  <dcterms:created xsi:type="dcterms:W3CDTF">2025-02-08T02:26:00Z</dcterms:created>
  <dcterms:modified xsi:type="dcterms:W3CDTF">2025-02-10T07:39:00Z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id="3imXaZvB"/&gt;&lt;style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