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0B4F8" w14:textId="77777777" w:rsidR="00875BFD" w:rsidRDefault="00875BFD" w:rsidP="001435BB">
      <w:pPr>
        <w:spacing w:before="180" w:after="180" w:line="240" w:lineRule="auto"/>
        <w:ind w:firstLine="961"/>
        <w:jc w:val="center"/>
        <w:rPr>
          <w:b/>
          <w:sz w:val="48"/>
        </w:rPr>
      </w:pPr>
    </w:p>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2B7CE"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2A3BBA1E" w14:textId="77777777" w:rsidR="00E923AC" w:rsidRDefault="00E923AC" w:rsidP="00E24A26">
      <w:pPr>
        <w:spacing w:beforeLines="0" w:before="0" w:afterLines="0" w:after="0"/>
        <w:ind w:firstLine="480"/>
      </w:pPr>
    </w:p>
    <w:p w14:paraId="793B9674" w14:textId="77777777" w:rsidR="00B565B1" w:rsidRDefault="00B565B1" w:rsidP="00007CC0">
      <w:pPr>
        <w:spacing w:beforeLines="0" w:before="0" w:afterLines="0" w:after="0"/>
        <w:ind w:firstLineChars="0" w:firstLine="0"/>
      </w:pPr>
    </w:p>
    <w:p w14:paraId="79028519" w14:textId="77777777" w:rsidR="00007CC0" w:rsidRDefault="0068520F" w:rsidP="00007CC0">
      <w:pPr>
        <w:spacing w:beforeLines="0" w:before="0" w:afterLines="0" w:after="0" w:line="600" w:lineRule="auto"/>
        <w:ind w:firstLineChars="0" w:firstLine="0"/>
        <w:jc w:val="center"/>
        <w:rPr>
          <w:b/>
          <w:bCs/>
          <w:sz w:val="40"/>
        </w:rPr>
      </w:pPr>
      <w:r>
        <w:rPr>
          <w:rFonts w:hint="eastAsia"/>
          <w:b/>
          <w:bCs/>
          <w:sz w:val="40"/>
        </w:rPr>
        <w:t>風險中立機率密度</w:t>
      </w:r>
      <w:proofErr w:type="gramStart"/>
      <w:r w:rsidR="00007CC0">
        <w:rPr>
          <w:rFonts w:hint="eastAsia"/>
          <w:b/>
          <w:bCs/>
          <w:sz w:val="40"/>
        </w:rPr>
        <w:t>尾部配適方法</w:t>
      </w:r>
      <w:proofErr w:type="gramEnd"/>
    </w:p>
    <w:p w14:paraId="66D4767C" w14:textId="14A2C412" w:rsidR="00E923AC" w:rsidRPr="00B565B1" w:rsidRDefault="00007CC0" w:rsidP="00007CC0">
      <w:pPr>
        <w:spacing w:beforeLines="0" w:before="0" w:afterLines="0" w:after="0" w:line="600" w:lineRule="auto"/>
        <w:ind w:firstLineChars="0" w:firstLine="0"/>
        <w:jc w:val="center"/>
        <w:rPr>
          <w:b/>
          <w:bCs/>
          <w:sz w:val="40"/>
        </w:rPr>
      </w:pPr>
      <w:r>
        <w:rPr>
          <w:rFonts w:hint="eastAsia"/>
          <w:b/>
          <w:bCs/>
          <w:sz w:val="40"/>
        </w:rPr>
        <w:t>與報酬率預測能力：比</w:t>
      </w:r>
      <w:proofErr w:type="gramStart"/>
      <w:r>
        <w:rPr>
          <w:rFonts w:hint="eastAsia"/>
          <w:b/>
          <w:bCs/>
          <w:sz w:val="40"/>
        </w:rPr>
        <w:t>特</w:t>
      </w:r>
      <w:proofErr w:type="gramEnd"/>
      <w:r>
        <w:rPr>
          <w:rFonts w:hint="eastAsia"/>
          <w:b/>
          <w:bCs/>
          <w:sz w:val="40"/>
        </w:rPr>
        <w:t>幣選擇權之實證分析</w:t>
      </w:r>
    </w:p>
    <w:p w14:paraId="7BB6B67B" w14:textId="77777777" w:rsidR="00E923AC" w:rsidRPr="00B565B1" w:rsidRDefault="00E923AC" w:rsidP="00E24A26">
      <w:pPr>
        <w:spacing w:beforeLines="0" w:before="0" w:afterLines="0" w:after="0"/>
        <w:ind w:firstLineChars="0" w:firstLine="0"/>
        <w:rPr>
          <w:b/>
          <w:bCs/>
        </w:rPr>
      </w:pPr>
    </w:p>
    <w:p w14:paraId="2B83938E" w14:textId="77777777" w:rsidR="00E923AC" w:rsidRPr="00B565B1" w:rsidRDefault="00E923AC" w:rsidP="00E24A26">
      <w:pPr>
        <w:spacing w:beforeLines="0" w:before="0" w:afterLines="0" w:after="0"/>
        <w:ind w:firstLineChars="0" w:firstLine="0"/>
        <w:rPr>
          <w:b/>
          <w:bCs/>
        </w:rPr>
      </w:pPr>
    </w:p>
    <w:p w14:paraId="18F75DDB" w14:textId="77777777" w:rsidR="00B14E00" w:rsidRPr="00B565B1" w:rsidRDefault="00B14E00"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7DC4A4B9" w14:textId="5EB23B55" w:rsidR="005568D9" w:rsidRPr="00B565B1" w:rsidRDefault="005568D9" w:rsidP="00E24A26">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0AA74F01" w14:textId="77777777" w:rsidR="00B14E00" w:rsidRDefault="00B14E00" w:rsidP="00E24A26">
      <w:pPr>
        <w:spacing w:beforeLines="0" w:before="0" w:afterLines="0" w:after="0"/>
        <w:ind w:firstLineChars="0" w:firstLine="0"/>
      </w:pPr>
    </w:p>
    <w:p w14:paraId="41B224CC" w14:textId="77777777" w:rsidR="00B14E00" w:rsidRDefault="00B14E00"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proofErr w:type="gramStart"/>
      <w:r>
        <w:rPr>
          <w:rFonts w:hint="eastAsia"/>
        </w:rPr>
        <w:lastRenderedPageBreak/>
        <w:t>誌</w:t>
      </w:r>
      <w:proofErr w:type="gramEnd"/>
      <w:r>
        <w:rPr>
          <w:rFonts w:hint="eastAsia"/>
        </w:rPr>
        <w:t>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0259F1A" w14:textId="1493679E" w:rsidR="0073610D" w:rsidRDefault="0073610D" w:rsidP="00404225">
      <w:pPr>
        <w:spacing w:before="180" w:after="180"/>
        <w:ind w:firstLine="480"/>
      </w:pP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1" w:name="_Toc182815173"/>
      <w:r>
        <w:rPr>
          <w:rFonts w:hint="eastAsia"/>
        </w:rPr>
        <w:lastRenderedPageBreak/>
        <w:t>第二章、文獻</w:t>
      </w:r>
      <w:bookmarkEnd w:id="1"/>
      <w:r w:rsidR="00AD2D43">
        <w:rPr>
          <w:rFonts w:hint="eastAsia"/>
        </w:rPr>
        <w:t>回顧</w:t>
      </w:r>
    </w:p>
    <w:p w14:paraId="01199615" w14:textId="0417BB2F" w:rsidR="00404225" w:rsidRDefault="00B67397" w:rsidP="00B67397">
      <w:pPr>
        <w:pStyle w:val="2"/>
      </w:pPr>
      <w:r>
        <w:rPr>
          <w:rFonts w:hint="eastAsia"/>
        </w:rPr>
        <w:t>2.1</w:t>
      </w:r>
      <w:r w:rsidR="008C28A6">
        <w:rPr>
          <w:rFonts w:hint="eastAsia"/>
        </w:rPr>
        <w:t>方法論</w:t>
      </w:r>
    </w:p>
    <w:p w14:paraId="70E998FD" w14:textId="6F72F329" w:rsidR="008C28A6" w:rsidRDefault="00454CEB" w:rsidP="00AC00D6">
      <w:pPr>
        <w:spacing w:before="180" w:after="180"/>
        <w:ind w:firstLine="480"/>
      </w:pPr>
      <w:r w:rsidRPr="00454CEB">
        <w:t>風險中性密度（</w:t>
      </w:r>
      <w:r w:rsidRPr="00454CEB">
        <w:t>Risk-Neutral Density</w:t>
      </w:r>
      <w:r w:rsidRPr="00454CEB">
        <w:t>，</w:t>
      </w:r>
      <w:r w:rsidRPr="00454CEB">
        <w:t>RND</w:t>
      </w:r>
      <w:r w:rsidRPr="00454CEB">
        <w:t>）的概念最早由</w:t>
      </w:r>
      <w:r w:rsidRPr="00454CEB">
        <w:t>Breeden</w:t>
      </w:r>
      <w:r w:rsidRPr="00454CEB">
        <w:t>與</w:t>
      </w:r>
      <w:r w:rsidRPr="00454CEB">
        <w:t>Litzenberger</w:t>
      </w:r>
      <w:r w:rsidRPr="00454CEB">
        <w:t>（</w:t>
      </w:r>
      <w:r w:rsidRPr="00454CEB">
        <w:t>1978</w:t>
      </w:r>
      <w:r w:rsidRPr="00454CEB">
        <w:t>）提出，他們證明了可以從期權價格中提取出市場對標的資產未來價格分配的預期。</w:t>
      </w:r>
      <w:r w:rsidRPr="00454CEB">
        <w:t>Birru</w:t>
      </w:r>
      <w:r w:rsidRPr="00454CEB">
        <w:t>與</w:t>
      </w:r>
      <w:proofErr w:type="spellStart"/>
      <w:r w:rsidRPr="00454CEB">
        <w:t>Figlewski</w:t>
      </w:r>
      <w:proofErr w:type="spellEnd"/>
      <w:r w:rsidRPr="00454CEB">
        <w:t>（</w:t>
      </w:r>
      <w:r w:rsidRPr="00454CEB">
        <w:t>2012</w:t>
      </w:r>
      <w:r w:rsidRPr="00454CEB">
        <w:t>）深入研究</w:t>
      </w:r>
      <w:r w:rsidRPr="00454CEB">
        <w:t>2008</w:t>
      </w:r>
      <w:r w:rsidRPr="00454CEB">
        <w:t>年金融危機</w:t>
      </w:r>
      <w:proofErr w:type="gramStart"/>
      <w:r w:rsidRPr="00454CEB">
        <w:t>期間標普</w:t>
      </w:r>
      <w:proofErr w:type="gramEnd"/>
      <w:r w:rsidRPr="00454CEB">
        <w:t>500</w:t>
      </w:r>
      <w:r w:rsidRPr="00454CEB">
        <w:t>指數期權的</w:t>
      </w:r>
      <w:r w:rsidRPr="00454CEB">
        <w:t>RND</w:t>
      </w:r>
      <w:r w:rsidRPr="00454CEB">
        <w:t>變化，發現市場壓力增加時，</w:t>
      </w:r>
      <w:r w:rsidRPr="00454CEB">
        <w:t>RND</w:t>
      </w:r>
      <w:r w:rsidRPr="00454CEB">
        <w:t>的形狀會出現顯著變化。他們採用廣義極值分配（</w:t>
      </w:r>
      <w:r w:rsidRPr="00454CEB">
        <w:t>Generalized Extreme Value Distribution</w:t>
      </w:r>
      <w:r w:rsidRPr="00454CEB">
        <w:t>）來完善</w:t>
      </w:r>
      <w:r w:rsidRPr="00454CEB">
        <w:t>RND</w:t>
      </w:r>
      <w:r w:rsidRPr="00454CEB">
        <w:t>尾部的估計，這個方法被證明在處理極端市場條件下特別有效</w:t>
      </w:r>
      <w:r w:rsidR="00AC00D6" w:rsidRPr="00AC00D6">
        <w:t>（</w:t>
      </w:r>
      <w:r w:rsidR="00AC00D6" w:rsidRPr="00AC00D6">
        <w:t>Hosking and Wallis 1987</w:t>
      </w:r>
      <w:r w:rsidR="00AC00D6" w:rsidRPr="00AC00D6">
        <w:t>）</w:t>
      </w:r>
      <w:r w:rsidRPr="00454CEB">
        <w:t>。</w:t>
      </w:r>
    </w:p>
    <w:p w14:paraId="12F6C4B7" w14:textId="46688E5E" w:rsidR="00454CEB" w:rsidRDefault="00454CEB" w:rsidP="00AC00D6">
      <w:pPr>
        <w:spacing w:before="180" w:after="180"/>
        <w:ind w:firstLine="480"/>
      </w:pPr>
      <w:r w:rsidRPr="00454CEB">
        <w:t>McNeil</w:t>
      </w:r>
      <w:r w:rsidRPr="00454CEB">
        <w:t>與</w:t>
      </w:r>
      <w:r w:rsidRPr="00454CEB">
        <w:t>Frey</w:t>
      </w:r>
      <w:r w:rsidRPr="00454CEB">
        <w:t>（</w:t>
      </w:r>
      <w:r w:rsidRPr="00454CEB">
        <w:t>2000</w:t>
      </w:r>
      <w:r w:rsidRPr="00454CEB">
        <w:t>）提出了結合</w:t>
      </w:r>
      <w:r w:rsidRPr="00454CEB">
        <w:t>GARCH</w:t>
      </w:r>
      <w:r w:rsidRPr="00454CEB">
        <w:t>模型與極值理論（</w:t>
      </w:r>
      <w:r w:rsidRPr="00454CEB">
        <w:t>EVT</w:t>
      </w:r>
      <w:r w:rsidRPr="00454CEB">
        <w:t>）的方法來估計金融時間序列的尾部風險</w:t>
      </w:r>
      <w:r>
        <w:rPr>
          <w:rFonts w:hint="eastAsia"/>
        </w:rPr>
        <w:t>，其</w:t>
      </w:r>
      <w:r w:rsidRPr="00454CEB">
        <w:t>研究特別強調，</w:t>
      </w:r>
      <w:r w:rsidRPr="00454CEB">
        <w:t>GPD</w:t>
      </w:r>
      <w:r w:rsidRPr="00454CEB">
        <w:t>在建模金融時間序列的極端事件上具有獨特優勢</w:t>
      </w:r>
      <w:r>
        <w:rPr>
          <w:rFonts w:hint="eastAsia"/>
        </w:rPr>
        <w:t>，且</w:t>
      </w:r>
      <w:r w:rsidRPr="00454CEB">
        <w:t>實證結果顯示，結合</w:t>
      </w:r>
      <w:r w:rsidRPr="00454CEB">
        <w:t>GARCH-GPD</w:t>
      </w:r>
      <w:r w:rsidRPr="00454CEB">
        <w:t>的方法不僅能有效估計尾部風險，還能適當反映市場波動度的動態變化。</w:t>
      </w:r>
    </w:p>
    <w:p w14:paraId="707D7657" w14:textId="3ACC490B" w:rsidR="00454CEB" w:rsidRDefault="00454CEB" w:rsidP="00454CEB">
      <w:pPr>
        <w:spacing w:before="180" w:after="180"/>
        <w:ind w:firstLine="480"/>
      </w:pPr>
      <w:r w:rsidRPr="00454CEB">
        <w:t>Uberti</w:t>
      </w:r>
      <w:r w:rsidRPr="00454CEB">
        <w:t>（</w:t>
      </w:r>
      <w:r w:rsidRPr="00454CEB">
        <w:t>2022</w:t>
      </w:r>
      <w:r w:rsidRPr="00454CEB">
        <w:t>）提出了一個納入偏態（</w:t>
      </w:r>
      <w:r w:rsidRPr="00454CEB">
        <w:t>Skewness</w:t>
      </w:r>
      <w:r w:rsidRPr="00454CEB">
        <w:t>）</w:t>
      </w:r>
      <w:proofErr w:type="gramStart"/>
      <w:r w:rsidRPr="00454CEB">
        <w:t>與峰態</w:t>
      </w:r>
      <w:proofErr w:type="gramEnd"/>
      <w:r w:rsidRPr="00454CEB">
        <w:t>（</w:t>
      </w:r>
      <w:r w:rsidRPr="00454CEB">
        <w:t>Kurtosis</w:t>
      </w:r>
      <w:r w:rsidRPr="00454CEB">
        <w:t>）的</w:t>
      </w:r>
      <w:r w:rsidRPr="00454CEB">
        <w:t>Markowitz</w:t>
      </w:r>
      <w:r w:rsidRPr="00454CEB">
        <w:t>模型擴展。這個四</w:t>
      </w:r>
      <w:proofErr w:type="gramStart"/>
      <w:r w:rsidRPr="00454CEB">
        <w:t>階矩投資組合</w:t>
      </w:r>
      <w:proofErr w:type="gramEnd"/>
      <w:r w:rsidRPr="00454CEB">
        <w:t>最佳化模型不僅考慮了報酬率與風險，還加入了投資人對高階矩的偏好。研究發現，當考慮偏態與</w:t>
      </w:r>
      <w:proofErr w:type="gramStart"/>
      <w:r w:rsidRPr="00454CEB">
        <w:t>峰態時</w:t>
      </w:r>
      <w:proofErr w:type="gramEnd"/>
      <w:r w:rsidRPr="00454CEB">
        <w:t>，最佳投資組合的風險會高於傳統平均數</w:t>
      </w:r>
      <w:r w:rsidRPr="00454CEB">
        <w:t>-</w:t>
      </w:r>
      <w:r w:rsidRPr="00454CEB">
        <w:t>變異數模型，但這個額外的風險會被投資人對高階矩的偏好所抵消。</w:t>
      </w:r>
    </w:p>
    <w:p w14:paraId="6229361A" w14:textId="77777777" w:rsidR="00AC00D6" w:rsidRPr="00AC00D6" w:rsidRDefault="00AC00D6" w:rsidP="00AC00D6">
      <w:pPr>
        <w:spacing w:before="180" w:after="180"/>
        <w:ind w:firstLine="480"/>
      </w:pPr>
      <w:r w:rsidRPr="00AC00D6">
        <w:t>在金融市場中，風險中性密度</w:t>
      </w:r>
      <w:r w:rsidRPr="00AC00D6">
        <w:t>(Risk-Neutral Density, RND)</w:t>
      </w:r>
      <w:r w:rsidRPr="00AC00D6">
        <w:t>的估計對於了解市場參與者的預期和風險偏好具有重要意義。</w:t>
      </w:r>
      <w:r w:rsidRPr="00AC00D6">
        <w:t>Breeden</w:t>
      </w:r>
      <w:r w:rsidRPr="00AC00D6">
        <w:t>與</w:t>
      </w:r>
      <w:r w:rsidRPr="00AC00D6">
        <w:t>Litzenberger (1978)</w:t>
      </w:r>
      <w:r w:rsidRPr="00AC00D6">
        <w:t>首次提出可從期權價格中提取市場對標的資產未來價格分配的預期。</w:t>
      </w:r>
      <w:proofErr w:type="spellStart"/>
      <w:r w:rsidRPr="00AC00D6">
        <w:t>Figlewski</w:t>
      </w:r>
      <w:proofErr w:type="spellEnd"/>
      <w:r w:rsidRPr="00AC00D6">
        <w:t xml:space="preserve"> (2018)</w:t>
      </w:r>
      <w:r w:rsidRPr="00AC00D6">
        <w:t>指出，</w:t>
      </w:r>
      <w:r w:rsidRPr="00AC00D6">
        <w:t>RND</w:t>
      </w:r>
      <w:r w:rsidRPr="00AC00D6">
        <w:t>包含投資人對真實機率的信念，以及其效用基礎的風險偏好，這兩項資訊對學術研究者和實務工作者都極具價值。</w:t>
      </w:r>
    </w:p>
    <w:p w14:paraId="620D7868" w14:textId="77777777" w:rsidR="00AC00D6" w:rsidRPr="00AC00D6" w:rsidRDefault="00AC00D6" w:rsidP="00AC00D6">
      <w:pPr>
        <w:spacing w:before="180" w:after="180"/>
        <w:ind w:firstLine="480"/>
      </w:pPr>
      <w:r w:rsidRPr="00AC00D6">
        <w:t>在實務應用上，</w:t>
      </w:r>
      <w:r w:rsidRPr="00AC00D6">
        <w:t>RND</w:t>
      </w:r>
      <w:r w:rsidRPr="00AC00D6">
        <w:t>的估計主要有兩種方法：參數法和非參數法。參數法是</w:t>
      </w:r>
      <w:r w:rsidRPr="00AC00D6">
        <w:lastRenderedPageBreak/>
        <w:t>假設</w:t>
      </w:r>
      <w:r w:rsidRPr="00AC00D6">
        <w:t>RND</w:t>
      </w:r>
      <w:r w:rsidRPr="00AC00D6">
        <w:t>符合特定的機率分布族，如對數常態分配或廣義極值分配</w:t>
      </w:r>
      <w:r w:rsidRPr="00AC00D6">
        <w:t>(Generalized Extreme Value Distribution, GEV)</w:t>
      </w:r>
      <w:r w:rsidRPr="00AC00D6">
        <w:t>；非參數法則直接從市場期權價格資料中提取</w:t>
      </w:r>
      <w:r w:rsidRPr="00AC00D6">
        <w:t>RND</w:t>
      </w:r>
      <w:r w:rsidRPr="00AC00D6">
        <w:t>，</w:t>
      </w:r>
      <w:proofErr w:type="gramStart"/>
      <w:r w:rsidRPr="00AC00D6">
        <w:t>不</w:t>
      </w:r>
      <w:proofErr w:type="gramEnd"/>
      <w:r w:rsidRPr="00AC00D6">
        <w:t>預設任何分配形式</w:t>
      </w:r>
      <w:r w:rsidRPr="00AC00D6">
        <w:t>(</w:t>
      </w:r>
      <w:proofErr w:type="spellStart"/>
      <w:r w:rsidRPr="00AC00D6">
        <w:t>Figlewski</w:t>
      </w:r>
      <w:proofErr w:type="spellEnd"/>
      <w:r w:rsidRPr="00AC00D6">
        <w:t>, 2018)</w:t>
      </w:r>
      <w:r w:rsidRPr="00AC00D6">
        <w:t>。</w:t>
      </w:r>
      <w:r w:rsidRPr="00AC00D6">
        <w:t>He, Peng, Zhang, &amp; Zhao (2022)</w:t>
      </w:r>
      <w:r w:rsidRPr="00AC00D6">
        <w:t>建議使用廣義柏拉圖分配</w:t>
      </w:r>
      <w:r w:rsidRPr="00AC00D6">
        <w:t>(Generalized Pareto Distribution, GPD)</w:t>
      </w:r>
      <w:r w:rsidRPr="00AC00D6">
        <w:t>來估計</w:t>
      </w:r>
      <w:r w:rsidRPr="00AC00D6">
        <w:t>RND</w:t>
      </w:r>
      <w:r w:rsidRPr="00AC00D6">
        <w:t>的尾部，這種方法在處理極端市場條件下特別有效。</w:t>
      </w:r>
    </w:p>
    <w:p w14:paraId="3321F327" w14:textId="2B23C0CF" w:rsidR="00AC00D6" w:rsidRDefault="00AC00D6" w:rsidP="00AC00D6">
      <w:pPr>
        <w:spacing w:before="180" w:after="180"/>
        <w:ind w:firstLine="480"/>
      </w:pPr>
      <w:proofErr w:type="gramStart"/>
      <w:r w:rsidRPr="00AC00D6">
        <w:t>此外，</w:t>
      </w:r>
      <w:proofErr w:type="spellStart"/>
      <w:proofErr w:type="gramEnd"/>
      <w:r w:rsidRPr="00AC00D6">
        <w:t>Figlewski</w:t>
      </w:r>
      <w:proofErr w:type="spellEnd"/>
      <w:r w:rsidRPr="00AC00D6">
        <w:t xml:space="preserve"> (2018)</w:t>
      </w:r>
      <w:r w:rsidRPr="00AC00D6">
        <w:t>強調，在建構</w:t>
      </w:r>
      <w:r w:rsidRPr="00AC00D6">
        <w:t>RND</w:t>
      </w:r>
      <w:r w:rsidRPr="00AC00D6">
        <w:t>時需要特別注意處理期權價格中的雜訊和極端值。他建議使用四階或更高階</w:t>
      </w:r>
      <w:proofErr w:type="gramStart"/>
      <w:r w:rsidRPr="00AC00D6">
        <w:t>的樣條函數</w:t>
      </w:r>
      <w:proofErr w:type="gramEnd"/>
      <w:r w:rsidRPr="00AC00D6">
        <w:t>進行平滑化處理，以避免</w:t>
      </w:r>
      <w:r w:rsidRPr="00AC00D6">
        <w:t>RND</w:t>
      </w:r>
      <w:r w:rsidRPr="00AC00D6">
        <w:t>出現不合理的尖峰或負值機率。</w:t>
      </w:r>
    </w:p>
    <w:p w14:paraId="3C31F7AA" w14:textId="40E25360" w:rsidR="00AC00D6" w:rsidRPr="00AC00D6" w:rsidRDefault="00AC00D6" w:rsidP="00AC00D6">
      <w:pPr>
        <w:spacing w:before="180" w:after="180"/>
        <w:ind w:firstLine="480"/>
        <w:rPr>
          <w:rFonts w:hint="eastAsia"/>
        </w:rPr>
      </w:pPr>
      <w:r w:rsidRPr="00AC00D6">
        <w:t>在波動率預測模型方面</w:t>
      </w:r>
      <w:r w:rsidRPr="00AC00D6">
        <w:t>,Jeon et al. (2020)</w:t>
      </w:r>
      <w:r w:rsidRPr="00AC00D6">
        <w:t>提出了一個新的波動率預測模型類別</w:t>
      </w:r>
      <w:r w:rsidRPr="00AC00D6">
        <w:t>,</w:t>
      </w:r>
      <w:r w:rsidRPr="00AC00D6">
        <w:t>該模型允許隱含波動率的預測能力取決於不確定性。他們的研究表明</w:t>
      </w:r>
      <w:r w:rsidRPr="00AC00D6">
        <w:t>,</w:t>
      </w:r>
      <w:r w:rsidRPr="00AC00D6">
        <w:t>期權隱含波動率在高度不確定性時期具有更強的預測能力。這與波動率知情交易者</w:t>
      </w:r>
      <w:r w:rsidRPr="00AC00D6">
        <w:t>(</w:t>
      </w:r>
      <w:r w:rsidRPr="00AC00D6">
        <w:t>而非方向性交易者</w:t>
      </w:r>
      <w:r w:rsidRPr="00AC00D6">
        <w:t>)</w:t>
      </w:r>
      <w:r w:rsidRPr="00AC00D6">
        <w:t>在不確定性較高時主導期權市場的觀點一致。</w:t>
      </w:r>
    </w:p>
    <w:p w14:paraId="57F8E8D7" w14:textId="1ECCF6F5" w:rsidR="008C28A6" w:rsidRDefault="00B67397" w:rsidP="00B67397">
      <w:pPr>
        <w:pStyle w:val="2"/>
      </w:pPr>
      <w:r>
        <w:rPr>
          <w:rFonts w:hint="eastAsia"/>
        </w:rPr>
        <w:t>2.2</w:t>
      </w:r>
      <w:r>
        <w:rPr>
          <w:rFonts w:hint="eastAsia"/>
        </w:rPr>
        <w:t>加密貨幣市場</w:t>
      </w:r>
    </w:p>
    <w:p w14:paraId="4DCA21C1" w14:textId="6081F870" w:rsidR="00AC00D6" w:rsidRDefault="00AC00D6" w:rsidP="00AC00D6">
      <w:pPr>
        <w:spacing w:before="180" w:after="180"/>
        <w:ind w:firstLine="480"/>
      </w:pPr>
      <w:r w:rsidRPr="00AC00D6">
        <w:t>Zulfiqar</w:t>
      </w:r>
      <w:r w:rsidRPr="00AC00D6">
        <w:t>與</w:t>
      </w:r>
      <w:r w:rsidRPr="00AC00D6">
        <w:t>Gulzar</w:t>
      </w:r>
      <w:r w:rsidRPr="00AC00D6">
        <w:t>（</w:t>
      </w:r>
      <w:r w:rsidRPr="00AC00D6">
        <w:t>2021</w:t>
      </w:r>
      <w:r w:rsidRPr="00AC00D6">
        <w:t>）研究了比</w:t>
      </w:r>
      <w:proofErr w:type="gramStart"/>
      <w:r w:rsidRPr="00AC00D6">
        <w:t>特幣期</w:t>
      </w:r>
      <w:proofErr w:type="gramEnd"/>
      <w:r w:rsidRPr="00AC00D6">
        <w:t>權市場的發展，指出隨著加密貨幣市場的蓬勃發展，比</w:t>
      </w:r>
      <w:proofErr w:type="gramStart"/>
      <w:r w:rsidRPr="00AC00D6">
        <w:t>特幣期</w:t>
      </w:r>
      <w:proofErr w:type="gramEnd"/>
      <w:r w:rsidRPr="00AC00D6">
        <w:t>權與期貨等衍生性金融商品逐漸受到重視。他們發現</w:t>
      </w:r>
      <w:proofErr w:type="spellStart"/>
      <w:r w:rsidRPr="00AC00D6">
        <w:t>Deribit</w:t>
      </w:r>
      <w:proofErr w:type="spellEnd"/>
      <w:r w:rsidRPr="00AC00D6">
        <w:t>、</w:t>
      </w:r>
      <w:proofErr w:type="spellStart"/>
      <w:r w:rsidRPr="00AC00D6">
        <w:t>LedgerX</w:t>
      </w:r>
      <w:proofErr w:type="spellEnd"/>
      <w:r w:rsidRPr="00AC00D6">
        <w:t>等交易所提供的比</w:t>
      </w:r>
      <w:proofErr w:type="gramStart"/>
      <w:r w:rsidRPr="00AC00D6">
        <w:t>特幣期</w:t>
      </w:r>
      <w:proofErr w:type="gramEnd"/>
      <w:r w:rsidRPr="00AC00D6">
        <w:t>權交易，為投資人提供了更多元的避險工具。芝加哥商品交易所（</w:t>
      </w:r>
      <w:r w:rsidRPr="00AC00D6">
        <w:t>CME</w:t>
      </w:r>
      <w:r w:rsidRPr="00AC00D6">
        <w:t>）於</w:t>
      </w:r>
      <w:r w:rsidRPr="00AC00D6">
        <w:t>2020</w:t>
      </w:r>
      <w:r w:rsidRPr="00AC00D6">
        <w:t>年第一季推出比</w:t>
      </w:r>
      <w:proofErr w:type="gramStart"/>
      <w:r w:rsidRPr="00AC00D6">
        <w:t>特幣期</w:t>
      </w:r>
      <w:proofErr w:type="gramEnd"/>
      <w:r w:rsidRPr="00AC00D6">
        <w:t>權，更是為這個新興市場帶來重要的里程碑。根據</w:t>
      </w:r>
      <w:r w:rsidRPr="00AC00D6">
        <w:t>Zulfiqar</w:t>
      </w:r>
      <w:r w:rsidRPr="00AC00D6">
        <w:t>與</w:t>
      </w:r>
      <w:r w:rsidRPr="00AC00D6">
        <w:t>Gulzar</w:t>
      </w:r>
      <w:r w:rsidRPr="00AC00D6">
        <w:t>（</w:t>
      </w:r>
      <w:r w:rsidRPr="00AC00D6">
        <w:t>2021</w:t>
      </w:r>
      <w:r w:rsidRPr="00AC00D6">
        <w:t>）的研究，比</w:t>
      </w:r>
      <w:proofErr w:type="gramStart"/>
      <w:r w:rsidRPr="00AC00D6">
        <w:t>特幣期</w:t>
      </w:r>
      <w:proofErr w:type="gramEnd"/>
      <w:r w:rsidRPr="00AC00D6">
        <w:t>權市場展現出獨特的波動度特徵。他們發現比</w:t>
      </w:r>
      <w:proofErr w:type="gramStart"/>
      <w:r w:rsidRPr="00AC00D6">
        <w:t>特幣期</w:t>
      </w:r>
      <w:proofErr w:type="gramEnd"/>
      <w:r w:rsidRPr="00AC00D6">
        <w:t>權的隱含波動度呈現出明顯</w:t>
      </w:r>
      <w:proofErr w:type="gramStart"/>
      <w:r w:rsidRPr="00AC00D6">
        <w:t>的前偏斜</w:t>
      </w:r>
      <w:proofErr w:type="gramEnd"/>
      <w:r w:rsidRPr="00AC00D6">
        <w:t>（</w:t>
      </w:r>
      <w:r w:rsidRPr="00AC00D6">
        <w:t>Forward Skew</w:t>
      </w:r>
      <w:r w:rsidRPr="00AC00D6">
        <w:t>）現象，這與商品期權市場的特徵相似。</w:t>
      </w:r>
      <w:proofErr w:type="gramStart"/>
      <w:r w:rsidRPr="00AC00D6">
        <w:t>此外，</w:t>
      </w:r>
      <w:proofErr w:type="gramEnd"/>
      <w:r w:rsidRPr="00AC00D6">
        <w:t>短天期</w:t>
      </w:r>
      <w:proofErr w:type="gramStart"/>
      <w:r w:rsidRPr="00AC00D6">
        <w:t>期</w:t>
      </w:r>
      <w:proofErr w:type="gramEnd"/>
      <w:r w:rsidRPr="00AC00D6">
        <w:t>權的波動度微笑（</w:t>
      </w:r>
      <w:r w:rsidRPr="00AC00D6">
        <w:t>Volatility Smile</w:t>
      </w:r>
      <w:r w:rsidRPr="00AC00D6">
        <w:t>）現象特別明顯，反映出市場對極端風險的定價。這些特徵與傳統股票期權市場有顯著的不同。</w:t>
      </w:r>
    </w:p>
    <w:p w14:paraId="34FD47C9" w14:textId="432B7EB5" w:rsidR="00AC00D6" w:rsidRDefault="00AC00D6" w:rsidP="00AC00D6">
      <w:pPr>
        <w:spacing w:before="180" w:after="180"/>
        <w:ind w:firstLine="480"/>
      </w:pPr>
      <w:r w:rsidRPr="00AC00D6">
        <w:t>在加密貨幣市場中，由於其高波動性和極端報酬特性，</w:t>
      </w:r>
      <w:r w:rsidRPr="00AC00D6">
        <w:t>RND</w:t>
      </w:r>
      <w:r w:rsidRPr="00AC00D6">
        <w:t>的估計和應用顯得特別重要。根據文獻顯示，比</w:t>
      </w:r>
      <w:proofErr w:type="gramStart"/>
      <w:r w:rsidRPr="00AC00D6">
        <w:t>特幣期</w:t>
      </w:r>
      <w:proofErr w:type="gramEnd"/>
      <w:r w:rsidRPr="00AC00D6">
        <w:t>權市場的</w:t>
      </w:r>
      <w:r w:rsidRPr="00AC00D6">
        <w:t>RND</w:t>
      </w:r>
      <w:r w:rsidRPr="00AC00D6">
        <w:t>往往呈現出顯著的左</w:t>
      </w:r>
      <w:proofErr w:type="gramStart"/>
      <w:r w:rsidRPr="00AC00D6">
        <w:t>偏和超</w:t>
      </w:r>
      <w:r w:rsidRPr="00AC00D6">
        <w:lastRenderedPageBreak/>
        <w:t>額峰度</w:t>
      </w:r>
      <w:proofErr w:type="gramEnd"/>
      <w:r w:rsidRPr="00AC00D6">
        <w:t>，這反映了投資人對加密貨幣市場下跌風險的擔憂</w:t>
      </w:r>
      <w:r w:rsidRPr="00AC00D6">
        <w:t>(Chordia et al., 2021)</w:t>
      </w:r>
      <w:r w:rsidRPr="00AC00D6">
        <w:t>。</w:t>
      </w:r>
    </w:p>
    <w:p w14:paraId="5A3D2B55" w14:textId="691F7494" w:rsidR="00AC00D6" w:rsidRDefault="00AC00D6" w:rsidP="00AC00D6">
      <w:pPr>
        <w:spacing w:before="180" w:after="180"/>
        <w:ind w:firstLine="480"/>
      </w:pPr>
      <w:r w:rsidRPr="00AC00D6">
        <w:t>比</w:t>
      </w:r>
      <w:proofErr w:type="gramStart"/>
      <w:r w:rsidRPr="00AC00D6">
        <w:t>特</w:t>
      </w:r>
      <w:proofErr w:type="gramEnd"/>
      <w:r w:rsidRPr="00AC00D6">
        <w:t>幣作為一種電子現金系統</w:t>
      </w:r>
      <w:r w:rsidRPr="00AC00D6">
        <w:t>,</w:t>
      </w:r>
      <w:r w:rsidRPr="00AC00D6">
        <w:t>自</w:t>
      </w:r>
      <w:r w:rsidRPr="00AC00D6">
        <w:t>2008</w:t>
      </w:r>
      <w:r w:rsidRPr="00AC00D6">
        <w:t>年問世以來已成為一種廣受歡迎的加密貨幣</w:t>
      </w:r>
      <w:r w:rsidRPr="00AC00D6">
        <w:t>(Köse et al., 2024)</w:t>
      </w:r>
      <w:r w:rsidRPr="00AC00D6">
        <w:t>。</w:t>
      </w:r>
      <w:proofErr w:type="spellStart"/>
      <w:r w:rsidRPr="00AC00D6">
        <w:t>Akyildirim</w:t>
      </w:r>
      <w:proofErr w:type="spellEnd"/>
      <w:r w:rsidRPr="00AC00D6">
        <w:t xml:space="preserve"> et al. (</w:t>
      </w:r>
      <w:proofErr w:type="gramStart"/>
      <w:r w:rsidRPr="00AC00D6">
        <w:t>2020)</w:t>
      </w:r>
      <w:r w:rsidRPr="00AC00D6">
        <w:t>的研究發現</w:t>
      </w:r>
      <w:proofErr w:type="gramEnd"/>
      <w:r w:rsidRPr="00AC00D6">
        <w:t>,</w:t>
      </w:r>
      <w:r w:rsidRPr="00AC00D6">
        <w:t>加密貨幣市場在投資者</w:t>
      </w:r>
      <w:r w:rsidRPr="00AC00D6">
        <w:t>"</w:t>
      </w:r>
      <w:r w:rsidRPr="00AC00D6">
        <w:t>恐懼</w:t>
      </w:r>
      <w:r w:rsidRPr="00AC00D6">
        <w:t>"</w:t>
      </w:r>
      <w:r w:rsidRPr="00AC00D6">
        <w:t>情緒升高時表現出較高的波動性。他們的研究還發現</w:t>
      </w:r>
      <w:r w:rsidRPr="00AC00D6">
        <w:t>,</w:t>
      </w:r>
      <w:r w:rsidRPr="00AC00D6">
        <w:t>加密貨幣波動性與</w:t>
      </w:r>
      <w:r w:rsidRPr="00AC00D6">
        <w:t>VIX</w:t>
      </w:r>
      <w:r w:rsidRPr="00AC00D6">
        <w:t>等波動性指標在這些時期呈現顯著相關性。</w:t>
      </w:r>
    </w:p>
    <w:p w14:paraId="2754234F" w14:textId="6F2A5D43" w:rsidR="00AC00D6" w:rsidRDefault="00AC00D6" w:rsidP="00AC00D6">
      <w:pPr>
        <w:spacing w:before="180" w:after="180"/>
        <w:ind w:firstLine="480"/>
        <w:rPr>
          <w:rFonts w:hint="eastAsia"/>
        </w:rPr>
      </w:pPr>
      <w:proofErr w:type="spellStart"/>
      <w:r w:rsidRPr="00AC00D6">
        <w:t>Jackwerth</w:t>
      </w:r>
      <w:proofErr w:type="spellEnd"/>
      <w:r w:rsidRPr="00AC00D6">
        <w:t xml:space="preserve"> (2020)</w:t>
      </w:r>
      <w:r w:rsidRPr="00AC00D6">
        <w:t>通過分析</w:t>
      </w:r>
      <w:r w:rsidRPr="00AC00D6">
        <w:t>S&amp;P 500</w:t>
      </w:r>
      <w:r w:rsidRPr="00AC00D6">
        <w:t>指數期權的風險中性分布</w:t>
      </w:r>
      <w:r w:rsidRPr="00AC00D6">
        <w:t>,</w:t>
      </w:r>
      <w:r w:rsidRPr="00AC00D6">
        <w:t>發現市場在</w:t>
      </w:r>
      <w:r w:rsidRPr="00AC00D6">
        <w:t>2020</w:t>
      </w:r>
      <w:r w:rsidRPr="00AC00D6">
        <w:t>年</w:t>
      </w:r>
      <w:r w:rsidRPr="00AC00D6">
        <w:t>2</w:t>
      </w:r>
      <w:r w:rsidRPr="00AC00D6">
        <w:t>月</w:t>
      </w:r>
      <w:r w:rsidRPr="00AC00D6">
        <w:t>20</w:t>
      </w:r>
      <w:r w:rsidRPr="00AC00D6">
        <w:t>日尚未反映出即將到來的危機</w:t>
      </w:r>
      <w:r w:rsidRPr="00AC00D6">
        <w:t>,</w:t>
      </w:r>
      <w:r w:rsidRPr="00AC00D6">
        <w:t>直到</w:t>
      </w:r>
      <w:r w:rsidRPr="00AC00D6">
        <w:t>3</w:t>
      </w:r>
      <w:r w:rsidRPr="00AC00D6">
        <w:t>月</w:t>
      </w:r>
      <w:r w:rsidRPr="00AC00D6">
        <w:t>16</w:t>
      </w:r>
      <w:r w:rsidRPr="00AC00D6">
        <w:t>日才完全體現出危機的影響。這表明加密貨幣市場的效率性與傳統金融市場類似</w:t>
      </w:r>
      <w:r w:rsidRPr="00AC00D6">
        <w:t>,</w:t>
      </w:r>
      <w:r w:rsidRPr="00AC00D6">
        <w:t>都需要一定時間來消化和反映重大事件的影響。</w:t>
      </w:r>
    </w:p>
    <w:p w14:paraId="2417175D" w14:textId="75438E8E" w:rsidR="00921A82" w:rsidRDefault="00B67397" w:rsidP="00B67397">
      <w:pPr>
        <w:pStyle w:val="2"/>
      </w:pPr>
      <w:r>
        <w:rPr>
          <w:rFonts w:hint="eastAsia"/>
        </w:rPr>
        <w:t>2.3</w:t>
      </w:r>
      <w:r w:rsidR="00921A82">
        <w:rPr>
          <w:rFonts w:hint="eastAsia"/>
        </w:rPr>
        <w:t>實證分析</w:t>
      </w:r>
    </w:p>
    <w:p w14:paraId="1CC42257" w14:textId="342A8730" w:rsidR="00AC00D6" w:rsidRPr="00AC00D6" w:rsidRDefault="00AC00D6" w:rsidP="00AC00D6">
      <w:pPr>
        <w:spacing w:before="180" w:after="180"/>
        <w:ind w:firstLine="480"/>
        <w:rPr>
          <w:rFonts w:hint="eastAsia"/>
        </w:rPr>
      </w:pPr>
      <w:proofErr w:type="spellStart"/>
      <w:r w:rsidRPr="00AC00D6">
        <w:t>Mohrschladt</w:t>
      </w:r>
      <w:proofErr w:type="spellEnd"/>
      <w:r w:rsidRPr="00AC00D6">
        <w:t>與</w:t>
      </w:r>
      <w:r w:rsidRPr="00AC00D6">
        <w:t>Schneider</w:t>
      </w:r>
      <w:r w:rsidRPr="00AC00D6">
        <w:t>（</w:t>
      </w:r>
      <w:r w:rsidRPr="00AC00D6">
        <w:t>2021</w:t>
      </w:r>
      <w:r w:rsidRPr="00AC00D6">
        <w:t>）使用高頻期權交易資料進行研究，發現價內期權與價外期權的隱含波動度差異具有重要的資訊含量。他們的研究顯示，這些差異可能反映了市場參與者對未來波動度與風險的不同預期。</w:t>
      </w:r>
      <w:proofErr w:type="spellStart"/>
      <w:r w:rsidRPr="00AC00D6">
        <w:t>Mohrschladt</w:t>
      </w:r>
      <w:proofErr w:type="spellEnd"/>
      <w:r w:rsidRPr="00AC00D6">
        <w:t>與</w:t>
      </w:r>
      <w:r w:rsidRPr="00AC00D6">
        <w:t>Schneider</w:t>
      </w:r>
      <w:r w:rsidRPr="00AC00D6">
        <w:t>（</w:t>
      </w:r>
      <w:r w:rsidRPr="00AC00D6">
        <w:t>2021</w:t>
      </w:r>
      <w:r w:rsidRPr="00AC00D6">
        <w:t>）研究了價內期權（</w:t>
      </w:r>
      <w:r w:rsidRPr="00AC00D6">
        <w:t>ITM options</w:t>
      </w:r>
      <w:r w:rsidRPr="00AC00D6">
        <w:t>）對隱含偏態的影響，發現價內期權包含了重要的市場資訊。他們的研究顯示，傳統僅使用價外期權（</w:t>
      </w:r>
      <w:r w:rsidRPr="00AC00D6">
        <w:t>OTM options</w:t>
      </w:r>
      <w:r w:rsidRPr="00AC00D6">
        <w:t>）計算模型自由隱含偏態（</w:t>
      </w:r>
      <w:r w:rsidRPr="00AC00D6">
        <w:t>Model-Free Implied Skewness</w:t>
      </w:r>
      <w:r w:rsidRPr="00AC00D6">
        <w:t>）的方法可能忽略了重要的市場資訊。</w:t>
      </w:r>
    </w:p>
    <w:p w14:paraId="1A823113" w14:textId="5E910A83" w:rsidR="00AC00D6" w:rsidRDefault="00AC00D6" w:rsidP="00AC00D6">
      <w:pPr>
        <w:spacing w:before="180" w:after="180"/>
        <w:ind w:firstLine="480"/>
      </w:pPr>
      <w:r w:rsidRPr="00AC00D6">
        <w:t>Feng, He, and Zhang</w:t>
      </w:r>
      <w:r w:rsidRPr="00AC00D6">
        <w:t>（</w:t>
      </w:r>
      <w:r w:rsidRPr="00AC00D6">
        <w:t>2023</w:t>
      </w:r>
      <w:r w:rsidRPr="00AC00D6">
        <w:t>）研究了市場偏態對股票報酬的預測能力。他們發現，</w:t>
      </w:r>
      <w:proofErr w:type="gramStart"/>
      <w:r w:rsidRPr="00AC00D6">
        <w:t>好偏態</w:t>
      </w:r>
      <w:proofErr w:type="gramEnd"/>
      <w:r w:rsidRPr="00AC00D6">
        <w:t>不僅在樣本內具有顯著的預測能力，在樣本外測試中也展現出優異的表現。特別是，當與總體經濟變數和波動度變數相比，</w:t>
      </w:r>
      <w:proofErr w:type="gramStart"/>
      <w:r w:rsidRPr="00AC00D6">
        <w:t>好偏態能</w:t>
      </w:r>
      <w:proofErr w:type="gramEnd"/>
      <w:r w:rsidRPr="00AC00D6">
        <w:t>提供互補或主導性的資訊。</w:t>
      </w:r>
      <w:r w:rsidRPr="00AC00D6">
        <w:t>Feng, He, and Zhang</w:t>
      </w:r>
      <w:r w:rsidRPr="00AC00D6">
        <w:t>（</w:t>
      </w:r>
      <w:r w:rsidRPr="00AC00D6">
        <w:t>2023</w:t>
      </w:r>
      <w:r w:rsidRPr="00AC00D6">
        <w:t>）進一步研究市場偏態（</w:t>
      </w:r>
      <w:r w:rsidRPr="00AC00D6">
        <w:t>Market Skewness</w:t>
      </w:r>
      <w:r w:rsidRPr="00AC00D6">
        <w:t>）對股票報酬的預測能力，發現將偏態分解</w:t>
      </w:r>
      <w:proofErr w:type="gramStart"/>
      <w:r w:rsidRPr="00AC00D6">
        <w:t>為好偏態</w:t>
      </w:r>
      <w:proofErr w:type="gramEnd"/>
      <w:r w:rsidRPr="00AC00D6">
        <w:t>（</w:t>
      </w:r>
      <w:r w:rsidRPr="00AC00D6">
        <w:t>Good Skewness</w:t>
      </w:r>
      <w:r w:rsidRPr="00AC00D6">
        <w:t>）</w:t>
      </w:r>
      <w:proofErr w:type="gramStart"/>
      <w:r w:rsidRPr="00AC00D6">
        <w:t>與壞偏態</w:t>
      </w:r>
      <w:proofErr w:type="gramEnd"/>
      <w:r w:rsidRPr="00AC00D6">
        <w:t>（</w:t>
      </w:r>
      <w:r w:rsidRPr="00AC00D6">
        <w:t>Bad Skewness</w:t>
      </w:r>
      <w:r w:rsidRPr="00AC00D6">
        <w:t>）能提供更好的預測效果。</w:t>
      </w:r>
    </w:p>
    <w:p w14:paraId="28C97416" w14:textId="78339F70" w:rsidR="00AC00D6" w:rsidRDefault="00AC00D6" w:rsidP="00AC00D6">
      <w:pPr>
        <w:spacing w:before="180" w:after="180"/>
        <w:ind w:firstLine="480"/>
      </w:pPr>
      <w:r w:rsidRPr="00AC00D6">
        <w:lastRenderedPageBreak/>
        <w:t>Li, Wu, Zhang, &amp; Zhang (2024)</w:t>
      </w:r>
      <w:r w:rsidRPr="00AC00D6">
        <w:t>的研究發現，風險中性偏態</w:t>
      </w:r>
      <w:r w:rsidRPr="00AC00D6">
        <w:t>(Risk-Neutral Skewness, RNS)</w:t>
      </w:r>
      <w:r w:rsidRPr="00AC00D6">
        <w:t>對未來股票報酬具有顯著的預測能力。特別是在經濟衰退</w:t>
      </w:r>
      <w:proofErr w:type="gramStart"/>
      <w:r w:rsidRPr="00AC00D6">
        <w:t>期間，</w:t>
      </w:r>
      <w:proofErr w:type="gramEnd"/>
      <w:r w:rsidRPr="00AC00D6">
        <w:t>RNS</w:t>
      </w:r>
      <w:r w:rsidRPr="00AC00D6">
        <w:t>的預測能力更為顯著。他們的實證結果顯示，</w:t>
      </w:r>
      <w:r w:rsidRPr="00AC00D6">
        <w:t>RNS</w:t>
      </w:r>
      <w:r w:rsidRPr="00AC00D6">
        <w:t>的預測能力主要來自於其下方風險成分，這反映了投資人對尾部風險的主觀信念。</w:t>
      </w:r>
    </w:p>
    <w:p w14:paraId="41D9CCC1" w14:textId="4D1996F7" w:rsidR="00AC00D6" w:rsidRDefault="00AC00D6" w:rsidP="00AC00D6">
      <w:pPr>
        <w:spacing w:before="180" w:after="180"/>
        <w:ind w:firstLine="480"/>
      </w:pPr>
      <w:r w:rsidRPr="00AC00D6">
        <w:t>Chordia et al. (</w:t>
      </w:r>
      <w:proofErr w:type="gramStart"/>
      <w:r w:rsidRPr="00AC00D6">
        <w:t>2021)</w:t>
      </w:r>
      <w:r w:rsidRPr="00AC00D6">
        <w:t>發現</w:t>
      </w:r>
      <w:proofErr w:type="gramEnd"/>
      <w:r w:rsidRPr="00AC00D6">
        <w:t>，</w:t>
      </w:r>
      <w:r w:rsidRPr="00AC00D6">
        <w:t>RNS</w:t>
      </w:r>
      <w:r w:rsidRPr="00AC00D6">
        <w:t>與未來股票報酬之間的正向關係在套利限制較強的股票中更為顯著。這表明知情交易者在面臨股票市場套利限制時，傾向於轉向期權市場進行交易。</w:t>
      </w:r>
      <w:r w:rsidRPr="00AC00D6">
        <w:t>Li et al. (2024)</w:t>
      </w:r>
      <w:r w:rsidRPr="00AC00D6">
        <w:t>進一步證實，這種預測關係在規模較小、獲利能力較低、以及市場</w:t>
      </w:r>
      <w:r w:rsidRPr="00AC00D6">
        <w:t>beta</w:t>
      </w:r>
      <w:r w:rsidRPr="00AC00D6">
        <w:t>較高的股票中更為明顯。</w:t>
      </w:r>
    </w:p>
    <w:p w14:paraId="3F3B78E2" w14:textId="31E799AC" w:rsidR="00AC00D6" w:rsidRDefault="00AC00D6" w:rsidP="00AC00D6">
      <w:pPr>
        <w:spacing w:before="180" w:after="180"/>
        <w:ind w:firstLine="480"/>
      </w:pPr>
      <w:r w:rsidRPr="00AC00D6">
        <w:t>從經濟學角度來看，</w:t>
      </w:r>
      <w:r w:rsidRPr="00AC00D6">
        <w:t>RNS</w:t>
      </w:r>
      <w:r w:rsidRPr="00AC00D6">
        <w:t>包含了市場參與者對未來投資機會集合的預期。當</w:t>
      </w:r>
      <w:r w:rsidRPr="00AC00D6">
        <w:t>RNS</w:t>
      </w:r>
      <w:r w:rsidRPr="00AC00D6">
        <w:t>上升時，表明投資人預期未來報酬分配向右偏移，投資環境趨於改善</w:t>
      </w:r>
      <w:r w:rsidRPr="00AC00D6">
        <w:t>(Li et al., 2024)</w:t>
      </w:r>
      <w:r w:rsidRPr="00AC00D6">
        <w:t>。這種預測能力在經濟衰退期間表現更為顯著，這與</w:t>
      </w:r>
      <w:proofErr w:type="spellStart"/>
      <w:r w:rsidRPr="00AC00D6">
        <w:t>Cujean</w:t>
      </w:r>
      <w:proofErr w:type="spellEnd"/>
      <w:r w:rsidRPr="00AC00D6">
        <w:t>與</w:t>
      </w:r>
      <w:r w:rsidRPr="00AC00D6">
        <w:t>Hasler (2017)</w:t>
      </w:r>
      <w:r w:rsidRPr="00AC00D6">
        <w:t>的理論預測一致，即在經濟狀況惡化時，不確定性上升導致投資人意見分歧加劇，進而強化了預測能力。</w:t>
      </w:r>
    </w:p>
    <w:p w14:paraId="5F6973AB" w14:textId="3A30430B" w:rsidR="00AC00D6" w:rsidRPr="00AC00D6" w:rsidRDefault="00AC00D6" w:rsidP="00AC00D6">
      <w:pPr>
        <w:spacing w:before="180" w:after="180"/>
        <w:ind w:firstLine="480"/>
        <w:rPr>
          <w:rFonts w:hint="eastAsia"/>
        </w:rPr>
      </w:pPr>
      <w:r w:rsidRPr="00AC00D6">
        <w:t>VIX</w:t>
      </w:r>
      <w:r w:rsidRPr="00AC00D6">
        <w:t>作為市場恐慌指標</w:t>
      </w:r>
      <w:r w:rsidRPr="00AC00D6">
        <w:t>,</w:t>
      </w:r>
      <w:r w:rsidRPr="00AC00D6">
        <w:t>對加密貨幣市場具有重要影響。</w:t>
      </w:r>
      <w:r w:rsidRPr="00AC00D6">
        <w:t>Köse et al. (</w:t>
      </w:r>
      <w:proofErr w:type="gramStart"/>
      <w:r w:rsidRPr="00AC00D6">
        <w:t>2024)</w:t>
      </w:r>
      <w:r w:rsidRPr="00AC00D6">
        <w:t>的研究表明</w:t>
      </w:r>
      <w:proofErr w:type="gramEnd"/>
      <w:r w:rsidRPr="00AC00D6">
        <w:t>,VIX</w:t>
      </w:r>
      <w:r w:rsidRPr="00AC00D6">
        <w:t>與比特幣價格之間存在統計顯著的負相關關係。具體而言</w:t>
      </w:r>
      <w:r w:rsidRPr="00AC00D6">
        <w:t>,</w:t>
      </w:r>
      <w:r w:rsidRPr="00AC00D6">
        <w:t>當</w:t>
      </w:r>
      <w:r w:rsidRPr="00AC00D6">
        <w:t>VIX</w:t>
      </w:r>
      <w:r w:rsidRPr="00AC00D6">
        <w:t>上升時</w:t>
      </w:r>
      <w:r w:rsidRPr="00AC00D6">
        <w:t>,</w:t>
      </w:r>
      <w:r w:rsidRPr="00AC00D6">
        <w:t>比特幣價格往往會下跌</w:t>
      </w:r>
      <w:r w:rsidRPr="00AC00D6">
        <w:t>,</w:t>
      </w:r>
      <w:r w:rsidRPr="00AC00D6">
        <w:t>這表明加密貨幣市場缺乏保護性控制機制</w:t>
      </w:r>
      <w:r w:rsidRPr="00AC00D6">
        <w:t>,</w:t>
      </w:r>
      <w:r w:rsidRPr="00AC00D6">
        <w:t>使其仍具有較大的不確定性。</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2" w:name="_Toc182815177"/>
      <w:r>
        <w:rPr>
          <w:rFonts w:hint="eastAsia"/>
        </w:rPr>
        <w:lastRenderedPageBreak/>
        <w:t>第三章、</w:t>
      </w:r>
      <w:bookmarkEnd w:id="2"/>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0D689EAA" w14:textId="514BFF76" w:rsidR="00FC6694" w:rsidRPr="00FC6694" w:rsidRDefault="00FC6694" w:rsidP="00FC6694">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6F6B7437"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BD04B9">
        <w:rPr>
          <w:rFonts w:hint="eastAsia"/>
        </w:rPr>
        <w:t>圖</w:t>
      </w:r>
      <w:r w:rsidR="00BD04B9">
        <w:rPr>
          <w:rFonts w:hint="eastAsia"/>
        </w:rPr>
        <w:t>3-</w:t>
      </w:r>
      <w:r w:rsidR="00BD04B9">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4DB40761" w:rsidR="003A010D" w:rsidRPr="003A010D" w:rsidRDefault="003A010D" w:rsidP="003A010D">
      <w:pPr>
        <w:pStyle w:val="a9"/>
        <w:spacing w:before="180" w:after="180"/>
      </w:pPr>
      <w:bookmarkStart w:id="3"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D04B9">
        <w:rPr>
          <w:noProof/>
        </w:rPr>
        <w:t>1</w:t>
      </w:r>
      <w:r>
        <w:fldChar w:fldCharType="end"/>
      </w:r>
      <w:bookmarkEnd w:id="3"/>
      <w:r>
        <w:rPr>
          <w:rFonts w:hint="eastAsia"/>
        </w:rPr>
        <w:t>：比</w:t>
      </w:r>
      <w:proofErr w:type="gramStart"/>
      <w:r>
        <w:rPr>
          <w:rFonts w:hint="eastAsia"/>
        </w:rPr>
        <w:t>特</w:t>
      </w:r>
      <w:proofErr w:type="gramEnd"/>
      <w:r>
        <w:rPr>
          <w:rFonts w:hint="eastAsia"/>
        </w:rPr>
        <w:t>幣選擇權市場交易量與未平倉量數據統計</w:t>
      </w:r>
      <w:r>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p>
    <w:p w14:paraId="073656E1" w14:textId="3A76B411"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5945496F"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BD04B9">
        <w:rPr>
          <w:rFonts w:hint="eastAsia"/>
        </w:rPr>
        <w:t>圖</w:t>
      </w:r>
      <w:r w:rsidR="00BD04B9">
        <w:rPr>
          <w:rFonts w:hint="eastAsia"/>
        </w:rPr>
        <w:t>3-</w:t>
      </w:r>
      <w:r w:rsidR="00BD04B9">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BD04B9">
        <w:rPr>
          <w:rFonts w:hint="eastAsia"/>
        </w:rPr>
        <w:t>圖</w:t>
      </w:r>
      <w:r w:rsidR="00BD04B9">
        <w:rPr>
          <w:rFonts w:hint="eastAsia"/>
        </w:rPr>
        <w:t>3-</w:t>
      </w:r>
      <w:r w:rsidR="00BD04B9">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w:t>
      </w:r>
      <w:r w:rsidRPr="00182BF8">
        <w:lastRenderedPageBreak/>
        <w:t>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5400040" cy="2678430"/>
                    </a:xfrm>
                    <a:prstGeom prst="rect">
                      <a:avLst/>
                    </a:prstGeom>
                  </pic:spPr>
                </pic:pic>
              </a:graphicData>
            </a:graphic>
          </wp:inline>
        </w:drawing>
      </w:r>
    </w:p>
    <w:p w14:paraId="00AC0A35" w14:textId="7206A49C" w:rsidR="00663F14" w:rsidRPr="00FB35F3" w:rsidRDefault="00B634F1" w:rsidP="00B634F1">
      <w:pPr>
        <w:pStyle w:val="a9"/>
        <w:spacing w:before="180" w:after="180"/>
      </w:pPr>
      <w:bookmarkStart w:id="4" w:name="_Ref18948992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D04B9">
        <w:rPr>
          <w:noProof/>
        </w:rPr>
        <w:t>2</w:t>
      </w:r>
      <w:r>
        <w:fldChar w:fldCharType="end"/>
      </w:r>
      <w:bookmarkEnd w:id="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5400040" cy="2677160"/>
                    </a:xfrm>
                    <a:prstGeom prst="rect">
                      <a:avLst/>
                    </a:prstGeom>
                  </pic:spPr>
                </pic:pic>
              </a:graphicData>
            </a:graphic>
          </wp:inline>
        </w:drawing>
      </w:r>
    </w:p>
    <w:p w14:paraId="5B0BCF08" w14:textId="4418EFDB" w:rsidR="00B53910" w:rsidRDefault="002F31B5" w:rsidP="008E3193">
      <w:pPr>
        <w:pStyle w:val="a9"/>
        <w:spacing w:before="180" w:after="180"/>
      </w:pPr>
      <w:bookmarkStart w:id="5"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D04B9">
        <w:rPr>
          <w:noProof/>
        </w:rPr>
        <w:t>3</w:t>
      </w:r>
      <w:r>
        <w:fldChar w:fldCharType="end"/>
      </w:r>
      <w:bookmarkEnd w:id="5"/>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p>
    <w:p w14:paraId="26B0396F" w14:textId="6894129A"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BD04B9">
        <w:rPr>
          <w:rFonts w:hint="eastAsia"/>
        </w:rPr>
        <w:t>圖</w:t>
      </w:r>
      <w:r w:rsidR="00BD04B9">
        <w:rPr>
          <w:rFonts w:hint="eastAsia"/>
        </w:rPr>
        <w:t>3-</w:t>
      </w:r>
      <w:r w:rsidR="00BD04B9">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5400040" cy="3813810"/>
                    </a:xfrm>
                    <a:prstGeom prst="rect">
                      <a:avLst/>
                    </a:prstGeom>
                  </pic:spPr>
                </pic:pic>
              </a:graphicData>
            </a:graphic>
          </wp:inline>
        </w:drawing>
      </w:r>
    </w:p>
    <w:p w14:paraId="5A3CE6E9" w14:textId="59084084" w:rsidR="00B53910" w:rsidRPr="00B53910" w:rsidRDefault="00B53910" w:rsidP="00B53910">
      <w:pPr>
        <w:pStyle w:val="a9"/>
        <w:spacing w:before="180" w:after="180"/>
      </w:pPr>
      <w:bookmarkStart w:id="6" w:name="_Ref18949329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D04B9">
        <w:rPr>
          <w:noProof/>
        </w:rPr>
        <w:t>4</w:t>
      </w:r>
      <w:r>
        <w:fldChar w:fldCharType="end"/>
      </w:r>
      <w:bookmarkEnd w:id="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proofErr w:type="gramEnd"/>
    </w:p>
    <w:p w14:paraId="51E8C060" w14:textId="1D497460"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BD04B9">
        <w:rPr>
          <w:rFonts w:hint="eastAsia"/>
        </w:rPr>
        <w:t>圖</w:t>
      </w:r>
      <w:r w:rsidR="00BD04B9">
        <w:rPr>
          <w:rFonts w:hint="eastAsia"/>
        </w:rPr>
        <w:t>3-</w:t>
      </w:r>
      <w:r w:rsidR="00BD04B9">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w:t>
      </w:r>
      <w:r w:rsidRPr="00B53910">
        <w:lastRenderedPageBreak/>
        <w:t>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5400040" cy="3836670"/>
                    </a:xfrm>
                    <a:prstGeom prst="rect">
                      <a:avLst/>
                    </a:prstGeom>
                  </pic:spPr>
                </pic:pic>
              </a:graphicData>
            </a:graphic>
          </wp:inline>
        </w:drawing>
      </w:r>
    </w:p>
    <w:p w14:paraId="0F92B1A9" w14:textId="32B80682" w:rsidR="00B53910" w:rsidRPr="00B53910" w:rsidRDefault="00B53910" w:rsidP="00B53910">
      <w:pPr>
        <w:pStyle w:val="a9"/>
        <w:spacing w:before="180" w:after="180"/>
      </w:pPr>
      <w:bookmarkStart w:id="7" w:name="_Ref189493371"/>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D04B9">
        <w:rPr>
          <w:noProof/>
        </w:rPr>
        <w:t>5</w:t>
      </w:r>
      <w:r>
        <w:fldChar w:fldCharType="end"/>
      </w:r>
      <w:bookmarkEnd w:id="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8" w:name="_Toc182815179"/>
      <w:r>
        <w:rPr>
          <w:rFonts w:hint="eastAsia"/>
        </w:rPr>
        <w:lastRenderedPageBreak/>
        <w:t>第四章、</w:t>
      </w:r>
      <w:bookmarkEnd w:id="8"/>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5B68FCD2" w:rsidR="003643C9" w:rsidRDefault="003643C9" w:rsidP="00646BB2">
            <w:pPr>
              <w:pStyle w:val="a9"/>
              <w:spacing w:before="180" w:after="180"/>
              <w:jc w:val="right"/>
            </w:pPr>
            <w:bookmarkStart w:id="9" w:name="_Ref183666859"/>
            <w:r>
              <w:t>(</w:t>
            </w:r>
            <w:fldSimple w:instr=" SEQ ( \* ARABIC ">
              <w:r w:rsidR="00BD04B9">
                <w:rPr>
                  <w:noProof/>
                </w:rPr>
                <w:t>1</w:t>
              </w:r>
            </w:fldSimple>
            <w:r>
              <w:rPr>
                <w:rFonts w:hint="eastAsia"/>
              </w:rPr>
              <w:t>)</w:t>
            </w:r>
            <w:bookmarkEnd w:id="9"/>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31CD8CCC" w:rsidR="00764F78" w:rsidRPr="00764F78" w:rsidRDefault="00646BB2" w:rsidP="00764F78">
            <w:pPr>
              <w:pStyle w:val="a9"/>
              <w:spacing w:before="180" w:after="180"/>
              <w:jc w:val="right"/>
            </w:pPr>
            <w:bookmarkStart w:id="10" w:name="_Ref183663957"/>
            <w:bookmarkStart w:id="11" w:name="_Ref183663960"/>
            <w:r>
              <w:t>(</w:t>
            </w:r>
            <w:fldSimple w:instr=" SEQ ( \* ARABIC ">
              <w:r w:rsidR="00BD04B9">
                <w:rPr>
                  <w:noProof/>
                </w:rPr>
                <w:t>2</w:t>
              </w:r>
            </w:fldSimple>
            <w:bookmarkEnd w:id="10"/>
            <w:r>
              <w:rPr>
                <w:rFonts w:hint="eastAsia"/>
              </w:rPr>
              <w:t>)</w:t>
            </w:r>
            <w:bookmarkEnd w:id="11"/>
          </w:p>
        </w:tc>
      </w:tr>
    </w:tbl>
    <w:p w14:paraId="7ACA79FE" w14:textId="4769BAB2"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BD04B9">
        <w:t>(</w:t>
      </w:r>
      <w:r w:rsidR="00BD04B9">
        <w:rPr>
          <w:noProof/>
        </w:rPr>
        <w:t>2</w:t>
      </w:r>
      <w:r w:rsidR="00BD04B9">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495049">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5B57209E" w:rsidR="00C451F7" w:rsidRPr="00764F78" w:rsidRDefault="00C451F7" w:rsidP="009703DB">
            <w:pPr>
              <w:pStyle w:val="a9"/>
              <w:spacing w:before="180" w:after="180"/>
              <w:jc w:val="right"/>
            </w:pPr>
            <w:bookmarkStart w:id="12" w:name="_Ref183665445"/>
            <w:r>
              <w:t>(</w:t>
            </w:r>
            <w:fldSimple w:instr=" SEQ ( \* ARABIC ">
              <w:r w:rsidR="00BD04B9">
                <w:rPr>
                  <w:noProof/>
                </w:rPr>
                <w:t>3</w:t>
              </w:r>
            </w:fldSimple>
            <w:r>
              <w:rPr>
                <w:rFonts w:hint="eastAsia"/>
              </w:rPr>
              <w:t>)</w:t>
            </w:r>
            <w:bookmarkEnd w:id="12"/>
          </w:p>
        </w:tc>
      </w:tr>
    </w:tbl>
    <w:p w14:paraId="072B8C89" w14:textId="0A9F9126"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BD04B9">
        <w:t>(</w:t>
      </w:r>
      <w:r w:rsidR="00BD04B9">
        <w:rPr>
          <w:noProof/>
        </w:rPr>
        <w:t>2</w:t>
      </w:r>
      <w:r w:rsidR="00BD04B9">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BD04B9">
        <w:t>(</w:t>
      </w:r>
      <w:r w:rsidR="00BD04B9">
        <w:rPr>
          <w:noProof/>
        </w:rPr>
        <w:t>3</w:t>
      </w:r>
      <w:r w:rsidR="00BD04B9">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65C55BDF" w:rsidR="006A2DA5" w:rsidRPr="00764F78" w:rsidRDefault="006A2DA5" w:rsidP="00495049">
            <w:pPr>
              <w:pStyle w:val="a9"/>
              <w:spacing w:before="180" w:after="180"/>
              <w:ind w:firstLine="480"/>
              <w:jc w:val="right"/>
            </w:pPr>
            <w:bookmarkStart w:id="13" w:name="_Ref189214718"/>
            <w:r>
              <w:t>(</w:t>
            </w:r>
            <w:fldSimple w:instr=" SEQ ( \* ARABIC ">
              <w:r w:rsidR="00BD04B9">
                <w:rPr>
                  <w:noProof/>
                </w:rPr>
                <w:t>4</w:t>
              </w:r>
            </w:fldSimple>
            <w:r>
              <w:rPr>
                <w:rFonts w:hint="eastAsia"/>
              </w:rPr>
              <w:t>)</w:t>
            </w:r>
            <w:bookmarkEnd w:id="13"/>
          </w:p>
        </w:tc>
      </w:tr>
      <w:tr w:rsidR="006A2DA5" w14:paraId="782CE5D6" w14:textId="77777777" w:rsidTr="00470204">
        <w:tc>
          <w:tcPr>
            <w:tcW w:w="7574" w:type="dxa"/>
            <w:vAlign w:val="center"/>
          </w:tcPr>
          <w:p w14:paraId="26B0AADF" w14:textId="3BC2D2CC" w:rsidR="006A2DA5"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796CEA27" w:rsidR="006A2DA5" w:rsidRDefault="006A2DA5" w:rsidP="00495049">
            <w:pPr>
              <w:pStyle w:val="a9"/>
              <w:spacing w:before="180" w:after="180"/>
              <w:ind w:firstLine="480"/>
              <w:jc w:val="right"/>
            </w:pPr>
            <w:bookmarkStart w:id="14" w:name="_Ref183666874"/>
            <w:r>
              <w:t>(</w:t>
            </w:r>
            <w:fldSimple w:instr=" SEQ ( \* ARABIC ">
              <w:r w:rsidR="00BD04B9">
                <w:rPr>
                  <w:noProof/>
                </w:rPr>
                <w:t>5</w:t>
              </w:r>
            </w:fldSimple>
            <w:r>
              <w:rPr>
                <w:rFonts w:hint="eastAsia"/>
              </w:rPr>
              <w:t>)</w:t>
            </w:r>
            <w:bookmarkEnd w:id="14"/>
          </w:p>
        </w:tc>
      </w:tr>
    </w:tbl>
    <w:p w14:paraId="41486D5F" w14:textId="6C1CB77C"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BD04B9">
        <w:t>(</w:t>
      </w:r>
      <w:r w:rsidR="00BD04B9">
        <w:rPr>
          <w:noProof/>
        </w:rPr>
        <w:t>1</w:t>
      </w:r>
      <w:r w:rsidR="00BD04B9">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BD04B9">
        <w:t>(</w:t>
      </w:r>
      <w:r w:rsidR="00BD04B9">
        <w:rPr>
          <w:noProof/>
        </w:rPr>
        <w:t>5</w:t>
      </w:r>
      <w:r w:rsidR="00BD04B9">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BD04B9">
        <w:t>(</w:t>
      </w:r>
      <w:r w:rsidR="00BD04B9">
        <w:rPr>
          <w:noProof/>
        </w:rPr>
        <w:t>2</w:t>
      </w:r>
      <w:r w:rsidR="00BD04B9">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BD04B9">
        <w:t>(</w:t>
      </w:r>
      <w:r w:rsidR="00BD04B9">
        <w:rPr>
          <w:noProof/>
        </w:rPr>
        <w:t>5</w:t>
      </w:r>
      <w:r w:rsidR="00BD04B9">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763C7E95" w:rsidR="007C0373" w:rsidRPr="007C0373" w:rsidRDefault="004F631C" w:rsidP="007C0373">
            <w:pPr>
              <w:pStyle w:val="a9"/>
              <w:spacing w:before="180" w:after="180"/>
              <w:ind w:firstLine="480"/>
              <w:jc w:val="right"/>
            </w:pPr>
            <w:r>
              <w:t>(</w:t>
            </w:r>
            <w:fldSimple w:instr=" SEQ ( \* ARABIC ">
              <w:r w:rsidR="00BD04B9">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67C3A4CE" w:rsidR="004F631C" w:rsidRDefault="004F631C" w:rsidP="00495049">
            <w:pPr>
              <w:pStyle w:val="a9"/>
              <w:spacing w:before="180" w:after="180"/>
              <w:ind w:firstLine="480"/>
              <w:jc w:val="right"/>
            </w:pPr>
            <w:r>
              <w:t>(</w:t>
            </w:r>
            <w:fldSimple w:instr=" SEQ ( \* ARABIC ">
              <w:r w:rsidR="00BD04B9">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48251960" w:rsidR="004F631C" w:rsidRDefault="00415057" w:rsidP="004F631C">
            <w:pPr>
              <w:pStyle w:val="a9"/>
              <w:spacing w:before="180" w:after="180"/>
              <w:ind w:firstLine="480"/>
              <w:jc w:val="right"/>
            </w:pPr>
            <w:r>
              <w:t>(</w:t>
            </w:r>
            <w:fldSimple w:instr=" SEQ ( \* ARABIC ">
              <w:r w:rsidR="00BD04B9">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0859F8C5" w:rsidR="004F631C" w:rsidRDefault="00415057" w:rsidP="004F631C">
            <w:pPr>
              <w:pStyle w:val="a9"/>
              <w:spacing w:before="180" w:after="180"/>
              <w:ind w:firstLine="480"/>
              <w:jc w:val="right"/>
            </w:pPr>
            <w:r>
              <w:t>(</w:t>
            </w:r>
            <w:fldSimple w:instr=" SEQ ( \* ARABIC ">
              <w:r w:rsidR="00BD04B9">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63E89202"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BD04B9">
        <w:t>(</w:t>
      </w:r>
      <w:r w:rsidR="00BD04B9">
        <w:rPr>
          <w:noProof/>
        </w:rPr>
        <w:t>1</w:t>
      </w:r>
      <w:r w:rsidR="00BD04B9">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56AC7357"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BD04B9">
        <w:t>(</w:t>
      </w:r>
      <w:r w:rsidR="00BD04B9">
        <w:rPr>
          <w:noProof/>
        </w:rPr>
        <w:t>10</w:t>
      </w:r>
      <w:r w:rsidR="00BD04B9">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BD04B9">
        <w:t>(</w:t>
      </w:r>
      <w:r w:rsidR="00BD04B9">
        <w:rPr>
          <w:noProof/>
        </w:rPr>
        <w:t>11</w:t>
      </w:r>
      <w:r w:rsidR="00BD04B9">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5BFAA244" w:rsidR="00C96DE9" w:rsidRDefault="00C96DE9" w:rsidP="00C96DE9">
            <w:pPr>
              <w:pStyle w:val="a9"/>
              <w:spacing w:before="180" w:after="180"/>
              <w:jc w:val="right"/>
            </w:pPr>
            <w:bookmarkStart w:id="15" w:name="_Ref184140393"/>
            <w:r>
              <w:t>(</w:t>
            </w:r>
            <w:fldSimple w:instr=" SEQ ( \* ARABIC ">
              <w:r w:rsidR="00BD04B9">
                <w:rPr>
                  <w:noProof/>
                </w:rPr>
                <w:t>10</w:t>
              </w:r>
            </w:fldSimple>
            <w:r>
              <w:rPr>
                <w:rFonts w:hint="eastAsia"/>
              </w:rPr>
              <w:t>)</w:t>
            </w:r>
            <w:bookmarkEnd w:id="15"/>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5091CA9F" w:rsidR="002116B3" w:rsidRDefault="002116B3" w:rsidP="002116B3">
            <w:pPr>
              <w:pStyle w:val="a9"/>
              <w:spacing w:before="180" w:after="180"/>
              <w:jc w:val="right"/>
            </w:pPr>
            <w:bookmarkStart w:id="16" w:name="_Ref184140413"/>
            <w:r>
              <w:t>(</w:t>
            </w:r>
            <w:fldSimple w:instr=" SEQ ( \* ARABIC ">
              <w:r w:rsidR="00BD04B9">
                <w:rPr>
                  <w:noProof/>
                </w:rPr>
                <w:t>11</w:t>
              </w:r>
            </w:fldSimple>
            <w:r>
              <w:rPr>
                <w:rFonts w:hint="eastAsia"/>
              </w:rPr>
              <w:t>)</w:t>
            </w:r>
            <w:bookmarkEnd w:id="16"/>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r>
        <w:rPr>
          <w:rFonts w:hint="eastAsia"/>
        </w:rPr>
        <w:t>4.2.2</w:t>
      </w:r>
      <w:r>
        <w:rPr>
          <w:rFonts w:hint="eastAsia"/>
        </w:rPr>
        <w:t>比</w:t>
      </w:r>
      <w:proofErr w:type="gramStart"/>
      <w:r>
        <w:rPr>
          <w:rFonts w:hint="eastAsia"/>
        </w:rPr>
        <w:t>特</w:t>
      </w:r>
      <w:proofErr w:type="gramEnd"/>
      <w:r>
        <w:rPr>
          <w:rFonts w:hint="eastAsia"/>
        </w:rPr>
        <w:t>幣選擇權隱含波動率計算</w:t>
      </w:r>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1D0F4B06" w:rsidR="00653CFB" w:rsidRDefault="00BC0ED0" w:rsidP="005F66D1">
      <w:pPr>
        <w:spacing w:before="180" w:after="180"/>
        <w:ind w:firstLine="480"/>
      </w:pPr>
      <w:r>
        <w:fldChar w:fldCharType="begin"/>
      </w:r>
      <w:r>
        <w:instrText xml:space="preserve"> ADDIN ZOTERO_ITEM CSL_CITATION {"citationID":"3issG5TW","properties":{"formattedCitation":"(Shimko, 1993)","plainCitation":"(Shimko, 1993)","noteIndex":0},"citationItems":[{"id":34,"uris":["http://zotero.org/users/16294904/items/BPVWMPA2"],"itemData":{"id":34,"type":"article-journal","container-title":"Risk","issue":"4","page":"33–37","source":"Google Scholar","title":"Bounds of probability","volume":"6","author":[{"family":"Shimko","given":"David"}],"issued":{"date-parts":[["1993"]]}}}],"schema":"https://github.com/citation-style-language/schema/raw/master/csl-citation.json"} </w:instrText>
      </w:r>
      <w:r>
        <w:fldChar w:fldCharType="separate"/>
      </w:r>
      <w:r w:rsidRPr="00BC0ED0">
        <w:t>(Shimko, 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6EBDE158" w:rsidR="00C40C3F" w:rsidRDefault="00BC0ED0" w:rsidP="00C40C3F">
      <w:pPr>
        <w:spacing w:before="180" w:after="180"/>
        <w:ind w:firstLine="480"/>
      </w:pPr>
      <w:r>
        <w:fldChar w:fldCharType="begin"/>
      </w:r>
      <w:r>
        <w:instrText xml:space="preserve"> ADDIN ZOTERO_ITEM CSL_CITATION {"citationID":"eIimM6bC","properties":{"formattedCitation":"(Figlewski,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fldChar w:fldCharType="separate"/>
      </w:r>
      <w:r w:rsidRPr="00BC0ED0">
        <w:t>(</w:t>
      </w:r>
      <w:proofErr w:type="spellStart"/>
      <w:r w:rsidRPr="00BC0ED0">
        <w:t>Figlewski</w:t>
      </w:r>
      <w:proofErr w:type="spellEnd"/>
      <w:r w:rsidRPr="00BC0ED0">
        <w:t>, 2008)</w:t>
      </w:r>
      <w:r>
        <w:fldChar w:fldCharType="end"/>
      </w:r>
      <w:r>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6F067074"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BD04B9">
        <w:rPr>
          <w:rFonts w:hint="eastAsia"/>
        </w:rPr>
        <w:t>圖</w:t>
      </w:r>
      <w:r w:rsidR="00BD04B9">
        <w:rPr>
          <w:rFonts w:hint="eastAsia"/>
        </w:rPr>
        <w:t>4-</w:t>
      </w:r>
      <w:r w:rsidR="00BD04B9">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w:t>
      </w:r>
      <w:r w:rsidRPr="004D7F17">
        <w:lastRenderedPageBreak/>
        <w:t>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BD04B9">
        <w:rPr>
          <w:rFonts w:hint="eastAsia"/>
        </w:rPr>
        <w:t>圖</w:t>
      </w:r>
      <w:r w:rsidR="00BD04B9">
        <w:rPr>
          <w:rFonts w:hint="eastAsia"/>
        </w:rPr>
        <w:t>4-</w:t>
      </w:r>
      <w:r w:rsidR="00BD04B9">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BD04B9">
        <w:rPr>
          <w:rFonts w:hint="eastAsia"/>
        </w:rPr>
        <w:t>圖</w:t>
      </w:r>
      <w:r w:rsidR="00BD04B9">
        <w:rPr>
          <w:rFonts w:hint="eastAsia"/>
        </w:rPr>
        <w:t>4-</w:t>
      </w:r>
      <w:r w:rsidR="00BD04B9">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680000" cy="2981133"/>
                    </a:xfrm>
                    <a:prstGeom prst="rect">
                      <a:avLst/>
                    </a:prstGeom>
                  </pic:spPr>
                </pic:pic>
              </a:graphicData>
            </a:graphic>
          </wp:inline>
        </w:drawing>
      </w:r>
    </w:p>
    <w:p w14:paraId="7A6BE9F4" w14:textId="01921559" w:rsidR="00473435" w:rsidRDefault="00473435" w:rsidP="00473435">
      <w:pPr>
        <w:pStyle w:val="a9"/>
        <w:spacing w:before="180" w:after="180"/>
      </w:pPr>
      <w:bookmarkStart w:id="17"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D04B9">
        <w:rPr>
          <w:noProof/>
        </w:rPr>
        <w:t>1</w:t>
      </w:r>
      <w:r>
        <w:fldChar w:fldCharType="end"/>
      </w:r>
      <w:bookmarkEnd w:id="17"/>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569744D6" w14:textId="3BD2A10C" w:rsidR="00473435" w:rsidRDefault="00473435" w:rsidP="00473435">
      <w:pPr>
        <w:pStyle w:val="a9"/>
        <w:spacing w:before="180" w:after="180"/>
      </w:pPr>
      <w:bookmarkStart w:id="18"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D04B9">
        <w:rPr>
          <w:noProof/>
        </w:rPr>
        <w:t>2</w:t>
      </w:r>
      <w:r>
        <w:fldChar w:fldCharType="end"/>
      </w:r>
      <w:bookmarkEnd w:id="18"/>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3AAFF10C" w14:textId="1AE8445C" w:rsidR="009D4D5D" w:rsidRPr="009D4D5D" w:rsidRDefault="009D4D5D" w:rsidP="009D4D5D">
      <w:pPr>
        <w:pStyle w:val="a9"/>
        <w:spacing w:before="180" w:after="180"/>
      </w:pPr>
      <w:bookmarkStart w:id="19"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D04B9">
        <w:rPr>
          <w:noProof/>
        </w:rPr>
        <w:t>3</w:t>
      </w:r>
      <w:r>
        <w:fldChar w:fldCharType="end"/>
      </w:r>
      <w:bookmarkEnd w:id="1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36844DD9" w14:textId="738D2F97" w:rsidR="00493B38" w:rsidRDefault="00493B38" w:rsidP="00493B38">
      <w:pPr>
        <w:pStyle w:val="3"/>
        <w:spacing w:before="180" w:after="180"/>
      </w:pPr>
      <w:r>
        <w:rPr>
          <w:rFonts w:hint="eastAsia"/>
        </w:rPr>
        <w:t>4.2.3</w:t>
      </w:r>
      <w:r>
        <w:rPr>
          <w:rFonts w:hint="eastAsia"/>
        </w:rPr>
        <w:t>比</w:t>
      </w:r>
      <w:proofErr w:type="gramStart"/>
      <w:r>
        <w:rPr>
          <w:rFonts w:hint="eastAsia"/>
        </w:rPr>
        <w:t>特</w:t>
      </w:r>
      <w:proofErr w:type="gramEnd"/>
      <w:r>
        <w:rPr>
          <w:rFonts w:hint="eastAsia"/>
        </w:rPr>
        <w:t>幣選擇權隱含波動率曲線擬合</w:t>
      </w:r>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w:t>
      </w:r>
      <w:r>
        <w:rPr>
          <w:rFonts w:hint="eastAsia"/>
        </w:rPr>
        <w:lastRenderedPageBreak/>
        <w:t>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1E0A307E"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w:t>
      </w:r>
      <w:r>
        <w:rPr>
          <w:rFonts w:hint="eastAsia"/>
        </w:rPr>
        <w:lastRenderedPageBreak/>
        <w:t>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BD04B9">
        <w:rPr>
          <w:rFonts w:hint="eastAsia"/>
        </w:rPr>
        <w:t>圖</w:t>
      </w:r>
      <w:r w:rsidR="00BD04B9">
        <w:rPr>
          <w:rFonts w:hint="eastAsia"/>
        </w:rPr>
        <w:t>4-</w:t>
      </w:r>
      <w:r w:rsidR="00BD04B9">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5E33C302" w14:textId="1DAE7C16" w:rsidR="00830EEC" w:rsidRPr="00716605" w:rsidRDefault="00C54885" w:rsidP="00C54885">
      <w:pPr>
        <w:pStyle w:val="a9"/>
        <w:spacing w:before="180" w:after="180"/>
      </w:pPr>
      <w:bookmarkStart w:id="20"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D04B9">
        <w:rPr>
          <w:noProof/>
        </w:rPr>
        <w:t>4</w:t>
      </w:r>
      <w:r>
        <w:fldChar w:fldCharType="end"/>
      </w:r>
      <w:bookmarkEnd w:id="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32686A7" w14:textId="0F67C9B9" w:rsidR="00493B38" w:rsidRDefault="00493B38" w:rsidP="00493B38">
      <w:pPr>
        <w:pStyle w:val="3"/>
        <w:spacing w:before="180" w:after="180"/>
      </w:pPr>
      <w:r>
        <w:rPr>
          <w:rFonts w:hint="eastAsia"/>
        </w:rPr>
        <w:t>4.2.4</w:t>
      </w:r>
      <w:r>
        <w:rPr>
          <w:rFonts w:hint="eastAsia"/>
        </w:rPr>
        <w:t>比</w:t>
      </w:r>
      <w:proofErr w:type="gramStart"/>
      <w:r>
        <w:rPr>
          <w:rFonts w:hint="eastAsia"/>
        </w:rPr>
        <w:t>特</w:t>
      </w:r>
      <w:proofErr w:type="gramEnd"/>
      <w:r>
        <w:rPr>
          <w:rFonts w:hint="eastAsia"/>
        </w:rPr>
        <w:t>幣選擇權風險中立機率密度函數計算</w:t>
      </w:r>
    </w:p>
    <w:p w14:paraId="7E7B25F1" w14:textId="7B4581E5"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BD04B9">
        <w:t>(</w:t>
      </w:r>
      <w:r w:rsidR="00BD04B9">
        <w:rPr>
          <w:noProof/>
        </w:rPr>
        <w:t>11</w:t>
      </w:r>
      <w:r w:rsidR="00BD04B9">
        <w:rPr>
          <w:rFonts w:hint="eastAsia"/>
        </w:rPr>
        <w:t>)</w:t>
      </w:r>
      <w:r>
        <w:fldChar w:fldCharType="end"/>
      </w:r>
      <w:r w:rsidRPr="00852AA5">
        <w:t>），</w:t>
      </w:r>
      <w:r w:rsidRPr="00852AA5">
        <w:lastRenderedPageBreak/>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BD04B9">
        <w:rPr>
          <w:rFonts w:hint="eastAsia"/>
        </w:rPr>
        <w:t>圖</w:t>
      </w:r>
      <w:r w:rsidR="00BD04B9">
        <w:rPr>
          <w:rFonts w:hint="eastAsia"/>
        </w:rPr>
        <w:t>4-</w:t>
      </w:r>
      <w:r w:rsidR="00BD04B9">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680000" cy="2944812"/>
                    </a:xfrm>
                    <a:prstGeom prst="rect">
                      <a:avLst/>
                    </a:prstGeom>
                  </pic:spPr>
                </pic:pic>
              </a:graphicData>
            </a:graphic>
          </wp:inline>
        </w:drawing>
      </w:r>
    </w:p>
    <w:p w14:paraId="307A92C4" w14:textId="204B4458" w:rsidR="00601A99" w:rsidRDefault="00601A99" w:rsidP="00601A99">
      <w:pPr>
        <w:pStyle w:val="a9"/>
        <w:spacing w:before="180" w:after="180"/>
      </w:pPr>
      <w:bookmarkStart w:id="21"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D04B9">
        <w:rPr>
          <w:noProof/>
        </w:rPr>
        <w:t>5</w:t>
      </w:r>
      <w:r>
        <w:fldChar w:fldCharType="end"/>
      </w:r>
      <w:bookmarkEnd w:id="2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59F5B59E" w:rsidR="007F37F0" w:rsidRDefault="007F37F0" w:rsidP="00852AA5">
      <w:pPr>
        <w:spacing w:before="180" w:after="180"/>
        <w:ind w:firstLine="480"/>
      </w:pPr>
      <w:r w:rsidRPr="007F37F0">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BD04B9">
        <w:t>(</w:t>
      </w:r>
      <w:r w:rsidR="00BD04B9">
        <w:rPr>
          <w:noProof/>
        </w:rPr>
        <w:t>4</w:t>
      </w:r>
      <w:r w:rsidR="00BD04B9">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BD04B9">
        <w:t>(</w:t>
      </w:r>
      <w:r w:rsidR="00BD04B9">
        <w:rPr>
          <w:noProof/>
        </w:rPr>
        <w:t>5</w:t>
      </w:r>
      <w:r w:rsidR="00BD04B9">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0E66D7B0"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BD04B9">
        <w:rPr>
          <w:rFonts w:hint="eastAsia"/>
        </w:rPr>
        <w:t>圖</w:t>
      </w:r>
      <w:r w:rsidR="00BD04B9">
        <w:rPr>
          <w:rFonts w:hint="eastAsia"/>
        </w:rPr>
        <w:t>4-</w:t>
      </w:r>
      <w:r w:rsidR="00BD04B9">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BD04B9">
        <w:rPr>
          <w:rFonts w:hint="eastAsia"/>
        </w:rPr>
        <w:t>圖</w:t>
      </w:r>
      <w:r w:rsidR="00BD04B9">
        <w:rPr>
          <w:rFonts w:hint="eastAsia"/>
        </w:rPr>
        <w:t>4-</w:t>
      </w:r>
      <w:r w:rsidR="00BD04B9">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26"/>
                    <a:stretch>
                      <a:fillRect/>
                    </a:stretch>
                  </pic:blipFill>
                  <pic:spPr>
                    <a:xfrm>
                      <a:off x="0" y="0"/>
                      <a:ext cx="4680000" cy="3154487"/>
                    </a:xfrm>
                    <a:prstGeom prst="rect">
                      <a:avLst/>
                    </a:prstGeom>
                  </pic:spPr>
                </pic:pic>
              </a:graphicData>
            </a:graphic>
          </wp:inline>
        </w:drawing>
      </w:r>
    </w:p>
    <w:p w14:paraId="40848232" w14:textId="1E2E2386" w:rsidR="00506C97" w:rsidRDefault="00F36D4C" w:rsidP="00F36D4C">
      <w:pPr>
        <w:pStyle w:val="a9"/>
        <w:spacing w:before="180" w:after="180"/>
        <w:ind w:firstLine="480"/>
      </w:pPr>
      <w:bookmarkStart w:id="22"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D04B9">
        <w:rPr>
          <w:noProof/>
        </w:rPr>
        <w:t>6</w:t>
      </w:r>
      <w:r>
        <w:fldChar w:fldCharType="end"/>
      </w:r>
      <w:bookmarkEnd w:id="2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pPr>
      <w:r w:rsidRPr="00A70ECC">
        <w:lastRenderedPageBreak/>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27"/>
                    <a:stretch>
                      <a:fillRect/>
                    </a:stretch>
                  </pic:blipFill>
                  <pic:spPr>
                    <a:xfrm>
                      <a:off x="0" y="0"/>
                      <a:ext cx="4680000" cy="3022959"/>
                    </a:xfrm>
                    <a:prstGeom prst="rect">
                      <a:avLst/>
                    </a:prstGeom>
                  </pic:spPr>
                </pic:pic>
              </a:graphicData>
            </a:graphic>
          </wp:inline>
        </w:drawing>
      </w:r>
    </w:p>
    <w:p w14:paraId="4CE8F0A4" w14:textId="44F311CB" w:rsidR="00F36D4C" w:rsidRPr="00506C97" w:rsidRDefault="00F36D4C" w:rsidP="00F36D4C">
      <w:pPr>
        <w:pStyle w:val="a9"/>
        <w:spacing w:before="180" w:after="180"/>
      </w:pPr>
      <w:bookmarkStart w:id="23"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D04B9">
        <w:rPr>
          <w:noProof/>
        </w:rPr>
        <w:t>7</w:t>
      </w:r>
      <w:r>
        <w:fldChar w:fldCharType="end"/>
      </w:r>
      <w:bookmarkEnd w:id="2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5778D1A5" w:rsidR="0012177C" w:rsidRDefault="0012177C" w:rsidP="0012177C">
      <w:pPr>
        <w:pStyle w:val="2"/>
      </w:pPr>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p>
    <w:p w14:paraId="696FAF3E" w14:textId="59384E2C" w:rsidR="00493B38" w:rsidRPr="00493B38" w:rsidRDefault="00493B38" w:rsidP="00493B38">
      <w:pPr>
        <w:pStyle w:val="3"/>
        <w:spacing w:before="180" w:after="180"/>
      </w:pPr>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p>
    <w:p w14:paraId="50E34D06" w14:textId="147CAB79"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r w:rsidR="00BC0ED0">
        <w:fldChar w:fldCharType="begin"/>
      </w:r>
      <w:r w:rsidR="00BC0ED0">
        <w:instrText xml:space="preserve"> ADDIN ZOTERO_ITEM CSL_CITATION {"citationID":"oz5nxgml","properties":{"formattedCitation":"(Figlewski,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w:t>
      </w:r>
      <w:proofErr w:type="spellStart"/>
      <w:r w:rsidR="00BC0ED0" w:rsidRPr="00BC0ED0">
        <w:t>Figlewski</w:t>
      </w:r>
      <w:proofErr w:type="spellEnd"/>
      <w:r w:rsidR="00BC0ED0" w:rsidRPr="00BC0ED0">
        <w:t>, 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6E68245" w:rsidR="00896866" w:rsidRPr="00FE7792" w:rsidRDefault="00BB756F" w:rsidP="001A6EE8">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r w:rsidR="00BC0ED0">
        <w:lastRenderedPageBreak/>
        <w:fldChar w:fldCharType="begin"/>
      </w:r>
      <w:r w:rsidR="00BC0ED0">
        <w:instrText xml:space="preserve"> ADDIN ZOTERO_ITEM CSL_CITATION {"citationID":"bxTUDTbf","properties":{"formattedCitation":"(Figlewski,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w:t>
      </w:r>
      <w:proofErr w:type="spellStart"/>
      <w:r w:rsidR="00BC0ED0" w:rsidRPr="00BC0ED0">
        <w:t>Figlewski</w:t>
      </w:r>
      <w:proofErr w:type="spellEnd"/>
      <w:r w:rsidR="00BC0ED0" w:rsidRPr="00BC0ED0">
        <w:t>, 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r>
        <w:rPr>
          <w:rFonts w:hint="eastAsia"/>
        </w:rPr>
        <w:t>4.3.2 GPD</w:t>
      </w:r>
      <w:r>
        <w:rPr>
          <w:rFonts w:hint="eastAsia"/>
        </w:rPr>
        <w:t>分布理論</w:t>
      </w:r>
    </w:p>
    <w:p w14:paraId="2A6AA699" w14:textId="1EBC19A4" w:rsidR="00FB3472" w:rsidRDefault="00560A40" w:rsidP="00560A40">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BC0ED0">
        <w:rPr>
          <w:rFonts w:hint="eastAsia"/>
        </w:rPr>
        <w:t xml:space="preserve"> </w:t>
      </w:r>
      <w:r w:rsidR="00BC0ED0">
        <w:fldChar w:fldCharType="begin"/>
      </w:r>
      <w:r w:rsidR="00BC0ED0">
        <w:instrText xml:space="preserve"> ADDIN ZOTERO_ITEM CSL_CITATION {"citationID":"Ol5FW0gV","properties":{"formattedCitation":"(Balkema &amp; Haan, 1974)","plainCitation":"(Balkema &amp; Haan, 1974)","noteIndex":0},"citationItems":[{"id":1,"uris":["http://zotero.org/users/16294904/items/I6LQMQTS"],"itemData":{"id":1,"type":"article-journal","abstract":"The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A."},{"family":"Haan","given":"L.","dropping-particle":"de"}],"issued":{"date-parts":[["1974",10]]}}}],"schema":"https://github.com/citation-style-language/schema/raw/master/csl-citation.json"} </w:instrText>
      </w:r>
      <w:r w:rsidR="00BC0ED0">
        <w:fldChar w:fldCharType="separate"/>
      </w:r>
      <w:r w:rsidR="00BC0ED0" w:rsidRPr="00BC0ED0">
        <w:t>(Balkema &amp; Haan, 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t>此外，</w:t>
      </w:r>
      <w:proofErr w:type="gramEnd"/>
      <w:r w:rsidR="00BC0ED0">
        <w:fldChar w:fldCharType="begin"/>
      </w:r>
      <w:r w:rsidR="00BC0ED0">
        <w:instrText xml:space="preserve"> ADDIN ZOTERO_ITEM CSL_CITATION {"citationID":"MRNEUqtU","properties":{"formattedCitation":"(Hosking &amp; Wallis, 1987)","plainCitation":"(Hosking &amp; Wallis, 1987)","noteIndex":0},"citationItems":[{"id":27,"uris":["http://zotero.org/users/16294904/items/8JPL9TBJ"],"itemData":{"id":27,"type":"article-journal","abstract":"The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BC0ED0">
        <w:fldChar w:fldCharType="separate"/>
      </w:r>
      <w:r w:rsidR="00BC0ED0" w:rsidRPr="00BC0ED0">
        <w:t>(Hosking &amp; Wallis, 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BC0ED0">
        <w:rPr>
          <w:rFonts w:hint="eastAsia"/>
        </w:rPr>
        <w:t xml:space="preserve"> </w:t>
      </w:r>
      <w:r w:rsidR="00BC0ED0">
        <w:fldChar w:fldCharType="begin"/>
      </w:r>
      <w:r w:rsidR="00BC0ED0">
        <w:instrText xml:space="preserve"> ADDIN ZOTERO_ITEM CSL_CITATION {"citationID":"kbFqSQJG","properties":{"formattedCitation":"(McNeil &amp; Frey, 2000)","plainCitation":"(McNeil &amp; Frey, 2000)","noteIndex":0},"citationItems":[{"id":29,"uris":["http://zotero.org/users/16294904/items/8AWAERE4"],"itemData":{"id":29,"type":"article-journal","abstract":"We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J."},{"family":"Frey","given":"Rüdiger"}],"issued":{"date-parts":[["2000",11,1]]}}}],"schema":"https://github.com/citation-style-language/schema/raw/master/csl-citation.json"} </w:instrText>
      </w:r>
      <w:r w:rsidR="00BC0ED0">
        <w:fldChar w:fldCharType="separate"/>
      </w:r>
      <w:r w:rsidR="00BC0ED0" w:rsidRPr="00BC0ED0">
        <w:t>(McNeil &amp; Frey, 2000)</w:t>
      </w:r>
      <w:r w:rsidR="00BC0ED0">
        <w:fldChar w:fldCharType="end"/>
      </w:r>
      <w:r w:rsidR="00FB3472" w:rsidRPr="00FB3472">
        <w:t xml:space="preserve"> </w:t>
      </w:r>
      <w:r w:rsidR="00FB3472" w:rsidRPr="00FB3472">
        <w:t>的研究所示。實證研究方面，</w:t>
      </w:r>
      <w:r w:rsidR="00BC0ED0">
        <w:fldChar w:fldCharType="begin"/>
      </w:r>
      <w:r w:rsidR="00BC0ED0">
        <w:instrText xml:space="preserve"> ADDIN ZOTERO_ITEM CSL_CITATION {"citationID":"J32YwUiI","properties":{"formattedCitation":"(Birru &amp; Figlewski, 2012)","plainCitation":"(Birru &amp; Figlewski, 2012)","noteIndex":0},"citationItems":[{"id":5,"uris":["http://zotero.org/users/16294904/items/U3I3QZ5W"],"itemData":{"id":5,"type":"article-journal","abstract":"We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BC0ED0">
        <w:fldChar w:fldCharType="separate"/>
      </w:r>
      <w:r w:rsidR="00BC0ED0" w:rsidRPr="00BC0ED0">
        <w:t xml:space="preserve">(Birru &amp; </w:t>
      </w:r>
      <w:proofErr w:type="spellStart"/>
      <w:r w:rsidR="00BC0ED0" w:rsidRPr="00BC0ED0">
        <w:t>Figlewski</w:t>
      </w:r>
      <w:proofErr w:type="spellEnd"/>
      <w:r w:rsidR="00BC0ED0" w:rsidRPr="00BC0ED0">
        <w:t>, 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pPr>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p>
    <w:p w14:paraId="331773A1" w14:textId="4E102C9D" w:rsidR="008317BE" w:rsidRPr="008E6833" w:rsidRDefault="00BC0ED0" w:rsidP="001A6EE8">
      <w:pPr>
        <w:spacing w:before="180" w:after="180"/>
        <w:ind w:firstLine="480"/>
      </w:pPr>
      <w:r>
        <w:fldChar w:fldCharType="begin"/>
      </w:r>
      <w:r>
        <w:instrText xml:space="preserve"> ADDIN ZOTERO_ITEM CSL_CITATION {"citationID":"eACZIbbw","properties":{"formattedCitation":"(Birru &amp; Figlewski, 2012)","plainCitation":"(Birru &amp; Figlewski, 2012)","noteIndex":0},"citationItems":[{"id":5,"uris":["http://zotero.org/users/16294904/items/U3I3QZ5W"],"itemData":{"id":5,"type":"article-journal","abstract":"We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fldChar w:fldCharType="separate"/>
      </w:r>
      <w:r w:rsidRPr="00BC0ED0">
        <w:t xml:space="preserve">(Birru &amp; </w:t>
      </w:r>
      <w:proofErr w:type="spellStart"/>
      <w:r w:rsidRPr="00BC0ED0">
        <w:t>Figlewski</w:t>
      </w:r>
      <w:proofErr w:type="spellEnd"/>
      <w:r w:rsidRPr="00BC0ED0">
        <w:t>, 2012)</w:t>
      </w:r>
      <w:r>
        <w:fldChar w:fldCharType="end"/>
      </w:r>
      <w:r>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proofErr w:type="gramStart"/>
      <w:r w:rsidR="0090616F">
        <w:rPr>
          <w:rFonts w:hint="eastAsia"/>
        </w:rPr>
        <w:t>雙點</w:t>
      </w:r>
      <w:r w:rsidR="008317BE" w:rsidRPr="008E6833">
        <w:rPr>
          <w:rFonts w:hint="eastAsia"/>
        </w:rPr>
        <w:t>配適</w:t>
      </w:r>
      <w:proofErr w:type="gramEnd"/>
      <w:r w:rsidR="008317BE" w:rsidRPr="008E6833">
        <w:rPr>
          <w:rFonts w:hint="eastAsia"/>
        </w:rPr>
        <w:t>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proofErr w:type="gramStart"/>
      <w:r w:rsidR="008E6833" w:rsidRPr="008E6833">
        <w:rPr>
          <w:rFonts w:hint="eastAsia"/>
        </w:rPr>
        <w:t>尾部配適</w:t>
      </w:r>
      <w:r w:rsidR="008317BE" w:rsidRPr="008E6833">
        <w:rPr>
          <w:rFonts w:hint="eastAsia"/>
        </w:rPr>
        <w:t>條件</w:t>
      </w:r>
      <w:proofErr w:type="gramEnd"/>
      <w:r w:rsidR="008317BE" w:rsidRPr="008E6833">
        <w:rPr>
          <w:rFonts w:hint="eastAsia"/>
        </w:rPr>
        <w:t>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lastRenderedPageBreak/>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382C585A" w14:textId="0B06D2EF" w:rsidR="00493B38" w:rsidRDefault="00493B38" w:rsidP="00493B38">
      <w:pPr>
        <w:pStyle w:val="3"/>
        <w:spacing w:before="180" w:after="180"/>
      </w:pPr>
      <w:r>
        <w:rPr>
          <w:rFonts w:hint="eastAsia"/>
        </w:rPr>
        <w:t>4.3.4</w:t>
      </w:r>
      <w:r>
        <w:rPr>
          <w:rFonts w:hint="eastAsia"/>
        </w:rPr>
        <w:t>尾部</w:t>
      </w:r>
      <w:r>
        <w:rPr>
          <w:rFonts w:hint="eastAsia"/>
        </w:rPr>
        <w:t>GPD</w:t>
      </w:r>
      <w:r>
        <w:rPr>
          <w:rFonts w:hint="eastAsia"/>
        </w:rPr>
        <w:t>單點配適法</w:t>
      </w:r>
    </w:p>
    <w:p w14:paraId="12BBB388" w14:textId="1C1DA414" w:rsidR="00BE3F88" w:rsidRDefault="008317BE" w:rsidP="00BE3F88">
      <w:pPr>
        <w:spacing w:before="180" w:after="180"/>
        <w:ind w:firstLine="480"/>
      </w:pPr>
      <w:r w:rsidRPr="008317BE">
        <w:t>本研究提出使用</w:t>
      </w:r>
      <w:r w:rsidRPr="008317BE">
        <w:t>GPD</w:t>
      </w:r>
      <w:r>
        <w:rPr>
          <w:rFonts w:hint="eastAsia"/>
        </w:rPr>
        <w:t>之單</w:t>
      </w:r>
      <w:r w:rsidRPr="008317BE">
        <w:t>點配適法，</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lastRenderedPageBreak/>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08FB435D"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w:t>
      </w:r>
      <w:r w:rsidRPr="001A6EE8">
        <w:lastRenderedPageBreak/>
        <w:t>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BD04B9">
        <w:rPr>
          <w:rFonts w:hint="eastAsia"/>
        </w:rPr>
        <w:t>圖</w:t>
      </w:r>
      <w:r w:rsidR="00BD04B9">
        <w:rPr>
          <w:rFonts w:hint="eastAsia"/>
        </w:rPr>
        <w:t>4-</w:t>
      </w:r>
      <w:r w:rsidR="00BD04B9">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BD04B9">
        <w:rPr>
          <w:rFonts w:hint="eastAsia"/>
        </w:rPr>
        <w:t>圖</w:t>
      </w:r>
      <w:r w:rsidR="00BD04B9">
        <w:rPr>
          <w:rFonts w:hint="eastAsia"/>
        </w:rPr>
        <w:t>4-</w:t>
      </w:r>
      <w:r w:rsidR="00BD04B9">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28"/>
                    <a:stretch>
                      <a:fillRect/>
                    </a:stretch>
                  </pic:blipFill>
                  <pic:spPr>
                    <a:xfrm>
                      <a:off x="0" y="0"/>
                      <a:ext cx="4680000" cy="3154487"/>
                    </a:xfrm>
                    <a:prstGeom prst="rect">
                      <a:avLst/>
                    </a:prstGeom>
                  </pic:spPr>
                </pic:pic>
              </a:graphicData>
            </a:graphic>
          </wp:inline>
        </w:drawing>
      </w:r>
    </w:p>
    <w:p w14:paraId="3D53A646" w14:textId="338C649E" w:rsidR="00A70ECC" w:rsidRDefault="005638DE" w:rsidP="00D850AA">
      <w:pPr>
        <w:pStyle w:val="a9"/>
        <w:spacing w:before="180" w:after="180"/>
        <w:ind w:firstLine="480"/>
      </w:pPr>
      <w:bookmarkStart w:id="24" w:name="_Ref189385976"/>
      <w:bookmarkStart w:id="25" w:name="_Ref18938596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D04B9">
        <w:rPr>
          <w:noProof/>
        </w:rPr>
        <w:t>8</w:t>
      </w:r>
      <w:r>
        <w:fldChar w:fldCharType="end"/>
      </w:r>
      <w:bookmarkEnd w:id="2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25"/>
    </w:p>
    <w:p w14:paraId="25F0DEB5" w14:textId="77777777" w:rsidR="00D850AA" w:rsidRDefault="00A70ECC" w:rsidP="00D850AA">
      <w:pPr>
        <w:pStyle w:val="aa"/>
        <w:keepNext/>
        <w:spacing w:before="180" w:after="180"/>
      </w:pPr>
      <w:r w:rsidRPr="00A70ECC">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29"/>
                    <a:stretch>
                      <a:fillRect/>
                    </a:stretch>
                  </pic:blipFill>
                  <pic:spPr>
                    <a:xfrm>
                      <a:off x="0" y="0"/>
                      <a:ext cx="4680000" cy="3022959"/>
                    </a:xfrm>
                    <a:prstGeom prst="rect">
                      <a:avLst/>
                    </a:prstGeom>
                  </pic:spPr>
                </pic:pic>
              </a:graphicData>
            </a:graphic>
          </wp:inline>
        </w:drawing>
      </w:r>
    </w:p>
    <w:p w14:paraId="29C809D9" w14:textId="38312A34" w:rsidR="00A70ECC" w:rsidRDefault="00D850AA" w:rsidP="00D850AA">
      <w:pPr>
        <w:pStyle w:val="a9"/>
        <w:spacing w:before="180" w:after="180"/>
        <w:ind w:firstLine="480"/>
      </w:pPr>
      <w:bookmarkStart w:id="26" w:name="_Ref189385978"/>
      <w:bookmarkStart w:id="27" w:name="_Ref18938596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D04B9">
        <w:rPr>
          <w:noProof/>
        </w:rPr>
        <w:t>9</w:t>
      </w:r>
      <w:r>
        <w:fldChar w:fldCharType="end"/>
      </w:r>
      <w:bookmarkEnd w:id="2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27"/>
    </w:p>
    <w:p w14:paraId="6A508266" w14:textId="10BCC826" w:rsidR="00E7699D" w:rsidRDefault="00E7699D" w:rsidP="00D85A59">
      <w:pPr>
        <w:pStyle w:val="2"/>
      </w:pPr>
      <w:r>
        <w:rPr>
          <w:rFonts w:hint="eastAsia"/>
        </w:rPr>
        <w:lastRenderedPageBreak/>
        <w:t>4.4</w:t>
      </w:r>
      <w:r>
        <w:rPr>
          <w:rFonts w:hint="eastAsia"/>
        </w:rPr>
        <w:t>風險中立機率密度</w:t>
      </w:r>
      <w:r w:rsidR="00110E7A">
        <w:rPr>
          <w:rFonts w:hint="eastAsia"/>
        </w:rPr>
        <w:t>函數</w:t>
      </w:r>
      <w:r>
        <w:rPr>
          <w:rFonts w:hint="eastAsia"/>
        </w:rPr>
        <w:t>之統計特徵</w:t>
      </w:r>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r>
        <w:rPr>
          <w:rFonts w:hint="eastAsia"/>
        </w:rPr>
        <w:t>4.4.1</w:t>
      </w:r>
      <w:proofErr w:type="gramStart"/>
      <w:r>
        <w:rPr>
          <w:rFonts w:hint="eastAsia"/>
        </w:rPr>
        <w:t>動差之</w:t>
      </w:r>
      <w:proofErr w:type="gramEnd"/>
      <w:r>
        <w:rPr>
          <w:rFonts w:hint="eastAsia"/>
        </w:rPr>
        <w:t>定義與意涵</w:t>
      </w:r>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r>
        <w:rPr>
          <w:rFonts w:hint="eastAsia"/>
        </w:rPr>
        <w:t>4.4.2</w:t>
      </w:r>
      <w:r>
        <w:rPr>
          <w:rFonts w:hint="eastAsia"/>
        </w:rPr>
        <w:t>風險中立機率密度函數之統計特徵量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C16AF1E" w:rsidR="00110E7A" w:rsidRPr="00110E7A" w:rsidRDefault="00110E7A" w:rsidP="00110E7A">
      <w:pPr>
        <w:spacing w:before="180" w:after="180"/>
        <w:ind w:firstLine="480"/>
      </w:pPr>
      <w:r w:rsidRPr="00110E7A">
        <w:t>平均數為第一階</w:t>
      </w:r>
      <w:proofErr w:type="gramStart"/>
      <w:r w:rsidRPr="00110E7A">
        <w:t>原始動差</w:t>
      </w:r>
      <w:proofErr w:type="gramEnd"/>
      <w:r w:rsidRPr="00110E7A">
        <w:t>，反映市場對標的資產未來價格水準之整體預期：</w:t>
      </w:r>
    </w:p>
    <w:p w14:paraId="69CA0023" w14:textId="1F562364" w:rsidR="00110E7A" w:rsidRPr="00110E7A" w:rsidRDefault="00000000" w:rsidP="00025179">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578BCA2E" w14:textId="337BEC0A" w:rsidR="00110E7A" w:rsidRDefault="00110E7A" w:rsidP="00025179">
      <w:pPr>
        <w:spacing w:before="180" w:after="180"/>
        <w:ind w:firstLine="480"/>
      </w:pPr>
      <w:r w:rsidRPr="00110E7A">
        <w:t>在風險中立定價理論下，</w:t>
      </w:r>
      <w:r w:rsidRPr="00110E7A">
        <w:t>RND</w:t>
      </w:r>
      <w:r w:rsidRPr="00110E7A">
        <w:t>之平均數應等於無風險利率折現之遠期價格，此特性提供了重要的套利限制條件。</w:t>
      </w:r>
    </w:p>
    <w:p w14:paraId="0B8FBD1A" w14:textId="486B2D5A" w:rsidR="00110E7A" w:rsidRDefault="00110E7A" w:rsidP="00110E7A">
      <w:pPr>
        <w:pStyle w:val="a5"/>
        <w:numPr>
          <w:ilvl w:val="0"/>
          <w:numId w:val="29"/>
        </w:numPr>
        <w:spacing w:before="180" w:after="180"/>
        <w:ind w:leftChars="0" w:firstLineChars="0"/>
      </w:pPr>
      <w:r>
        <w:rPr>
          <w:rFonts w:hint="eastAsia"/>
        </w:rPr>
        <w:lastRenderedPageBreak/>
        <w:t>標準差（</w:t>
      </w:r>
      <w:r>
        <w:rPr>
          <w:rFonts w:hint="eastAsia"/>
        </w:rPr>
        <w:t>Standard Deviation</w:t>
      </w:r>
      <w:r>
        <w:rPr>
          <w:rFonts w:hint="eastAsia"/>
        </w:rPr>
        <w:t>）</w:t>
      </w:r>
    </w:p>
    <w:p w14:paraId="6C65A5F9" w14:textId="38E21B4A" w:rsidR="00110E7A" w:rsidRDefault="00110E7A" w:rsidP="00110E7A">
      <w:pPr>
        <w:spacing w:before="180" w:after="180"/>
        <w:ind w:firstLine="480"/>
      </w:pPr>
      <w:r w:rsidRPr="00110E7A">
        <w:t>標準差為二階</w:t>
      </w:r>
      <w:proofErr w:type="gramStart"/>
      <w:r w:rsidRPr="00110E7A">
        <w:t>中央動差之</w:t>
      </w:r>
      <w:proofErr w:type="gramEnd"/>
      <w:r w:rsidRPr="00110E7A">
        <w:t>平方根，衡量價格分散程度：</w:t>
      </w:r>
    </w:p>
    <w:p w14:paraId="69738D5B" w14:textId="282D0C47" w:rsidR="00110E7A" w:rsidRPr="00110E7A" w:rsidRDefault="00110E7A" w:rsidP="00110E7A">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6387658F" w14:textId="335D6930" w:rsidR="00110E7A" w:rsidRDefault="008073F4" w:rsidP="00110E7A">
      <w:pPr>
        <w:spacing w:before="180" w:after="180"/>
        <w:ind w:firstLine="480"/>
      </w:pPr>
      <w:r w:rsidRPr="008073F4">
        <w:t>標準差反映市場對價格波動性之預期，其值越大表示市場參與者對未來價格走勢之不確定性越高。</w:t>
      </w:r>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22601DFF" w:rsidR="008073F4" w:rsidRDefault="008073F4" w:rsidP="008073F4">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90616F">
        <w:rPr>
          <w:rFonts w:hint="eastAsia"/>
        </w:rPr>
        <w:t>實證</w:t>
      </w:r>
      <w:r w:rsidR="0090616F" w:rsidRPr="0090616F">
        <w:t>研究</w:t>
      </w:r>
      <w:r w:rsidR="00BC0ED0">
        <w:rPr>
          <w:rFonts w:hint="eastAsia"/>
        </w:rPr>
        <w:t xml:space="preserve"> </w:t>
      </w:r>
      <w:r w:rsidR="00BC0ED0">
        <w:fldChar w:fldCharType="begin"/>
      </w:r>
      <w:r w:rsidR="00BC0ED0">
        <w:instrText xml:space="preserve"> ADDIN ZOTERO_ITEM CSL_CITATION {"citationID":"4Z8MGroi","properties":{"formattedCitation":"(Li et al., 2024)","plainCitation":"(Li et al., 2024)","noteIndex":0},"citationItems":[{"id":18,"uris":["http://zotero.org/users/16294904/items/967XFC5W"],"itemData":{"id":18,"type":"article-journal","abstract":"This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chema":"https://github.com/citation-style-language/schema/raw/master/csl-citation.json"} </w:instrText>
      </w:r>
      <w:r w:rsidR="00BC0ED0">
        <w:fldChar w:fldCharType="separate"/>
      </w:r>
      <w:r w:rsidR="00BC0ED0" w:rsidRPr="00BC0ED0">
        <w:t>(Li et al., 2024)</w:t>
      </w:r>
      <w:r w:rsidR="00BC0ED0">
        <w:fldChar w:fldCharType="end"/>
      </w:r>
      <w:r w:rsidR="00BC0ED0">
        <w:rPr>
          <w:rFonts w:hint="eastAsia"/>
        </w:rPr>
        <w:t xml:space="preserve"> </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34E45906" w:rsidR="0090616F" w:rsidRDefault="0090616F" w:rsidP="0090616F">
      <w:pPr>
        <w:spacing w:before="180" w:after="180"/>
        <w:ind w:firstLine="480"/>
      </w:pPr>
      <w:proofErr w:type="gramStart"/>
      <w:r w:rsidRPr="0090616F">
        <w:t>超額峰態為</w:t>
      </w:r>
      <w:proofErr w:type="gramEnd"/>
      <w:r w:rsidRPr="0090616F">
        <w:t>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EB8D6A7" w:rsidR="0090616F" w:rsidRDefault="0090616F" w:rsidP="0090616F">
      <w:pPr>
        <w:spacing w:before="180" w:after="180"/>
        <w:ind w:firstLine="480"/>
      </w:pPr>
      <w:r w:rsidRPr="0090616F">
        <w:t>在實務應用中，</w:t>
      </w:r>
      <w:proofErr w:type="gramStart"/>
      <w:r w:rsidRPr="0090616F">
        <w:t>超額峰態為</w:t>
      </w:r>
      <w:proofErr w:type="gramEnd"/>
      <w:r w:rsidRPr="0090616F">
        <w:t>評估市場極端風險的重要指標。當觀察到正的超額</w:t>
      </w:r>
      <w:proofErr w:type="gramStart"/>
      <w:r w:rsidRPr="0090616F">
        <w:t>峰態時</w:t>
      </w:r>
      <w:proofErr w:type="gramEnd"/>
      <w:r w:rsidRPr="0090616F">
        <w:t>，表示該分配相較於常態分配具有較為明顯</w:t>
      </w:r>
      <w:proofErr w:type="gramStart"/>
      <w:r w:rsidRPr="0090616F">
        <w:t>的肥尾特性</w:t>
      </w:r>
      <w:proofErr w:type="gramEnd"/>
      <w:r w:rsidRPr="0090616F">
        <w:t>，即極端事件發生的</w:t>
      </w:r>
      <w:r w:rsidRPr="0090616F">
        <w:lastRenderedPageBreak/>
        <w:t>機率高於常態分配的預期。</w:t>
      </w:r>
    </w:p>
    <w:p w14:paraId="38451DBB" w14:textId="3C6D990A" w:rsidR="0090616F" w:rsidRDefault="0090616F" w:rsidP="0090616F">
      <w:pPr>
        <w:pStyle w:val="3"/>
        <w:spacing w:before="180" w:after="180"/>
      </w:pPr>
      <w:r>
        <w:rPr>
          <w:rFonts w:hint="eastAsia"/>
        </w:rPr>
        <w:t>4.4.3</w:t>
      </w:r>
      <w:r>
        <w:rPr>
          <w:rFonts w:hint="eastAsia"/>
        </w:rPr>
        <w:t>統計特徵之市場意涵</w:t>
      </w:r>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107FC9C4" w:rsidR="0090616F" w:rsidRPr="0090616F" w:rsidRDefault="0090616F" w:rsidP="0090616F">
      <w:pPr>
        <w:spacing w:before="180" w:after="180"/>
        <w:ind w:firstLine="480"/>
      </w:pPr>
      <w:r w:rsidRPr="0090616F">
        <w:t>本研究中將透過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3119045" w:rsidR="00FC5EAE" w:rsidRDefault="00D85A59" w:rsidP="00D85A59">
      <w:pPr>
        <w:pStyle w:val="2"/>
      </w:pPr>
      <w:r>
        <w:rPr>
          <w:rFonts w:hint="eastAsia"/>
        </w:rPr>
        <w:t>4.</w:t>
      </w:r>
      <w:r w:rsidR="0090616F">
        <w:rPr>
          <w:rFonts w:hint="eastAsia"/>
        </w:rPr>
        <w:t>5</w:t>
      </w:r>
      <w:r>
        <w:rPr>
          <w:rFonts w:hint="eastAsia"/>
        </w:rPr>
        <w:t>實證</w:t>
      </w:r>
      <w:proofErr w:type="gramStart"/>
      <w:r>
        <w:rPr>
          <w:rFonts w:hint="eastAsia"/>
        </w:rPr>
        <w:t>迴</w:t>
      </w:r>
      <w:proofErr w:type="gramEnd"/>
      <w:r>
        <w:rPr>
          <w:rFonts w:hint="eastAsia"/>
        </w:rPr>
        <w:t>歸分析</w:t>
      </w:r>
    </w:p>
    <w:p w14:paraId="5C5AA112" w14:textId="3F32C139" w:rsidR="00E7699D" w:rsidRP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00E4307C">
        <w:rPr>
          <w:rFonts w:hint="eastAsia"/>
        </w:rPr>
        <w:t>超額</w:t>
      </w:r>
      <w:r w:rsidRPr="00E7699D">
        <w:t>峰態</w:t>
      </w:r>
      <w:proofErr w:type="gramEnd"/>
      <w:r w:rsidRPr="00E7699D">
        <w:t>（</w:t>
      </w:r>
      <w:r w:rsidR="00E4307C">
        <w:rPr>
          <w:rFonts w:hint="eastAsia"/>
        </w:rPr>
        <w:t xml:space="preserve">Excess </w:t>
      </w:r>
      <w:r w:rsidRPr="00E7699D">
        <w:t>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36764E42" w14:textId="77777777" w:rsidR="00693EEF" w:rsidRDefault="00E7699D" w:rsidP="00B50D85">
      <w:pPr>
        <w:spacing w:before="180" w:after="180"/>
        <w:ind w:firstLine="480"/>
      </w:pPr>
      <w:r w:rsidRPr="00E7699D">
        <w:t>本研究所提出之單點配</w:t>
      </w:r>
      <w:proofErr w:type="gramStart"/>
      <w:r w:rsidRPr="00E7699D">
        <w:t>適</w:t>
      </w:r>
      <w:proofErr w:type="gramEnd"/>
      <w:r w:rsidRPr="00E7699D">
        <w:t>法相較於既有文獻採用之</w:t>
      </w:r>
      <w:proofErr w:type="gramStart"/>
      <w:r w:rsidRPr="00E7699D">
        <w:t>雙點配適</w:t>
      </w:r>
      <w:proofErr w:type="gramEnd"/>
      <w:r w:rsidRPr="00E7699D">
        <w:t>法，在實務應用</w:t>
      </w:r>
      <w:r w:rsidRPr="00E7699D">
        <w:lastRenderedPageBreak/>
        <w:t>上具有計算效率之優勢。為驗證此方法之有效性，本研究將</w:t>
      </w:r>
      <w:proofErr w:type="gramStart"/>
      <w:r w:rsidRPr="00E7699D">
        <w:t>透過均方誤差</w:t>
      </w:r>
      <w:proofErr w:type="gramEnd"/>
      <w:r w:rsidRPr="00E7699D">
        <w:t>（</w:t>
      </w:r>
      <w:r w:rsidRPr="00E7699D">
        <w:t>Mean Squared Error, MSE</w:t>
      </w:r>
      <w:r w:rsidRPr="00E7699D">
        <w:t>）指標</w:t>
      </w:r>
      <w:r w:rsidR="00E4307C">
        <w:rPr>
          <w:rFonts w:hint="eastAsia"/>
        </w:rPr>
        <w:t>與模型變數顯著性</w:t>
      </w:r>
      <w:r w:rsidRPr="00E7699D">
        <w:t>，比較兩種方法所建構預測模型之準確度，以量化評估本研究所提出方法之實證效果。</w:t>
      </w:r>
    </w:p>
    <w:p w14:paraId="09D7BDDF" w14:textId="600906F0" w:rsidR="00B50D85" w:rsidRDefault="00693EEF" w:rsidP="00B50D85">
      <w:pPr>
        <w:spacing w:before="180" w:after="180"/>
        <w:ind w:firstLine="480"/>
      </w:pPr>
      <w:r w:rsidRPr="00693EEF">
        <w:t>本研究採用多層次的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0D6D4B2C" w:rsidR="00693EEF" w:rsidRDefault="00693EEF" w:rsidP="00693EEF">
      <w:pPr>
        <w:pStyle w:val="3"/>
        <w:spacing w:before="180" w:after="180"/>
      </w:pPr>
      <w:r>
        <w:rPr>
          <w:rFonts w:hint="eastAsia"/>
        </w:rPr>
        <w:t>4.5.1</w:t>
      </w: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2E51A2A3" w14:textId="712CBFA7" w:rsidR="001D79AD"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217758">
        <w:rPr>
          <w:rFonts w:hint="eastAsia"/>
        </w:rPr>
        <w:t>為平均數（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217758">
        <w:rPr>
          <w:rFonts w:hint="eastAsia"/>
        </w:rPr>
        <w:t>超額</w:t>
      </w:r>
      <w:r w:rsidR="00217758" w:rsidRPr="00E7699D">
        <w:t>峰態</w:t>
      </w:r>
      <w:proofErr w:type="gramEnd"/>
      <w:r w:rsidR="00217758" w:rsidRPr="00E7699D">
        <w:t>（</w:t>
      </w:r>
      <w:r w:rsidR="00217758" w:rsidRPr="00E7699D">
        <w:t>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）、波動率指數（</w:t>
      </w:r>
      <w:r w:rsidR="00217758" w:rsidRPr="00E7699D">
        <w:t>VIX</w:t>
      </w:r>
      <w:r w:rsidR="00217758"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p>
    <w:p w14:paraId="2A948CCB" w14:textId="0FBA72D1" w:rsidR="005D1B9E" w:rsidRDefault="005D1B9E" w:rsidP="005D1B9E">
      <w:pPr>
        <w:pStyle w:val="3"/>
        <w:spacing w:before="180" w:after="180"/>
      </w:pPr>
      <w:r>
        <w:rPr>
          <w:rFonts w:hint="eastAsia"/>
        </w:rPr>
        <w:t>4.5.2</w:t>
      </w:r>
      <w:proofErr w:type="gramStart"/>
      <w:r>
        <w:rPr>
          <w:rFonts w:hint="eastAsia"/>
        </w:rPr>
        <w:t>二</w:t>
      </w:r>
      <w:proofErr w:type="gramEnd"/>
      <w:r>
        <w:rPr>
          <w:rFonts w:hint="eastAsia"/>
        </w:rPr>
        <w:t>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考慮到偏態（</w:t>
      </w:r>
      <w:r w:rsidRPr="00850A16">
        <w:t>Skewness</w:t>
      </w:r>
      <w:r w:rsidRPr="00850A16">
        <w:t>）在選擇權定價理論中的重要性，本研究設計二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5FF847FC"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w:t>
      </w:r>
      <w:proofErr w:type="gramStart"/>
      <w:r>
        <w:rPr>
          <w:rFonts w:hint="eastAsia"/>
        </w:rPr>
        <w:t>超額</w:t>
      </w:r>
      <w:r w:rsidRPr="00E7699D">
        <w:t>峰態</w:t>
      </w:r>
      <w:proofErr w:type="gramEnd"/>
      <w:r w:rsidRPr="00E7699D">
        <w:t>（</w:t>
      </w:r>
      <w:r w:rsidRPr="00E7699D">
        <w:t>Kurtosis</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w:t>
      </w:r>
      <w:r>
        <w:rPr>
          <w:rFonts w:hint="eastAsia"/>
        </w:rPr>
        <w:lastRenderedPageBreak/>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46EB8E53" w14:textId="77777777" w:rsidR="00850A16" w:rsidRDefault="00850A16" w:rsidP="00850A16">
      <w:pPr>
        <w:pStyle w:val="3"/>
        <w:spacing w:before="180" w:after="180"/>
      </w:pPr>
      <w:r>
        <w:rPr>
          <w:rFonts w:hint="eastAsia"/>
        </w:rPr>
        <w:t>4.5.3</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w:t>
      </w:r>
    </w:p>
    <w:p w14:paraId="60FAB04D" w14:textId="34E5669F" w:rsidR="00850A16" w:rsidRDefault="00850A16" w:rsidP="00850A16">
      <w:pPr>
        <w:spacing w:before="180" w:after="180"/>
        <w:ind w:firstLine="480"/>
      </w:pPr>
      <w:proofErr w:type="gramStart"/>
      <w:r w:rsidRPr="00850A16">
        <w:t>三</w:t>
      </w:r>
      <w:proofErr w:type="gramEnd"/>
      <w:r>
        <w:rPr>
          <w:rFonts w:hint="eastAsia"/>
        </w:rPr>
        <w:t>變數</w:t>
      </w:r>
      <w:r w:rsidRPr="00850A16">
        <w:t>模型進一步納入</w:t>
      </w:r>
      <w:proofErr w:type="gramStart"/>
      <w:r>
        <w:rPr>
          <w:rFonts w:hint="eastAsia"/>
        </w:rPr>
        <w:t>超額</w:t>
      </w:r>
      <w:r w:rsidRPr="00850A16">
        <w:t>峰態</w:t>
      </w:r>
      <w:proofErr w:type="gramEnd"/>
      <w:r w:rsidRPr="00850A16">
        <w:t>（</w:t>
      </w:r>
      <w:r w:rsidRPr="00850A16">
        <w:t>Kurtosis</w:t>
      </w:r>
      <w:r w:rsidRPr="00850A16">
        <w:t>）作為固定因子，形成：</w:t>
      </w:r>
    </w:p>
    <w:p w14:paraId="62BC3D0F" w14:textId="7212AF31"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22AE0708"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55BFE34A" w14:textId="4B5093E2" w:rsidR="00850A16" w:rsidRDefault="00850A16" w:rsidP="00850A16">
      <w:pPr>
        <w:pStyle w:val="3"/>
        <w:spacing w:before="180" w:after="180"/>
      </w:pPr>
      <w:r>
        <w:rPr>
          <w:rFonts w:hint="eastAsia"/>
        </w:rPr>
        <w:t>4.5.4</w:t>
      </w:r>
      <w:proofErr w:type="gramStart"/>
      <w:r>
        <w:rPr>
          <w:rFonts w:hint="eastAsia"/>
        </w:rPr>
        <w:t>四</w:t>
      </w:r>
      <w:proofErr w:type="gramEnd"/>
      <w:r>
        <w:rPr>
          <w:rFonts w:hint="eastAsia"/>
        </w:rPr>
        <w:t>變數</w:t>
      </w:r>
      <w:proofErr w:type="gramStart"/>
      <w:r>
        <w:rPr>
          <w:rFonts w:hint="eastAsia"/>
        </w:rPr>
        <w:t>迴</w:t>
      </w:r>
      <w:proofErr w:type="gramEnd"/>
      <w:r>
        <w:rPr>
          <w:rFonts w:hint="eastAsia"/>
        </w:rPr>
        <w:t>歸模型</w:t>
      </w:r>
    </w:p>
    <w:p w14:paraId="615CCE2F" w14:textId="5C981749" w:rsidR="00850A16" w:rsidRPr="00850A16" w:rsidRDefault="00C47024" w:rsidP="00850A16">
      <w:pPr>
        <w:spacing w:before="180" w:after="180"/>
        <w:ind w:firstLine="480"/>
      </w:pPr>
      <w:r w:rsidRPr="00C47024">
        <w:t>在三</w:t>
      </w:r>
      <w:r>
        <w:rPr>
          <w:rFonts w:hint="eastAsia"/>
        </w:rPr>
        <w:t>變數</w:t>
      </w:r>
      <w:r w:rsidRPr="00C47024">
        <w:t>模型的基礎上，四</w:t>
      </w:r>
      <w:r>
        <w:rPr>
          <w:rFonts w:hint="eastAsia"/>
        </w:rPr>
        <w:t>變數</w:t>
      </w:r>
      <w:r w:rsidRPr="00C47024">
        <w:t>模型加入標準差（</w:t>
      </w:r>
      <w:r w:rsidRPr="00C47024">
        <w:t>Std</w:t>
      </w:r>
      <w:r w:rsidRPr="00C47024">
        <w:t>）變數，完整模型如下：</w:t>
      </w:r>
    </w:p>
    <w:p w14:paraId="375952B6" w14:textId="69729608" w:rsidR="00C47024" w:rsidRPr="00850A16"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9507B47" w:rsidR="00850A16" w:rsidRPr="00C47024" w:rsidRDefault="00C47024" w:rsidP="00F66567">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28" w:name="_Toc182815181"/>
      <w:r>
        <w:rPr>
          <w:rFonts w:hint="eastAsia"/>
        </w:rPr>
        <w:lastRenderedPageBreak/>
        <w:t>第五章、</w:t>
      </w:r>
      <w:bookmarkEnd w:id="28"/>
      <w:r w:rsidR="00404225">
        <w:rPr>
          <w:rFonts w:hint="eastAsia"/>
        </w:rPr>
        <w:t>實證結果分析</w:t>
      </w:r>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r>
        <w:rPr>
          <w:rFonts w:hint="eastAsia"/>
        </w:rPr>
        <w:t>5.1</w:t>
      </w:r>
      <w:r>
        <w:rPr>
          <w:rFonts w:hint="eastAsia"/>
        </w:rPr>
        <w:t>實證樣本擬合效果分析</w:t>
      </w:r>
    </w:p>
    <w:p w14:paraId="47FC51A0" w14:textId="716C6AE8" w:rsidR="008771A3" w:rsidRDefault="008771A3" w:rsidP="008771A3">
      <w:pPr>
        <w:pStyle w:val="3"/>
        <w:spacing w:before="180" w:after="180"/>
      </w:pPr>
      <w:r>
        <w:rPr>
          <w:rFonts w:hint="eastAsia"/>
        </w:rPr>
        <w:t>5.1.1</w:t>
      </w:r>
      <w:r>
        <w:rPr>
          <w:rFonts w:hint="eastAsia"/>
        </w:rPr>
        <w:t>單點配適法與</w:t>
      </w:r>
      <w:proofErr w:type="gramStart"/>
      <w:r>
        <w:rPr>
          <w:rFonts w:hint="eastAsia"/>
        </w:rPr>
        <w:t>雙點配適</w:t>
      </w:r>
      <w:proofErr w:type="gramEnd"/>
      <w:r>
        <w:rPr>
          <w:rFonts w:hint="eastAsia"/>
        </w:rPr>
        <w:t>法之比較</w:t>
      </w:r>
    </w:p>
    <w:p w14:paraId="7A753335" w14:textId="7AA5E33C" w:rsidR="008F6801" w:rsidRDefault="008771A3" w:rsidP="008F6801">
      <w:pPr>
        <w:spacing w:before="180" w:after="180"/>
        <w:ind w:firstLine="480"/>
      </w:pPr>
      <w:r>
        <w:rPr>
          <w:rFonts w:hint="eastAsia"/>
        </w:rPr>
        <w:t>為進一步比較單點配適法與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0"/>
                    <a:stretch>
                      <a:fillRect/>
                    </a:stretch>
                  </pic:blipFill>
                  <pic:spPr>
                    <a:xfrm>
                      <a:off x="0" y="0"/>
                      <a:ext cx="5400040" cy="2804160"/>
                    </a:xfrm>
                    <a:prstGeom prst="rect">
                      <a:avLst/>
                    </a:prstGeom>
                  </pic:spPr>
                </pic:pic>
              </a:graphicData>
            </a:graphic>
          </wp:inline>
        </w:drawing>
      </w:r>
    </w:p>
    <w:p w14:paraId="6BC7CC57" w14:textId="3A770113" w:rsidR="008771A3" w:rsidRDefault="008771A3" w:rsidP="002406B3">
      <w:pPr>
        <w:pStyle w:val="a9"/>
        <w:spacing w:before="180" w:after="180"/>
      </w:pPr>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BD04B9">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proofErr w:type="gramEnd"/>
    </w:p>
    <w:p w14:paraId="68F4F404" w14:textId="5438D957" w:rsidR="008771A3" w:rsidRDefault="008771A3" w:rsidP="008771A3">
      <w:pPr>
        <w:spacing w:before="180" w:after="180"/>
        <w:ind w:firstLine="480"/>
      </w:pPr>
      <w:r>
        <w:rPr>
          <w:rFonts w:hint="eastAsia"/>
        </w:rPr>
        <w:t>觀察圖中左側之單點配適法擬合結果可知，其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w:t>
      </w:r>
      <w:proofErr w:type="gramStart"/>
      <w:r>
        <w:rPr>
          <w:rFonts w:hint="eastAsia"/>
        </w:rPr>
        <w:t>再者，</w:t>
      </w:r>
      <w:proofErr w:type="gramEnd"/>
      <w:r>
        <w:rPr>
          <w:rFonts w:hint="eastAsia"/>
        </w:rPr>
        <w:t>單點配適法之擬合結果較為穩定，有助於後續統計特徵值之計算與分析。基於前述優勢，本研究認為在建構比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幣選擇權之風險中立機率密度函數時，單點配適法</w:t>
      </w:r>
      <w:proofErr w:type="gramStart"/>
      <w:r>
        <w:rPr>
          <w:rFonts w:hint="eastAsia"/>
        </w:rPr>
        <w:t>較雙點配適</w:t>
      </w:r>
      <w:proofErr w:type="gramEnd"/>
      <w:r>
        <w:rPr>
          <w:rFonts w:hint="eastAsia"/>
        </w:rPr>
        <w:t>法更具實用價值。</w:t>
      </w:r>
    </w:p>
    <w:p w14:paraId="2E4DE5C4" w14:textId="24AE00EB" w:rsidR="00642602" w:rsidRDefault="00642602" w:rsidP="00642602">
      <w:pPr>
        <w:pStyle w:val="3"/>
        <w:spacing w:before="180" w:after="180"/>
      </w:pPr>
      <w:r>
        <w:rPr>
          <w:rFonts w:hint="eastAsia"/>
        </w:rPr>
        <w:lastRenderedPageBreak/>
        <w:t>5.1.2</w:t>
      </w:r>
      <w:r>
        <w:rPr>
          <w:rFonts w:hint="eastAsia"/>
        </w:rPr>
        <w:t>計算效率之實證比較</w:t>
      </w:r>
    </w:p>
    <w:p w14:paraId="1523A34C" w14:textId="46A7C1B1" w:rsidR="00642602" w:rsidRDefault="00642602" w:rsidP="00642602">
      <w:pPr>
        <w:spacing w:before="180" w:after="180"/>
        <w:ind w:firstLine="480"/>
      </w:pPr>
      <w:r>
        <w:rPr>
          <w:rFonts w:hint="eastAsia"/>
        </w:rPr>
        <w:t>為評估單點配適法與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BD04B9">
        <w:rPr>
          <w:rFonts w:hint="eastAsia"/>
        </w:rPr>
        <w:t>表</w:t>
      </w:r>
      <w:r w:rsidR="00BD04B9">
        <w:rPr>
          <w:rFonts w:hint="eastAsia"/>
        </w:rPr>
        <w:t>5-</w:t>
      </w:r>
      <w:r w:rsidR="00BD04B9">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w:t>
      </w:r>
      <w:proofErr w:type="gramStart"/>
      <w:r>
        <w:rPr>
          <w:rFonts w:hint="eastAsia"/>
        </w:rPr>
        <w:t>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w:t>
      </w:r>
      <w:proofErr w:type="gramStart"/>
      <w:r>
        <w:rPr>
          <w:rFonts w:hint="eastAsia"/>
        </w:rPr>
        <w:t>雙點配適</w:t>
      </w:r>
      <w:proofErr w:type="gramEnd"/>
      <w:r>
        <w:rPr>
          <w:rFonts w:hint="eastAsia"/>
        </w:rPr>
        <w:t>法。單點配適法的執行時間標準差較小，顯示其運算效能較為一致，這項特性在進行大規模實證分析時特別重要，有助於提升研究效率並降低運算資源的浪費。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4A2B632E" w14:textId="34F02533" w:rsidR="007901DC" w:rsidRDefault="008771A3" w:rsidP="002406B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3BC81B63" w14:textId="21B902AE" w:rsidR="002406B3" w:rsidRPr="002406B3" w:rsidRDefault="002406B3" w:rsidP="002406B3">
      <w:pPr>
        <w:pStyle w:val="a9"/>
        <w:keepNext/>
        <w:spacing w:before="180" w:after="180"/>
      </w:pPr>
      <w:bookmarkStart w:id="29" w:name="_Ref190094375"/>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D04B9">
        <w:rPr>
          <w:noProof/>
        </w:rPr>
        <w:t>1</w:t>
      </w:r>
      <w:r>
        <w:fldChar w:fldCharType="end"/>
      </w:r>
      <w:bookmarkEnd w:id="29"/>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lastRenderedPageBreak/>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r>
        <w:rPr>
          <w:rFonts w:hint="eastAsia"/>
        </w:rPr>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p>
    <w:p w14:paraId="098B8146" w14:textId="1C04F3F0" w:rsidR="00F008C1" w:rsidRDefault="00F008C1" w:rsidP="00F008C1">
      <w:pPr>
        <w:pStyle w:val="3"/>
        <w:spacing w:before="180" w:after="180"/>
      </w:pPr>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p>
    <w:p w14:paraId="58A40779" w14:textId="6A011BA0"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BD04B9">
        <w:rPr>
          <w:rFonts w:hint="eastAsia"/>
        </w:rPr>
        <w:t>表</w:t>
      </w:r>
      <w:r w:rsidR="00BD04B9">
        <w:rPr>
          <w:rFonts w:hint="eastAsia"/>
        </w:rPr>
        <w:t>5-</w:t>
      </w:r>
      <w:r w:rsidR="00BD04B9">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D54F57">
        <w:rPr>
          <w:rFonts w:hint="eastAsia"/>
        </w:rPr>
        <w:t>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63E5B122" w:rsidR="008F5CEB" w:rsidRDefault="008F5CEB" w:rsidP="008F5CEB">
      <w:pPr>
        <w:pStyle w:val="a9"/>
        <w:keepNext/>
        <w:spacing w:before="180" w:after="180"/>
      </w:pPr>
      <w:bookmarkStart w:id="30" w:name="_Ref189445655"/>
      <w:bookmarkStart w:id="31" w:name="_Ref189445652"/>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2</w:t>
      </w:r>
      <w:r w:rsidR="002406B3">
        <w:fldChar w:fldCharType="end"/>
      </w:r>
      <w:bookmarkEnd w:id="30"/>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31"/>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77777777" w:rsidR="00E32CC8" w:rsidRPr="00DB4B95" w:rsidRDefault="00E32CC8" w:rsidP="00E32CC8">
            <w:pPr>
              <w:pStyle w:val="af9"/>
              <w:rPr>
                <w:szCs w:val="16"/>
              </w:rPr>
            </w:pPr>
            <w:r w:rsidRPr="00DB4B95">
              <w:rPr>
                <w:szCs w:val="16"/>
              </w:rPr>
              <w:t>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6993AD16"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BD04B9">
        <w:rPr>
          <w:rFonts w:hint="eastAsia"/>
        </w:rPr>
        <w:t>表</w:t>
      </w:r>
      <w:r w:rsidR="00BD04B9">
        <w:rPr>
          <w:rFonts w:hint="eastAsia"/>
        </w:rPr>
        <w:t>5-</w:t>
      </w:r>
      <w:r w:rsidR="00BD04B9">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6AB1B2A7" w:rsidR="00987DA1" w:rsidRDefault="00987DA1" w:rsidP="00987DA1">
      <w:pPr>
        <w:pStyle w:val="a9"/>
        <w:keepNext/>
        <w:spacing w:before="180" w:after="180"/>
      </w:pPr>
      <w:bookmarkStart w:id="32" w:name="_Ref1894465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3</w:t>
      </w:r>
      <w:r w:rsidR="002406B3">
        <w:fldChar w:fldCharType="end"/>
      </w:r>
      <w:bookmarkEnd w:id="32"/>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77777777" w:rsidR="00987DA1" w:rsidRPr="00987DA1" w:rsidRDefault="00987DA1" w:rsidP="00987DA1">
            <w:pPr>
              <w:pStyle w:val="af9"/>
              <w:rPr>
                <w:szCs w:val="16"/>
              </w:rPr>
            </w:pPr>
            <w:r w:rsidRPr="00987DA1">
              <w:rPr>
                <w:szCs w:val="16"/>
              </w:rPr>
              <w:t>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4DA326B6" w:rsidR="00B856BD" w:rsidRPr="00786B72" w:rsidRDefault="00B856BD" w:rsidP="00BB145A">
      <w:pPr>
        <w:spacing w:before="180" w:after="180"/>
        <w:ind w:firstLine="480"/>
      </w:pPr>
      <w:r>
        <w:rPr>
          <w:rFonts w:hint="eastAsia"/>
        </w:rPr>
        <w:lastRenderedPageBreak/>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BD04B9">
        <w:rPr>
          <w:rFonts w:hint="eastAsia"/>
        </w:rPr>
        <w:t>表</w:t>
      </w:r>
      <w:r w:rsidR="00BD04B9">
        <w:rPr>
          <w:rFonts w:hint="eastAsia"/>
        </w:rPr>
        <w:t>5-</w:t>
      </w:r>
      <w:r w:rsidR="00BD04B9">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BD04B9">
        <w:rPr>
          <w:rFonts w:hint="eastAsia"/>
        </w:rPr>
        <w:t>附表</w:t>
      </w:r>
      <w:r w:rsidR="00BD04B9">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BD04B9">
        <w:rPr>
          <w:rFonts w:hint="eastAsia"/>
        </w:rPr>
        <w:t>附表</w:t>
      </w:r>
      <w:r w:rsidR="00BD04B9">
        <w:rPr>
          <w:noProof/>
        </w:rPr>
        <w:t>2</w:t>
      </w:r>
      <w:r w:rsidR="00BB145A">
        <w:fldChar w:fldCharType="end"/>
      </w:r>
      <w:r w:rsidR="00786B72">
        <w:rPr>
          <w:rFonts w:hint="eastAsia"/>
        </w:rPr>
        <w:t>。</w:t>
      </w:r>
    </w:p>
    <w:p w14:paraId="5B9DD788" w14:textId="1D1DA5E5" w:rsidR="00B856BD" w:rsidRDefault="00B856BD" w:rsidP="00B856BD">
      <w:pPr>
        <w:pStyle w:val="a9"/>
        <w:keepNext/>
        <w:spacing w:before="180" w:after="180"/>
      </w:pPr>
      <w:bookmarkStart w:id="33" w:name="_Ref1894475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4</w:t>
      </w:r>
      <w:r w:rsidR="002406B3">
        <w:fldChar w:fldCharType="end"/>
      </w:r>
      <w:bookmarkEnd w:id="33"/>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77777777" w:rsidR="00B856BD" w:rsidRPr="00B856BD" w:rsidRDefault="00B856BD" w:rsidP="00B856BD">
            <w:pPr>
              <w:pStyle w:val="af9"/>
              <w:rPr>
                <w:szCs w:val="16"/>
              </w:rPr>
            </w:pPr>
            <w:r w:rsidRPr="00B856BD">
              <w:rPr>
                <w:szCs w:val="16"/>
              </w:rPr>
              <w:t>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1C168858"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BD04B9">
        <w:rPr>
          <w:rFonts w:hint="eastAsia"/>
        </w:rPr>
        <w:t>表</w:t>
      </w:r>
      <w:r w:rsidR="00BD04B9">
        <w:rPr>
          <w:rFonts w:hint="eastAsia"/>
        </w:rPr>
        <w:t>5-</w:t>
      </w:r>
      <w:r w:rsidR="00BD04B9">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BD04B9">
        <w:rPr>
          <w:rFonts w:hint="eastAsia"/>
        </w:rPr>
        <w:t>附表</w:t>
      </w:r>
      <w:r w:rsidR="00BD04B9">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40EFEF86" w:rsidR="00DB54B6" w:rsidRDefault="00DB54B6" w:rsidP="00DB54B6">
      <w:pPr>
        <w:pStyle w:val="a9"/>
        <w:keepNext/>
        <w:spacing w:before="180" w:after="180"/>
      </w:pPr>
      <w:bookmarkStart w:id="34" w:name="_Ref18944962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5</w:t>
      </w:r>
      <w:r w:rsidR="002406B3">
        <w:fldChar w:fldCharType="end"/>
      </w:r>
      <w:bookmarkEnd w:id="34"/>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EAD42F1" w14:textId="77777777" w:rsidR="00DB54B6" w:rsidRPr="00DB54B6" w:rsidRDefault="00DB54B6" w:rsidP="00142EA2">
      <w:pPr>
        <w:spacing w:before="180" w:after="180"/>
        <w:ind w:firstLine="480"/>
      </w:pPr>
    </w:p>
    <w:p w14:paraId="1CC9AA72" w14:textId="1149D8F9" w:rsidR="00F008C1" w:rsidRDefault="00F008C1" w:rsidP="00F008C1">
      <w:pPr>
        <w:pStyle w:val="3"/>
        <w:spacing w:before="180" w:after="180"/>
      </w:pPr>
      <w:r>
        <w:rPr>
          <w:rFonts w:hint="eastAsia"/>
        </w:rPr>
        <w:lastRenderedPageBreak/>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p>
    <w:p w14:paraId="55C1E466" w14:textId="57A00062"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BD04B9">
        <w:rPr>
          <w:rFonts w:hint="eastAsia"/>
        </w:rPr>
        <w:t>表</w:t>
      </w:r>
      <w:r w:rsidR="00BD04B9">
        <w:rPr>
          <w:rFonts w:hint="eastAsia"/>
        </w:rPr>
        <w:t>5-</w:t>
      </w:r>
      <w:r w:rsidR="00BD04B9">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1B7837F7" w:rsidR="00F36EA6" w:rsidRDefault="00F36EA6" w:rsidP="00F36EA6">
      <w:pPr>
        <w:pStyle w:val="a9"/>
        <w:keepNext/>
        <w:spacing w:before="180" w:after="180"/>
      </w:pPr>
      <w:bookmarkStart w:id="35" w:name="_Ref1894508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6</w:t>
      </w:r>
      <w:r w:rsidR="002406B3">
        <w:fldChar w:fldCharType="end"/>
      </w:r>
      <w:bookmarkEnd w:id="35"/>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7E4761">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7777777" w:rsidR="006A1E80" w:rsidRPr="00DB4B95" w:rsidRDefault="006A1E80" w:rsidP="006A1E80">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189802D0"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BD04B9">
        <w:rPr>
          <w:rFonts w:hint="eastAsia"/>
        </w:rPr>
        <w:t>表</w:t>
      </w:r>
      <w:r w:rsidR="00BD04B9">
        <w:rPr>
          <w:rFonts w:hint="eastAsia"/>
        </w:rPr>
        <w:t>5-</w:t>
      </w:r>
      <w:r w:rsidR="00BD04B9">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30575EB8" w:rsidR="00F36EA6" w:rsidRDefault="00F36EA6" w:rsidP="00F36EA6">
      <w:pPr>
        <w:pStyle w:val="a9"/>
        <w:keepNext/>
        <w:spacing w:before="180" w:after="180"/>
      </w:pPr>
      <w:bookmarkStart w:id="36" w:name="_Ref18945105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7</w:t>
      </w:r>
      <w:r w:rsidR="002406B3">
        <w:fldChar w:fldCharType="end"/>
      </w:r>
      <w:bookmarkEnd w:id="36"/>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7E4761">
            <w:pPr>
              <w:pStyle w:val="af9"/>
              <w:jc w:val="center"/>
              <w:rPr>
                <w:szCs w:val="16"/>
              </w:rPr>
            </w:pPr>
            <w:r w:rsidRPr="00987DA1">
              <w:rPr>
                <w:szCs w:val="16"/>
              </w:rPr>
              <w:t>R-squared</w:t>
            </w:r>
          </w:p>
        </w:tc>
      </w:tr>
      <w:tr w:rsidR="006A1E80" w:rsidRPr="00987DA1" w14:paraId="1FE6FCD2" w14:textId="77777777" w:rsidTr="00ED0627">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ED0627">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ED0627">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lastRenderedPageBreak/>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ED0627">
        <w:trPr>
          <w:trHeight w:val="310"/>
        </w:trPr>
        <w:tc>
          <w:tcPr>
            <w:tcW w:w="892" w:type="pct"/>
            <w:tcBorders>
              <w:right w:val="single" w:sz="8" w:space="0" w:color="auto"/>
            </w:tcBorders>
            <w:shd w:val="clear" w:color="auto" w:fill="auto"/>
            <w:noWrap/>
            <w:vAlign w:val="center"/>
            <w:hideMark/>
          </w:tcPr>
          <w:p w14:paraId="1BD13EF4" w14:textId="77777777" w:rsidR="006A1E80" w:rsidRPr="00987DA1" w:rsidRDefault="006A1E80" w:rsidP="006A1E80">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ED0627">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ED0627">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ED0627">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ED0627">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ED0627">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ED0627">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ED0627">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4ABB6596"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BD04B9">
        <w:rPr>
          <w:rFonts w:hint="eastAsia"/>
        </w:rPr>
        <w:t>表</w:t>
      </w:r>
      <w:r w:rsidR="00BD04B9">
        <w:rPr>
          <w:rFonts w:hint="eastAsia"/>
        </w:rPr>
        <w:t>5-</w:t>
      </w:r>
      <w:r w:rsidR="00BD04B9">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BD04B9">
        <w:rPr>
          <w:rFonts w:hint="eastAsia"/>
        </w:rPr>
        <w:t>附表</w:t>
      </w:r>
      <w:r w:rsidR="00BD04B9">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BD04B9">
        <w:rPr>
          <w:rFonts w:hint="eastAsia"/>
        </w:rPr>
        <w:t>附表</w:t>
      </w:r>
      <w:r w:rsidR="00BD04B9">
        <w:rPr>
          <w:noProof/>
        </w:rPr>
        <w:t>5</w:t>
      </w:r>
      <w:r w:rsidR="009E3FD2">
        <w:fldChar w:fldCharType="end"/>
      </w:r>
    </w:p>
    <w:p w14:paraId="4EECD36A" w14:textId="0AB13225" w:rsidR="00F36EA6" w:rsidRDefault="00F36EA6" w:rsidP="00F36EA6">
      <w:pPr>
        <w:pStyle w:val="a9"/>
        <w:keepNext/>
        <w:spacing w:before="180" w:after="180"/>
      </w:pPr>
      <w:bookmarkStart w:id="37" w:name="_Ref1894512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8</w:t>
      </w:r>
      <w:r w:rsidR="002406B3">
        <w:fldChar w:fldCharType="end"/>
      </w:r>
      <w:bookmarkEnd w:id="37"/>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7E4761">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7E4761">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7E4761">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7E4761">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7E4761">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7E4761">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7E4761">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7E4761">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7E4761">
            <w:pPr>
              <w:pStyle w:val="af9"/>
              <w:jc w:val="center"/>
              <w:rPr>
                <w:szCs w:val="16"/>
              </w:rPr>
            </w:pPr>
            <w:r w:rsidRPr="00B856BD">
              <w:rPr>
                <w:szCs w:val="16"/>
              </w:rPr>
              <w:t>R-squared</w:t>
            </w:r>
          </w:p>
        </w:tc>
      </w:tr>
      <w:tr w:rsidR="006A1E80" w:rsidRPr="00B856BD" w14:paraId="26DFA891" w14:textId="77777777" w:rsidTr="00A62EC3">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A62EC3">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A62EC3">
        <w:trPr>
          <w:trHeight w:val="310"/>
        </w:trPr>
        <w:tc>
          <w:tcPr>
            <w:tcW w:w="895" w:type="pct"/>
            <w:tcBorders>
              <w:right w:val="single" w:sz="8" w:space="0" w:color="auto"/>
            </w:tcBorders>
            <w:shd w:val="clear" w:color="auto" w:fill="auto"/>
            <w:noWrap/>
            <w:vAlign w:val="center"/>
            <w:hideMark/>
          </w:tcPr>
          <w:p w14:paraId="19002A29" w14:textId="77777777" w:rsidR="006A1E80" w:rsidRPr="00B856BD" w:rsidRDefault="006A1E80" w:rsidP="006A1E80">
            <w:pPr>
              <w:pStyle w:val="af9"/>
              <w:rPr>
                <w:szCs w:val="16"/>
              </w:rPr>
            </w:pPr>
            <w:r w:rsidRPr="00B856BD">
              <w:rPr>
                <w:szCs w:val="16"/>
              </w:rPr>
              <w:t>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A62EC3">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A62EC3">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A62EC3">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A62EC3">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A62EC3">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A62EC3">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A62EC3">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325FCDD2"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BD04B9">
        <w:rPr>
          <w:rFonts w:hint="eastAsia"/>
        </w:rPr>
        <w:t>表</w:t>
      </w:r>
      <w:r w:rsidR="00BD04B9">
        <w:rPr>
          <w:rFonts w:hint="eastAsia"/>
        </w:rPr>
        <w:t>5-</w:t>
      </w:r>
      <w:r w:rsidR="00BD04B9">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043CEE19" w:rsidR="00F36EA6" w:rsidRDefault="00F36EA6" w:rsidP="00F36EA6">
      <w:pPr>
        <w:pStyle w:val="a9"/>
        <w:keepNext/>
        <w:spacing w:before="180" w:after="180"/>
      </w:pPr>
      <w:bookmarkStart w:id="38" w:name="_Ref189451908"/>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9</w:t>
      </w:r>
      <w:r w:rsidR="002406B3">
        <w:fldChar w:fldCharType="end"/>
      </w:r>
      <w:bookmarkEnd w:id="38"/>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7E4761">
            <w:pPr>
              <w:pStyle w:val="af9"/>
              <w:jc w:val="center"/>
            </w:pPr>
            <w:r w:rsidRPr="00DB54B6">
              <w:t>MSE</w:t>
            </w:r>
          </w:p>
        </w:tc>
      </w:tr>
      <w:tr w:rsidR="002D0E3A" w:rsidRPr="00DB54B6" w14:paraId="1218242B" w14:textId="77777777" w:rsidTr="006D6876">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6D6876">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6D6876">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1A6EFC82" w:rsidR="00F008C1" w:rsidRDefault="00F008C1" w:rsidP="00F008C1">
      <w:pPr>
        <w:pStyle w:val="3"/>
        <w:spacing w:before="180" w:after="180"/>
      </w:pPr>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61DE60CC" w:rsidR="00B079F1" w:rsidRPr="00B079F1" w:rsidRDefault="00B079F1" w:rsidP="00B079F1">
      <w:pPr>
        <w:spacing w:before="180" w:after="180"/>
        <w:ind w:firstLine="480"/>
      </w:pPr>
      <w:r w:rsidRPr="00B079F1">
        <w:t>其次，在變數預測能力方面，兩種方法雖然皆選用偏態（</w:t>
      </w:r>
      <w:r w:rsidRPr="00B079F1">
        <w:t>Skewness</w:t>
      </w:r>
      <w:r w:rsidRPr="00B079F1">
        <w:t>）、中位數（</w:t>
      </w:r>
      <w:r w:rsidRPr="00B079F1">
        <w:t>Median</w:t>
      </w:r>
      <w:r w:rsidRPr="00B079F1">
        <w:t>）及前四期報酬率（</w:t>
      </w:r>
      <w:r w:rsidRPr="00B079F1">
        <w:t>T-4 Return</w:t>
      </w:r>
      <w:r w:rsidRPr="00B079F1">
        <w:t>）作為預測變數，但其統計顯著性與影響方向卻有所不同。單點配適法下，三個變數皆達統計顯著水準（偏態與前四期報酬率在</w:t>
      </w:r>
      <w:r w:rsidRPr="00B079F1">
        <w:t>10%</w:t>
      </w:r>
      <w:r>
        <w:rPr>
          <w:rFonts w:hint="eastAsia"/>
        </w:rPr>
        <w:t xml:space="preserve"> </w:t>
      </w:r>
      <w:r w:rsidRPr="00B079F1">
        <w:t>顯著水準下顯著，中位數在</w:t>
      </w:r>
      <w:r w:rsidRPr="00B079F1">
        <w:t>5%</w:t>
      </w:r>
      <w:r>
        <w:rPr>
          <w:rFonts w:hint="eastAsia"/>
        </w:rPr>
        <w:t xml:space="preserve"> </w:t>
      </w:r>
      <w:r w:rsidRPr="00B079F1">
        <w:t>顯著水準下顯著），</w:t>
      </w:r>
      <w:proofErr w:type="gramStart"/>
      <w:r w:rsidRPr="00B079F1">
        <w:t>且偏態</w:t>
      </w:r>
      <w:proofErr w:type="gramEnd"/>
      <w:r w:rsidRPr="00B079F1">
        <w:t>與前四期報酬率呈現正向影響，中位數</w:t>
      </w:r>
      <w:proofErr w:type="gramStart"/>
      <w:r w:rsidRPr="00B079F1">
        <w:t>則具負向</w:t>
      </w:r>
      <w:proofErr w:type="gramEnd"/>
      <w:r w:rsidRPr="00B079F1">
        <w:t>影響。反觀</w:t>
      </w:r>
      <w:proofErr w:type="gramStart"/>
      <w:r w:rsidRPr="00B079F1">
        <w:t>雙點配適</w:t>
      </w:r>
      <w:proofErr w:type="gramEnd"/>
      <w:r w:rsidRPr="00B079F1">
        <w:t>法，偏態變數不具顯著性，僅中位數與前四期報酬率維持顯著水準，顯示單點配適法能更有效地捕捉市場偏態特徵對價格走勢的影響。</w:t>
      </w:r>
    </w:p>
    <w:p w14:paraId="787C7CD8" w14:textId="6E6C1FC0" w:rsidR="00B079F1" w:rsidRDefault="00B079F1" w:rsidP="00B079F1">
      <w:pPr>
        <w:spacing w:before="180" w:after="180"/>
        <w:ind w:firstLine="480"/>
      </w:pPr>
      <w:r>
        <w:rPr>
          <w:rFonts w:hint="eastAsia"/>
        </w:rPr>
        <w:t>最後</w:t>
      </w: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7F58F94A" w14:textId="16F0D415" w:rsidR="00B70483" w:rsidRPr="00B079F1" w:rsidRDefault="00B70483" w:rsidP="00B079F1">
      <w:pPr>
        <w:spacing w:before="180" w:after="180"/>
        <w:ind w:firstLine="480"/>
      </w:pPr>
      <w:r w:rsidRPr="00B70483">
        <w:t>綜上所述，本研究發現在預測比</w:t>
      </w:r>
      <w:proofErr w:type="gramStart"/>
      <w:r w:rsidRPr="00B70483">
        <w:t>特幣日</w:t>
      </w:r>
      <w:proofErr w:type="gramEnd"/>
      <w:r w:rsidRPr="00B70483">
        <w:t>報酬率時，單點配適法</w:t>
      </w:r>
      <w:proofErr w:type="gramStart"/>
      <w:r w:rsidRPr="00B70483">
        <w:t>較雙點配適</w:t>
      </w:r>
      <w:proofErr w:type="gramEnd"/>
      <w:r w:rsidRPr="00B70483">
        <w:t>法具</w:t>
      </w:r>
      <w:r w:rsidRPr="00B70483">
        <w:lastRenderedPageBreak/>
        <w:t>有以下優勢：</w:t>
      </w:r>
      <w:r w:rsidRPr="00B70483">
        <w:t>(1)</w:t>
      </w:r>
      <w:r>
        <w:rPr>
          <w:rFonts w:hint="eastAsia"/>
        </w:rPr>
        <w:t xml:space="preserve"> </w:t>
      </w:r>
      <w:proofErr w:type="gramStart"/>
      <w:r w:rsidRPr="00B70483">
        <w:t>樣本配適的</w:t>
      </w:r>
      <w:proofErr w:type="gramEnd"/>
      <w:r w:rsidRPr="00B70483">
        <w:t>穩定性較高；</w:t>
      </w:r>
      <w:r w:rsidRPr="00B70483">
        <w:t>(2)</w:t>
      </w:r>
      <w:r>
        <w:rPr>
          <w:rFonts w:hint="eastAsia"/>
        </w:rPr>
        <w:t xml:space="preserve"> </w:t>
      </w:r>
      <w:r w:rsidRPr="00B70483">
        <w:t>能更有效捕捉市場偏態特徵；</w:t>
      </w:r>
      <w:r w:rsidRPr="00B70483">
        <w:t>(3)</w:t>
      </w:r>
      <w:r>
        <w:rPr>
          <w:rFonts w:hint="eastAsia"/>
        </w:rPr>
        <w:t xml:space="preserve"> </w:t>
      </w:r>
      <w:r w:rsidRPr="00B70483">
        <w:t>模型預測能力較佳</w:t>
      </w:r>
      <w:r>
        <w:rPr>
          <w:rFonts w:hint="eastAsia"/>
        </w:rPr>
        <w:t>。</w:t>
      </w:r>
    </w:p>
    <w:p w14:paraId="47DD06AD" w14:textId="14F017DE" w:rsidR="00F008C1" w:rsidRDefault="00F008C1" w:rsidP="00B079F1">
      <w:pPr>
        <w:pStyle w:val="2"/>
      </w:pPr>
      <w:r>
        <w:rPr>
          <w:rFonts w:hint="eastAsia"/>
        </w:rPr>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p>
    <w:p w14:paraId="4D56B895" w14:textId="1A39CF15" w:rsidR="00F008C1" w:rsidRDefault="00F008C1" w:rsidP="00F008C1">
      <w:pPr>
        <w:pStyle w:val="3"/>
        <w:spacing w:before="180" w:after="180"/>
      </w:pPr>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p>
    <w:p w14:paraId="3DCF91C8" w14:textId="22823742"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BD04B9">
        <w:rPr>
          <w:rFonts w:hint="eastAsia"/>
        </w:rPr>
        <w:t>表</w:t>
      </w:r>
      <w:r w:rsidR="00BD04B9">
        <w:rPr>
          <w:rFonts w:hint="eastAsia"/>
        </w:rPr>
        <w:t>5-</w:t>
      </w:r>
      <w:r w:rsidR="00BD04B9">
        <w:rPr>
          <w:noProof/>
        </w:rPr>
        <w:t>10</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0E7D0C3A" w:rsidR="002D0E3A" w:rsidRDefault="002D0E3A" w:rsidP="002D0E3A">
      <w:pPr>
        <w:pStyle w:val="a9"/>
        <w:keepNext/>
        <w:spacing w:before="180" w:after="180"/>
      </w:pPr>
      <w:bookmarkStart w:id="39" w:name="_Ref18945444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10</w:t>
      </w:r>
      <w:r w:rsidR="002406B3">
        <w:fldChar w:fldCharType="end"/>
      </w:r>
      <w:bookmarkEnd w:id="39"/>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7E4761">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77777777" w:rsidR="006129FC" w:rsidRPr="00DB4B95" w:rsidRDefault="006129FC" w:rsidP="006129FC">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34C4CF1D"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BD04B9">
        <w:rPr>
          <w:rFonts w:hint="eastAsia"/>
        </w:rPr>
        <w:t>表</w:t>
      </w:r>
      <w:r w:rsidR="00BD04B9">
        <w:rPr>
          <w:rFonts w:hint="eastAsia"/>
        </w:rPr>
        <w:t>5-</w:t>
      </w:r>
      <w:r w:rsidR="00BD04B9">
        <w:rPr>
          <w:noProof/>
        </w:rPr>
        <w:t>11</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745A5B83" w:rsidR="002D0E3A" w:rsidRDefault="002D0E3A" w:rsidP="002D0E3A">
      <w:pPr>
        <w:pStyle w:val="a9"/>
        <w:keepNext/>
        <w:spacing w:before="180" w:after="180"/>
      </w:pPr>
      <w:bookmarkStart w:id="40" w:name="_Ref18945473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11</w:t>
      </w:r>
      <w:r w:rsidR="002406B3">
        <w:fldChar w:fldCharType="end"/>
      </w:r>
      <w:bookmarkEnd w:id="40"/>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7E4761">
            <w:pPr>
              <w:pStyle w:val="af9"/>
              <w:jc w:val="center"/>
              <w:rPr>
                <w:szCs w:val="16"/>
              </w:rPr>
            </w:pPr>
            <w:r w:rsidRPr="00987DA1">
              <w:rPr>
                <w:szCs w:val="16"/>
              </w:rPr>
              <w:t>R-squared</w:t>
            </w:r>
          </w:p>
        </w:tc>
      </w:tr>
      <w:tr w:rsidR="00A56D4E" w:rsidRPr="00987DA1" w14:paraId="697F8F6B" w14:textId="77777777" w:rsidTr="00A928AF">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A928AF">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A928AF">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A928AF">
        <w:trPr>
          <w:trHeight w:val="310"/>
        </w:trPr>
        <w:tc>
          <w:tcPr>
            <w:tcW w:w="892" w:type="pct"/>
            <w:tcBorders>
              <w:right w:val="single" w:sz="8" w:space="0" w:color="auto"/>
            </w:tcBorders>
            <w:shd w:val="clear" w:color="auto" w:fill="auto"/>
            <w:noWrap/>
            <w:vAlign w:val="center"/>
            <w:hideMark/>
          </w:tcPr>
          <w:p w14:paraId="1824AC82" w14:textId="77777777" w:rsidR="00A56D4E" w:rsidRPr="00987DA1" w:rsidRDefault="00A56D4E" w:rsidP="00A56D4E">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A928AF">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A928AF">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A928AF">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A928AF">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A928AF">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A928AF">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A928AF">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3DE8D4FF"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BD04B9">
        <w:rPr>
          <w:rFonts w:hint="eastAsia"/>
        </w:rPr>
        <w:t>附表</w:t>
      </w:r>
      <w:r w:rsidR="00BD04B9">
        <w:rPr>
          <w:noProof/>
        </w:rPr>
        <w:t>6</w:t>
      </w:r>
      <w:r>
        <w:fldChar w:fldCharType="end"/>
      </w:r>
      <w:r w:rsidRPr="002A67DD">
        <w:t>至</w:t>
      </w:r>
      <w:r>
        <w:fldChar w:fldCharType="begin"/>
      </w:r>
      <w:r>
        <w:instrText xml:space="preserve"> REF _Ref189455847 \h </w:instrText>
      </w:r>
      <w:r>
        <w:fldChar w:fldCharType="separate"/>
      </w:r>
      <w:r w:rsidR="00BD04B9">
        <w:rPr>
          <w:rFonts w:hint="eastAsia"/>
        </w:rPr>
        <w:t>附表</w:t>
      </w:r>
      <w:r w:rsidR="00BD04B9">
        <w:rPr>
          <w:noProof/>
        </w:rPr>
        <w:t>8</w:t>
      </w:r>
      <w:r>
        <w:fldChar w:fldCharType="end"/>
      </w:r>
      <w:r w:rsidRPr="002A67DD">
        <w:t>。此現象顯示，單純增加變數數量並無法有效提升模型的預測能力，反而可能導致模型過度擬合的問題。</w:t>
      </w:r>
    </w:p>
    <w:p w14:paraId="4F8D3FD5" w14:textId="6A431209"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Pr="002A67DD">
        <w:t>超額峰度</w:t>
      </w:r>
      <w:proofErr w:type="gramEnd"/>
      <w:r w:rsidRPr="002A67DD">
        <w:t>（</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BD04B9">
        <w:rPr>
          <w:rFonts w:hint="eastAsia"/>
        </w:rPr>
        <w:t>表</w:t>
      </w:r>
      <w:r w:rsidR="00BD04B9">
        <w:rPr>
          <w:rFonts w:hint="eastAsia"/>
        </w:rPr>
        <w:t>5-</w:t>
      </w:r>
      <w:r w:rsidR="00BD04B9">
        <w:rPr>
          <w:noProof/>
        </w:rPr>
        <w:t>12</w:t>
      </w:r>
      <w:r>
        <w:fldChar w:fldCharType="end"/>
      </w:r>
      <w:r w:rsidRPr="002A67DD">
        <w:t>。</w:t>
      </w:r>
    </w:p>
    <w:p w14:paraId="73662678" w14:textId="04EF76C7" w:rsidR="002D0E3A" w:rsidRDefault="002D0E3A" w:rsidP="002D0E3A">
      <w:pPr>
        <w:pStyle w:val="a9"/>
        <w:keepNext/>
        <w:spacing w:before="180" w:after="180"/>
      </w:pPr>
      <w:bookmarkStart w:id="41" w:name="_Ref18945662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12</w:t>
      </w:r>
      <w:r w:rsidR="002406B3">
        <w:fldChar w:fldCharType="end"/>
      </w:r>
      <w:bookmarkEnd w:id="41"/>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7E4761">
            <w:pPr>
              <w:pStyle w:val="af9"/>
              <w:jc w:val="center"/>
            </w:pPr>
            <w:r w:rsidRPr="00DB54B6">
              <w:t>MSE</w:t>
            </w:r>
          </w:p>
        </w:tc>
      </w:tr>
      <w:tr w:rsidR="00653EE0" w:rsidRPr="00DB54B6" w14:paraId="6A9A9F2F" w14:textId="77777777" w:rsidTr="0032590B">
        <w:trPr>
          <w:trHeight w:val="310"/>
        </w:trPr>
        <w:tc>
          <w:tcPr>
            <w:tcW w:w="935" w:type="pct"/>
            <w:tcBorders>
              <w:top w:val="single" w:sz="8" w:space="0" w:color="auto"/>
              <w:right w:val="single" w:sz="8" w:space="0" w:color="auto"/>
            </w:tcBorders>
            <w:shd w:val="clear" w:color="auto" w:fill="auto"/>
            <w:noWrap/>
            <w:hideMark/>
          </w:tcPr>
          <w:p w14:paraId="7590D7E6" w14:textId="562F49F2" w:rsidR="00653EE0" w:rsidRPr="00DB54B6" w:rsidRDefault="00653EE0" w:rsidP="00653EE0">
            <w:pPr>
              <w:pStyle w:val="af9"/>
            </w:pPr>
            <w:r w:rsidRPr="001639B4">
              <w:t>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32590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32590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r>
        <w:rPr>
          <w:rFonts w:hint="eastAsia"/>
        </w:rPr>
        <w:lastRenderedPageBreak/>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p>
    <w:p w14:paraId="14C9629D" w14:textId="1C3B9840"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BD04B9">
        <w:rPr>
          <w:rFonts w:hint="eastAsia"/>
        </w:rPr>
        <w:t>表</w:t>
      </w:r>
      <w:r w:rsidR="00BD04B9">
        <w:rPr>
          <w:rFonts w:hint="eastAsia"/>
        </w:rPr>
        <w:t>5-</w:t>
      </w:r>
      <w:r w:rsidR="00BD04B9">
        <w:rPr>
          <w:noProof/>
        </w:rPr>
        <w:t>13</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04B15F12" w:rsidR="00556A6A" w:rsidRDefault="00556A6A" w:rsidP="00556A6A">
      <w:pPr>
        <w:pStyle w:val="a9"/>
        <w:keepNext/>
        <w:spacing w:before="180" w:after="180"/>
      </w:pPr>
      <w:bookmarkStart w:id="42" w:name="_Ref18945703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13</w:t>
      </w:r>
      <w:r w:rsidR="002406B3">
        <w:fldChar w:fldCharType="end"/>
      </w:r>
      <w:bookmarkEnd w:id="42"/>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7E4761">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7E4761">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7E4761">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7E4761">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7777777" w:rsidR="00556A6A" w:rsidRPr="00DB4B95" w:rsidRDefault="00556A6A" w:rsidP="00556A6A">
            <w:pPr>
              <w:pStyle w:val="af9"/>
              <w:rPr>
                <w:szCs w:val="16"/>
              </w:rPr>
            </w:pPr>
            <w:r w:rsidRPr="00DB4B95">
              <w:rPr>
                <w:szCs w:val="16"/>
              </w:rPr>
              <w:t>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7031D7F8"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BD04B9">
        <w:rPr>
          <w:rFonts w:hint="eastAsia"/>
        </w:rPr>
        <w:t>表</w:t>
      </w:r>
      <w:r w:rsidR="00BD04B9">
        <w:rPr>
          <w:rFonts w:hint="eastAsia"/>
        </w:rPr>
        <w:t>5-</w:t>
      </w:r>
      <w:r w:rsidR="00BD04B9">
        <w:rPr>
          <w:noProof/>
        </w:rPr>
        <w:t>14</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33C5A22D" w:rsidR="00556A6A" w:rsidRDefault="00556A6A" w:rsidP="00556A6A">
      <w:pPr>
        <w:pStyle w:val="a9"/>
        <w:keepNext/>
        <w:spacing w:before="180" w:after="180"/>
      </w:pPr>
      <w:bookmarkStart w:id="43" w:name="_Ref18945745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14</w:t>
      </w:r>
      <w:r w:rsidR="002406B3">
        <w:fldChar w:fldCharType="end"/>
      </w:r>
      <w:bookmarkEnd w:id="43"/>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7E4761">
            <w:pPr>
              <w:pStyle w:val="af9"/>
              <w:jc w:val="center"/>
              <w:rPr>
                <w:szCs w:val="16"/>
              </w:rPr>
            </w:pPr>
            <w:r w:rsidRPr="00987DA1">
              <w:rPr>
                <w:szCs w:val="16"/>
              </w:rPr>
              <w:t>R-squared</w:t>
            </w:r>
          </w:p>
        </w:tc>
      </w:tr>
      <w:tr w:rsidR="00360605" w:rsidRPr="00987DA1" w14:paraId="47519351" w14:textId="77777777" w:rsidTr="007E4761">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7E4761">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7E4761">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7E4761">
        <w:trPr>
          <w:trHeight w:val="310"/>
        </w:trPr>
        <w:tc>
          <w:tcPr>
            <w:tcW w:w="892" w:type="pct"/>
            <w:tcBorders>
              <w:right w:val="single" w:sz="8" w:space="0" w:color="auto"/>
            </w:tcBorders>
            <w:shd w:val="clear" w:color="auto" w:fill="auto"/>
            <w:noWrap/>
            <w:vAlign w:val="center"/>
            <w:hideMark/>
          </w:tcPr>
          <w:p w14:paraId="507F0D7B" w14:textId="77777777" w:rsidR="00360605" w:rsidRPr="00987DA1" w:rsidRDefault="00360605" w:rsidP="00360605">
            <w:pPr>
              <w:pStyle w:val="af9"/>
              <w:rPr>
                <w:szCs w:val="16"/>
              </w:rPr>
            </w:pPr>
            <w:r w:rsidRPr="00987DA1">
              <w:rPr>
                <w:szCs w:val="16"/>
              </w:rPr>
              <w:lastRenderedPageBreak/>
              <w:t>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7E4761">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7E4761">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7E4761">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7E4761">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7E4761">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7E4761">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7E4761">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66D1D43C"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BD04B9">
        <w:rPr>
          <w:rFonts w:hint="eastAsia"/>
        </w:rPr>
        <w:t>附表</w:t>
      </w:r>
      <w:r w:rsidR="00BD04B9">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BD04B9">
        <w:rPr>
          <w:rFonts w:hint="eastAsia"/>
        </w:rPr>
        <w:t>附表</w:t>
      </w:r>
      <w:r w:rsidR="00BD04B9">
        <w:rPr>
          <w:noProof/>
        </w:rPr>
        <w:t>8</w:t>
      </w:r>
      <w:r w:rsidR="00556A6A">
        <w:fldChar w:fldCharType="end"/>
      </w:r>
      <w:r w:rsidR="00556A6A" w:rsidRPr="002A67DD">
        <w:t>。</w:t>
      </w:r>
    </w:p>
    <w:p w14:paraId="75C7163E" w14:textId="12B79AE9" w:rsidR="00556A6A" w:rsidRPr="002A67DD" w:rsidRDefault="00F22A38" w:rsidP="00F22A38">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BD04B9">
        <w:rPr>
          <w:rFonts w:hint="eastAsia"/>
        </w:rPr>
        <w:t>表</w:t>
      </w:r>
      <w:r w:rsidR="00BD04B9">
        <w:rPr>
          <w:rFonts w:hint="eastAsia"/>
        </w:rPr>
        <w:t>5-</w:t>
      </w:r>
      <w:r w:rsidR="00BD04B9">
        <w:rPr>
          <w:noProof/>
        </w:rPr>
        <w:t>15</w:t>
      </w:r>
      <w:r>
        <w:fldChar w:fldCharType="end"/>
      </w:r>
      <w:r>
        <w:rPr>
          <w:rFonts w:hint="eastAsia"/>
        </w:rPr>
        <w:t>，變數顯著性與模型預測能力皆與單點配適法模型相仿。</w:t>
      </w:r>
    </w:p>
    <w:p w14:paraId="71AD3AA3" w14:textId="4CA037B8" w:rsidR="00556A6A" w:rsidRDefault="00556A6A" w:rsidP="00556A6A">
      <w:pPr>
        <w:pStyle w:val="a9"/>
        <w:keepNext/>
        <w:spacing w:before="180" w:after="180"/>
      </w:pPr>
      <w:bookmarkStart w:id="44" w:name="_Ref1894579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D04B9">
        <w:rPr>
          <w:noProof/>
        </w:rPr>
        <w:t>15</w:t>
      </w:r>
      <w:r w:rsidR="002406B3">
        <w:fldChar w:fldCharType="end"/>
      </w:r>
      <w:bookmarkEnd w:id="44"/>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7E4761">
            <w:pPr>
              <w:pStyle w:val="af9"/>
              <w:jc w:val="center"/>
            </w:pPr>
            <w:r w:rsidRPr="00DB54B6">
              <w:t>MSE</w:t>
            </w:r>
          </w:p>
        </w:tc>
      </w:tr>
      <w:tr w:rsidR="00556A6A" w:rsidRPr="00DB54B6" w14:paraId="280095AA" w14:textId="77777777" w:rsidTr="007E4761">
        <w:trPr>
          <w:trHeight w:val="310"/>
        </w:trPr>
        <w:tc>
          <w:tcPr>
            <w:tcW w:w="935" w:type="pct"/>
            <w:tcBorders>
              <w:top w:val="single" w:sz="8" w:space="0" w:color="auto"/>
              <w:right w:val="single" w:sz="8" w:space="0" w:color="auto"/>
            </w:tcBorders>
            <w:shd w:val="clear" w:color="auto" w:fill="auto"/>
            <w:noWrap/>
            <w:hideMark/>
          </w:tcPr>
          <w:p w14:paraId="5F39CB39" w14:textId="77777777" w:rsidR="00556A6A" w:rsidRPr="00DB54B6" w:rsidRDefault="00556A6A" w:rsidP="007E4761">
            <w:pPr>
              <w:pStyle w:val="af9"/>
            </w:pPr>
            <w:r w:rsidRPr="001639B4">
              <w:t>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7E4761">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7E4761">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7E4761">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7E4761">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7E4761">
            <w:pPr>
              <w:pStyle w:val="af9"/>
              <w:jc w:val="right"/>
            </w:pPr>
            <w:r w:rsidRPr="00DD3DE5">
              <w:t>0.9256</w:t>
            </w:r>
          </w:p>
        </w:tc>
      </w:tr>
      <w:tr w:rsidR="00556A6A" w:rsidRPr="00DB54B6" w14:paraId="63E0222A" w14:textId="77777777" w:rsidTr="007E4761">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7E4761">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7E4761">
            <w:pPr>
              <w:pStyle w:val="af9"/>
              <w:jc w:val="right"/>
            </w:pPr>
            <w:r w:rsidRPr="00DD3DE5">
              <w:t>-0.2706</w:t>
            </w:r>
          </w:p>
        </w:tc>
        <w:tc>
          <w:tcPr>
            <w:tcW w:w="774" w:type="pct"/>
            <w:shd w:val="clear" w:color="auto" w:fill="auto"/>
            <w:noWrap/>
            <w:hideMark/>
          </w:tcPr>
          <w:p w14:paraId="11A70BB8" w14:textId="77777777" w:rsidR="00556A6A" w:rsidRPr="00DB54B6" w:rsidRDefault="00556A6A" w:rsidP="007E4761">
            <w:pPr>
              <w:pStyle w:val="af9"/>
              <w:jc w:val="right"/>
            </w:pPr>
            <w:r w:rsidRPr="00DD3DE5">
              <w:t>0.0144</w:t>
            </w:r>
          </w:p>
        </w:tc>
        <w:tc>
          <w:tcPr>
            <w:tcW w:w="807" w:type="pct"/>
            <w:shd w:val="clear" w:color="auto" w:fill="auto"/>
            <w:noWrap/>
            <w:hideMark/>
          </w:tcPr>
          <w:p w14:paraId="507949BD" w14:textId="77777777" w:rsidR="00556A6A" w:rsidRPr="00DB54B6" w:rsidRDefault="00556A6A" w:rsidP="007E4761">
            <w:pPr>
              <w:pStyle w:val="af9"/>
            </w:pPr>
            <w:r w:rsidRPr="00DD3DE5">
              <w:t>**</w:t>
            </w:r>
          </w:p>
        </w:tc>
        <w:tc>
          <w:tcPr>
            <w:tcW w:w="818" w:type="pct"/>
            <w:shd w:val="clear" w:color="auto" w:fill="auto"/>
            <w:noWrap/>
            <w:hideMark/>
          </w:tcPr>
          <w:p w14:paraId="580EC4D4" w14:textId="77777777" w:rsidR="00556A6A" w:rsidRPr="00DB54B6" w:rsidRDefault="00556A6A" w:rsidP="007E4761">
            <w:pPr>
              <w:pStyle w:val="af9"/>
            </w:pPr>
          </w:p>
        </w:tc>
        <w:tc>
          <w:tcPr>
            <w:tcW w:w="774" w:type="pct"/>
            <w:shd w:val="clear" w:color="auto" w:fill="auto"/>
            <w:noWrap/>
            <w:hideMark/>
          </w:tcPr>
          <w:p w14:paraId="49A1EBCE" w14:textId="77777777" w:rsidR="00556A6A" w:rsidRPr="00DB54B6" w:rsidRDefault="00556A6A" w:rsidP="007E4761">
            <w:pPr>
              <w:pStyle w:val="af9"/>
            </w:pPr>
          </w:p>
        </w:tc>
      </w:tr>
      <w:tr w:rsidR="00556A6A" w:rsidRPr="00DB54B6" w14:paraId="4AB8D293" w14:textId="77777777" w:rsidTr="007E4761">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7E4761">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7E4761">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7E4761">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7E4761">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7E4761">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7E4761">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法皆能有效捕捉市場資訊。此結果與日報酬率預測時所觀察到的差異形成對比，推測其原因可能為：</w:t>
      </w:r>
      <w:proofErr w:type="gramStart"/>
      <w:r w:rsidRPr="00B74C6F">
        <w:t>週</w:t>
      </w:r>
      <w:proofErr w:type="gramEnd"/>
      <w:r w:rsidRPr="00B74C6F">
        <w:t>報酬率之預測區間較</w:t>
      </w:r>
      <w:r w:rsidRPr="00B74C6F">
        <w:lastRenderedPageBreak/>
        <w:t>長，使得</w:t>
      </w:r>
      <w:proofErr w:type="gramStart"/>
      <w:r w:rsidRPr="00B74C6F">
        <w:t>尾部配適方法</w:t>
      </w:r>
      <w:proofErr w:type="gramEnd"/>
      <w:r w:rsidRPr="00B74C6F">
        <w:t>對整體預測結果的影響程度相對降低。</w:t>
      </w:r>
    </w:p>
    <w:p w14:paraId="42613C16" w14:textId="77777777" w:rsidR="00B74C6F" w:rsidRDefault="00B74C6F" w:rsidP="00B74C6F">
      <w:pPr>
        <w:spacing w:before="180" w:after="180"/>
        <w:ind w:firstLine="480"/>
      </w:pPr>
      <w:r w:rsidRPr="00B74C6F">
        <w:t>在模型預測效果方面，兩種方法皆選取</w:t>
      </w:r>
      <w:proofErr w:type="gramStart"/>
      <w:r w:rsidRPr="00B74C6F">
        <w:t>超額峰度</w:t>
      </w:r>
      <w:proofErr w:type="gramEnd"/>
      <w:r w:rsidRPr="00B74C6F">
        <w:t>（</w:t>
      </w:r>
      <w:r w:rsidRPr="00B74C6F">
        <w:t>Kurtosis</w:t>
      </w:r>
      <w:r w:rsidRPr="00B74C6F">
        <w:t>）、中位數（</w:t>
      </w:r>
      <w:r w:rsidRPr="00B74C6F">
        <w:t>Median</w:t>
      </w:r>
      <w:r w:rsidRPr="00B74C6F">
        <w:t>）及加密貨幣恐懼貪婪指數（</w:t>
      </w:r>
      <w:r w:rsidRPr="00B74C6F">
        <w:t>Fear and Greed Index</w:t>
      </w:r>
      <w:r w:rsidRPr="00B74C6F">
        <w:t>）作為最佳預測變數組合，且模型之解釋能力（</w:t>
      </w:r>
      <w:r w:rsidRPr="00B74C6F">
        <w:t>R-squared = 0.0666</w:t>
      </w:r>
      <w:r w:rsidRPr="00B74C6F">
        <w:t>）與預測誤差（</w:t>
      </w:r>
      <w:r w:rsidRPr="00B74C6F">
        <w:t>MSE = 0.9256</w:t>
      </w:r>
      <w:r w:rsidRPr="00B74C6F">
        <w:t>）完全相同。</w:t>
      </w:r>
    </w:p>
    <w:p w14:paraId="56411E6E" w14:textId="0D678E32" w:rsidR="00655F06" w:rsidRDefault="00B74C6F" w:rsidP="00B74C6F">
      <w:pPr>
        <w:spacing w:before="180" w:after="180"/>
        <w:ind w:firstLine="480"/>
      </w:pPr>
      <w:r>
        <w:rPr>
          <w:rFonts w:hint="eastAsia"/>
        </w:rPr>
        <w:t>綜上所述，本研究發現</w:t>
      </w:r>
      <w:r w:rsidRPr="00B74C6F">
        <w:t>在預測</w:t>
      </w:r>
      <w:proofErr w:type="gramStart"/>
      <w:r w:rsidRPr="00B74C6F">
        <w:t>週</w:t>
      </w:r>
      <w:proofErr w:type="gramEnd"/>
      <w:r w:rsidRPr="00B74C6F">
        <w:t>報酬率時，單點配適法不僅能達到與</w:t>
      </w:r>
      <w:proofErr w:type="gramStart"/>
      <w:r w:rsidRPr="00B74C6F">
        <w:t>雙點配適</w:t>
      </w:r>
      <w:proofErr w:type="gramEnd"/>
      <w:r w:rsidRPr="00B74C6F">
        <w:t>法相同的預測效果，更具有計算效率之優勢。</w:t>
      </w:r>
    </w:p>
    <w:p w14:paraId="42F96B8C" w14:textId="1ACD4743" w:rsidR="00BA3834" w:rsidRDefault="00BA3834" w:rsidP="00BA3834">
      <w:pPr>
        <w:pStyle w:val="2"/>
      </w:pPr>
      <w:r>
        <w:rPr>
          <w:rFonts w:hint="eastAsia"/>
        </w:rPr>
        <w:t>5.4</w:t>
      </w:r>
      <w:r>
        <w:rPr>
          <w:rFonts w:hint="eastAsia"/>
        </w:rPr>
        <w:t>小結</w:t>
      </w:r>
    </w:p>
    <w:p w14:paraId="0839C8AC" w14:textId="5033A643" w:rsidR="00BA3834" w:rsidRDefault="00BA3834" w:rsidP="00BA3834">
      <w:pPr>
        <w:spacing w:before="180" w:after="180"/>
        <w:ind w:firstLine="480"/>
      </w:pPr>
      <w:r>
        <w:rPr>
          <w:rFonts w:hint="eastAsia"/>
        </w:rPr>
        <w:t>本章透過實證分析比較單點配適法與</w:t>
      </w:r>
      <w:proofErr w:type="gramStart"/>
      <w:r>
        <w:rPr>
          <w:rFonts w:hint="eastAsia"/>
        </w:rPr>
        <w:t>雙點配適</w:t>
      </w:r>
      <w:proofErr w:type="gramEnd"/>
      <w:r>
        <w:rPr>
          <w:rFonts w:hint="eastAsia"/>
        </w:rPr>
        <w:t>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w:t>
      </w:r>
      <w:proofErr w:type="gramStart"/>
      <w:r>
        <w:rPr>
          <w:rFonts w:hint="eastAsia"/>
        </w:rPr>
        <w:t>雙點配適</w:t>
      </w:r>
      <w:proofErr w:type="gramEnd"/>
      <w:r>
        <w:rPr>
          <w:rFonts w:hint="eastAsia"/>
        </w:rPr>
        <w:t>法。首先，在樣本完整性方面，單點配適法（</w:t>
      </w:r>
      <w:r>
        <w:rPr>
          <w:rFonts w:hint="eastAsia"/>
        </w:rPr>
        <w:t>832</w:t>
      </w:r>
      <w:r>
        <w:rPr>
          <w:rFonts w:hint="eastAsia"/>
        </w:rPr>
        <w:t>個）</w:t>
      </w:r>
      <w:proofErr w:type="gramStart"/>
      <w:r>
        <w:rPr>
          <w:rFonts w:hint="eastAsia"/>
        </w:rPr>
        <w:t>較雙點配適</w:t>
      </w:r>
      <w:proofErr w:type="gramEnd"/>
      <w:r>
        <w:rPr>
          <w:rFonts w:hint="eastAsia"/>
        </w:rPr>
        <w:t>法（</w:t>
      </w:r>
      <w:r>
        <w:rPr>
          <w:rFonts w:hint="eastAsia"/>
        </w:rPr>
        <w:t>831</w:t>
      </w:r>
      <w:r>
        <w:rPr>
          <w:rFonts w:hint="eastAsia"/>
        </w:rPr>
        <w:t>個）能保留更多有效樣本，顯示其在處理極端市場情境時具有較佳的穩定性。其次，在變數預測能力方面，單點配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w:t>
      </w:r>
      <w:proofErr w:type="gramStart"/>
      <w:r>
        <w:rPr>
          <w:rFonts w:hint="eastAsia"/>
        </w:rPr>
        <w:t>雙點配適</w:t>
      </w:r>
      <w:proofErr w:type="gramEnd"/>
      <w:r>
        <w:rPr>
          <w:rFonts w:hint="eastAsia"/>
        </w:rPr>
        <w:t>法（</w:t>
      </w:r>
      <w:r>
        <w:rPr>
          <w:rFonts w:hint="eastAsia"/>
        </w:rPr>
        <w:t>R-squared = 0.0098</w:t>
      </w:r>
      <w:r>
        <w:rPr>
          <w:rFonts w:hint="eastAsia"/>
        </w:rPr>
        <w:t>）。此結果顯示單點配適法更能有效捕捉市場短期波動特徵。</w:t>
      </w:r>
    </w:p>
    <w:p w14:paraId="4DF4DB15" w14:textId="4D54D500" w:rsidR="00BA3834" w:rsidRDefault="00BA3834" w:rsidP="00BA3834">
      <w:pPr>
        <w:spacing w:before="180" w:after="180"/>
        <w:ind w:firstLine="480"/>
      </w:pPr>
      <w:r>
        <w:rPr>
          <w:rFonts w:hint="eastAsia"/>
        </w:rPr>
        <w:t>在</w:t>
      </w:r>
      <w:proofErr w:type="gramStart"/>
      <w:r>
        <w:rPr>
          <w:rFonts w:hint="eastAsia"/>
        </w:rPr>
        <w:t>週</w:t>
      </w:r>
      <w:proofErr w:type="gramEnd"/>
      <w:r>
        <w:rPr>
          <w:rFonts w:hint="eastAsia"/>
        </w:rPr>
        <w:t>報酬率預測方面，兩種方法的表現則較為接近。實證結果顯示，兩種方法皆以</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w:t>
      </w:r>
      <w:proofErr w:type="gramStart"/>
      <w:r>
        <w:rPr>
          <w:rFonts w:hint="eastAsia"/>
        </w:rPr>
        <w:t>尾部配適方法</w:t>
      </w:r>
      <w:proofErr w:type="gramEnd"/>
      <w:r>
        <w:rPr>
          <w:rFonts w:hint="eastAsia"/>
        </w:rPr>
        <w:t>對整體預測結果的影響程度相對降低。</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w:t>
      </w:r>
      <w:proofErr w:type="gramStart"/>
      <w:r>
        <w:rPr>
          <w:rFonts w:hint="eastAsia"/>
        </w:rPr>
        <w:t>較雙點配適</w:t>
      </w:r>
      <w:proofErr w:type="gramEnd"/>
      <w:r>
        <w:rPr>
          <w:rFonts w:hint="eastAsia"/>
        </w:rPr>
        <w:t>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39ECF56A" w14:textId="72353D97" w:rsidR="00BA3834" w:rsidRPr="00BA3834" w:rsidRDefault="00BA3834" w:rsidP="00BA3834">
      <w:pPr>
        <w:spacing w:before="180" w:after="180"/>
        <w:ind w:firstLine="480"/>
      </w:pPr>
      <w:r>
        <w:rPr>
          <w:rFonts w:hint="eastAsia"/>
        </w:rPr>
        <w:t>綜合本章研究發現，單點配適法不僅在日報酬率預測上表現較佳，在計算效率方面亦具有顯著優勢。雖然在</w:t>
      </w:r>
      <w:proofErr w:type="gramStart"/>
      <w:r>
        <w:rPr>
          <w:rFonts w:hint="eastAsia"/>
        </w:rPr>
        <w:t>週</w:t>
      </w:r>
      <w:proofErr w:type="gramEnd"/>
      <w:r>
        <w:rPr>
          <w:rFonts w:hint="eastAsia"/>
        </w:rPr>
        <w:t>報酬率預測時，兩種方法的表現差異不明顯，但考慮到單點配適法的運算效率優勢，本研究認為在實務應用上，單點配適法</w:t>
      </w:r>
      <w:proofErr w:type="gramStart"/>
      <w:r>
        <w:rPr>
          <w:rFonts w:hint="eastAsia"/>
        </w:rPr>
        <w:t>較雙點配適</w:t>
      </w:r>
      <w:proofErr w:type="gramEnd"/>
      <w:r>
        <w:rPr>
          <w:rFonts w:hint="eastAsia"/>
        </w:rPr>
        <w:t>法更具發展潛力，特別是在需要處理大量樣本或即時性較高的分析場景中。這項發現對於後續發展自動化交易策略或風險監控系統具有重要的實務意涵。</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45" w:name="_Toc182815183"/>
      <w:r>
        <w:rPr>
          <w:rFonts w:hint="eastAsia"/>
        </w:rPr>
        <w:lastRenderedPageBreak/>
        <w:t>附錄</w:t>
      </w:r>
    </w:p>
    <w:p w14:paraId="0377CFCD" w14:textId="63635B4C" w:rsidR="00786B72" w:rsidRDefault="00786B72" w:rsidP="00786B72">
      <w:pPr>
        <w:pStyle w:val="a9"/>
        <w:keepNext/>
        <w:spacing w:before="180" w:after="180"/>
      </w:pPr>
      <w:bookmarkStart w:id="46" w:name="_Ref1894486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D04B9">
        <w:rPr>
          <w:noProof/>
        </w:rPr>
        <w:t>1</w:t>
      </w:r>
      <w:r>
        <w:fldChar w:fldCharType="end"/>
      </w:r>
      <w:bookmarkEnd w:id="46"/>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47"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47DF0095" w:rsidR="00786B72" w:rsidRDefault="00786B72" w:rsidP="00786B72">
      <w:pPr>
        <w:pStyle w:val="a9"/>
        <w:keepNext/>
        <w:spacing w:before="180" w:after="180"/>
      </w:pPr>
      <w:bookmarkStart w:id="48" w:name="_Ref18990494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D04B9">
        <w:rPr>
          <w:noProof/>
        </w:rPr>
        <w:t>2</w:t>
      </w:r>
      <w:r>
        <w:fldChar w:fldCharType="end"/>
      </w:r>
      <w:bookmarkEnd w:id="47"/>
      <w:bookmarkEnd w:id="48"/>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49"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5BF26CC5" w:rsidR="00925907" w:rsidRDefault="00925907" w:rsidP="00925907">
      <w:pPr>
        <w:pStyle w:val="a9"/>
        <w:keepNext/>
        <w:spacing w:before="180" w:after="180"/>
      </w:pPr>
      <w:bookmarkStart w:id="50" w:name="_Ref18990600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D04B9">
        <w:rPr>
          <w:noProof/>
        </w:rPr>
        <w:t>3</w:t>
      </w:r>
      <w:r>
        <w:fldChar w:fldCharType="end"/>
      </w:r>
      <w:bookmarkEnd w:id="49"/>
      <w:bookmarkEnd w:id="50"/>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77777777" w:rsidR="00925907" w:rsidRPr="00925907" w:rsidRDefault="00925907" w:rsidP="00925907">
            <w:pPr>
              <w:pStyle w:val="af9"/>
              <w:rPr>
                <w:sz w:val="8"/>
                <w:szCs w:val="10"/>
              </w:rPr>
            </w:pPr>
            <w:r w:rsidRPr="00925907">
              <w:rPr>
                <w:sz w:val="8"/>
                <w:szCs w:val="10"/>
              </w:rPr>
              <w:t>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51"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106AC9EF" w:rsidR="006A1E80" w:rsidRDefault="006A1E80" w:rsidP="006A1E80">
      <w:pPr>
        <w:pStyle w:val="a9"/>
        <w:keepNext/>
        <w:spacing w:before="180" w:after="180"/>
      </w:pPr>
      <w:bookmarkStart w:id="52" w:name="_Ref18990589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D04B9">
        <w:rPr>
          <w:noProof/>
        </w:rPr>
        <w:t>4</w:t>
      </w:r>
      <w:r>
        <w:fldChar w:fldCharType="end"/>
      </w:r>
      <w:bookmarkEnd w:id="51"/>
      <w:bookmarkEnd w:id="52"/>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7E4761">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7E4761">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7E4761">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7E4761">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7E4761">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7E4761">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7E4761">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7E4761">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7E4761">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7E4761">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7E4761">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53"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3EB94D59" w:rsidR="006A1E80" w:rsidRDefault="006A1E80" w:rsidP="006A1E80">
      <w:pPr>
        <w:pStyle w:val="a9"/>
        <w:keepNext/>
        <w:spacing w:before="180" w:after="180"/>
      </w:pPr>
      <w:bookmarkStart w:id="54" w:name="_Ref18990589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D04B9">
        <w:rPr>
          <w:noProof/>
        </w:rPr>
        <w:t>5</w:t>
      </w:r>
      <w:r>
        <w:fldChar w:fldCharType="end"/>
      </w:r>
      <w:bookmarkEnd w:id="53"/>
      <w:bookmarkEnd w:id="54"/>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7E4761">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7E4761">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7E4761">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7E4761">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7E4761">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7E4761">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7E4761">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7E4761">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4BB45BBF" w:rsidR="00A56D4E" w:rsidRDefault="00A56D4E" w:rsidP="00A56D4E">
      <w:pPr>
        <w:pStyle w:val="a9"/>
        <w:keepNext/>
        <w:spacing w:before="180" w:after="180"/>
      </w:pPr>
      <w:bookmarkStart w:id="55" w:name="_Ref189455844"/>
      <w:bookmarkStart w:id="56" w:name="_Ref189455832"/>
      <w:bookmarkStart w:id="57"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D04B9">
        <w:rPr>
          <w:noProof/>
        </w:rPr>
        <w:t>6</w:t>
      </w:r>
      <w:r>
        <w:fldChar w:fldCharType="end"/>
      </w:r>
      <w:bookmarkEnd w:id="55"/>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7777777" w:rsidR="00653EE0" w:rsidRPr="00A56D4E" w:rsidRDefault="00653EE0" w:rsidP="00653EE0">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58"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1A836229" w:rsidR="00653EE0" w:rsidRDefault="00653EE0" w:rsidP="00653EE0">
      <w:pPr>
        <w:pStyle w:val="a9"/>
        <w:keepNext/>
        <w:spacing w:before="180" w:after="180"/>
        <w:ind w:firstLine="480"/>
      </w:pPr>
      <w:bookmarkStart w:id="59" w:name="_Ref189455846"/>
      <w:bookmarkEnd w:id="5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D04B9">
        <w:rPr>
          <w:noProof/>
        </w:rPr>
        <w:t>7</w:t>
      </w:r>
      <w:r>
        <w:fldChar w:fldCharType="end"/>
      </w:r>
      <w:bookmarkEnd w:id="59"/>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782656C9" w:rsidR="00653EE0" w:rsidRDefault="00653EE0" w:rsidP="00653EE0">
      <w:pPr>
        <w:pStyle w:val="a9"/>
        <w:keepNext/>
        <w:spacing w:before="180" w:after="180"/>
        <w:ind w:firstLine="480"/>
      </w:pPr>
      <w:bookmarkStart w:id="60" w:name="_Ref18945584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D04B9">
        <w:rPr>
          <w:noProof/>
        </w:rPr>
        <w:t>8</w:t>
      </w:r>
      <w:r>
        <w:fldChar w:fldCharType="end"/>
      </w:r>
      <w:bookmarkEnd w:id="60"/>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7E4761">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57"/>
    </w:p>
    <w:p w14:paraId="54113F93" w14:textId="6E1872CA"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D04B9">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7E4761">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7E4761">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7E4761">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7E4761">
        <w:trPr>
          <w:trHeight w:val="310"/>
        </w:trPr>
        <w:tc>
          <w:tcPr>
            <w:tcW w:w="719" w:type="pct"/>
            <w:tcBorders>
              <w:right w:val="single" w:sz="8" w:space="0" w:color="auto"/>
            </w:tcBorders>
            <w:shd w:val="clear" w:color="auto" w:fill="auto"/>
            <w:noWrap/>
            <w:vAlign w:val="center"/>
            <w:hideMark/>
          </w:tcPr>
          <w:p w14:paraId="1ABA9BD8" w14:textId="77777777" w:rsidR="00360605" w:rsidRPr="00A56D4E" w:rsidRDefault="00360605" w:rsidP="00360605">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7E4761">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7E4761">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7E4761">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7E4761">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7E4761">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7E4761">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7E4761">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41C95387"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D04B9">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64F0F486"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D04B9">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7E4761">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02F0225D" w14:textId="77CCEA91" w:rsidR="0068520F" w:rsidRDefault="0073610D" w:rsidP="00025BEA">
      <w:pPr>
        <w:pStyle w:val="1"/>
        <w:spacing w:before="180" w:after="180"/>
      </w:pPr>
      <w:r>
        <w:rPr>
          <w:rFonts w:hint="eastAsia"/>
        </w:rPr>
        <w:lastRenderedPageBreak/>
        <w:t>參考文獻</w:t>
      </w:r>
      <w:bookmarkEnd w:id="45"/>
    </w:p>
    <w:p w14:paraId="70EF9504" w14:textId="77777777" w:rsidR="00025BEA" w:rsidRPr="00025BEA" w:rsidRDefault="00025BEA" w:rsidP="00025BEA">
      <w:pPr>
        <w:pStyle w:val="af2"/>
        <w:spacing w:beforeLines="0" w:before="0" w:after="180" w:line="240" w:lineRule="auto"/>
        <w:ind w:left="0" w:firstLine="480"/>
        <w:jc w:val="left"/>
      </w:pPr>
      <w:r>
        <w:fldChar w:fldCharType="begin"/>
      </w:r>
      <w:r w:rsidRPr="00025BEA">
        <w:rPr>
          <w:lang w:val="de-DE"/>
        </w:rPr>
        <w:instrText xml:space="preserve"> ADDIN ZOTERO_BIBL {"uncited":[],"omitted":[],"custom":[]} CSL_BIBLIOGRAPHY </w:instrText>
      </w:r>
      <w:r>
        <w:fldChar w:fldCharType="separate"/>
      </w:r>
      <w:r w:rsidRPr="00025BEA">
        <w:rPr>
          <w:lang w:val="de-DE"/>
        </w:rPr>
        <w:t xml:space="preserve">Balkema, A. A., &amp; Haan, L. de. </w:t>
      </w:r>
      <w:r w:rsidRPr="00025BEA">
        <w:t xml:space="preserve">(1974). Residual Life Time at Great Age. </w:t>
      </w:r>
      <w:r w:rsidRPr="00025BEA">
        <w:rPr>
          <w:i/>
          <w:iCs/>
        </w:rPr>
        <w:t>The Annals of Probability</w:t>
      </w:r>
      <w:r w:rsidRPr="00025BEA">
        <w:t xml:space="preserve">, </w:t>
      </w:r>
      <w:r w:rsidRPr="00025BEA">
        <w:rPr>
          <w:i/>
          <w:iCs/>
        </w:rPr>
        <w:t>2</w:t>
      </w:r>
      <w:r w:rsidRPr="00025BEA">
        <w:t>(5), 792–804. https://doi.org/10.1214/aop/1176996548</w:t>
      </w:r>
    </w:p>
    <w:p w14:paraId="3234B869" w14:textId="77777777" w:rsidR="00025BEA" w:rsidRPr="00025BEA" w:rsidRDefault="00025BEA" w:rsidP="00025BEA">
      <w:pPr>
        <w:pStyle w:val="af2"/>
        <w:spacing w:beforeLines="0" w:before="0" w:after="180" w:line="240" w:lineRule="auto"/>
        <w:ind w:left="0" w:firstLine="480"/>
        <w:jc w:val="left"/>
      </w:pPr>
      <w:r w:rsidRPr="00025BEA">
        <w:t xml:space="preserve">Birru, J., &amp; Figlewski, S. (2012). Anatomy of a meltdown: The risk neutral density for the S&amp;P 500 in the fall of 2008. </w:t>
      </w:r>
      <w:r w:rsidRPr="00025BEA">
        <w:rPr>
          <w:i/>
          <w:iCs/>
        </w:rPr>
        <w:t>Journal of Financial Markets</w:t>
      </w:r>
      <w:r w:rsidRPr="00025BEA">
        <w:t xml:space="preserve">, </w:t>
      </w:r>
      <w:r w:rsidRPr="00025BEA">
        <w:rPr>
          <w:i/>
          <w:iCs/>
        </w:rPr>
        <w:t>15</w:t>
      </w:r>
      <w:r w:rsidRPr="00025BEA">
        <w:t>(2), 151–180. https://doi.org/10.1016/j.finmar.2011.09.001</w:t>
      </w:r>
    </w:p>
    <w:p w14:paraId="2B9354A9" w14:textId="77777777" w:rsidR="00025BEA" w:rsidRPr="00025BEA" w:rsidRDefault="00025BEA" w:rsidP="00025BEA">
      <w:pPr>
        <w:pStyle w:val="af2"/>
        <w:spacing w:beforeLines="0" w:before="0" w:after="180" w:line="240" w:lineRule="auto"/>
        <w:ind w:left="0" w:firstLine="480"/>
        <w:jc w:val="left"/>
      </w:pPr>
      <w:r w:rsidRPr="00025BEA">
        <w:t xml:space="preserve">Figlewski, S. (2008). </w:t>
      </w:r>
      <w:r w:rsidRPr="00025BEA">
        <w:rPr>
          <w:i/>
          <w:iCs/>
        </w:rPr>
        <w:t>Estimating the Implied Risk Neutral Density for the U.S. Market Portfolio</w:t>
      </w:r>
      <w:r w:rsidRPr="00025BEA">
        <w:t xml:space="preserve"> (SSRN Scholarly Paper No. 1256783). Social Science Research Network. https://papers.ssrn.com/abstract=1256783</w:t>
      </w:r>
    </w:p>
    <w:p w14:paraId="4E2399EE" w14:textId="77777777" w:rsidR="00025BEA" w:rsidRPr="00025BEA" w:rsidRDefault="00025BEA" w:rsidP="00025BEA">
      <w:pPr>
        <w:pStyle w:val="af2"/>
        <w:spacing w:beforeLines="0" w:before="0" w:after="180" w:line="240" w:lineRule="auto"/>
        <w:ind w:left="0" w:firstLine="480"/>
        <w:jc w:val="left"/>
        <w:rPr>
          <w:lang w:val="de-DE"/>
        </w:rPr>
      </w:pPr>
      <w:r w:rsidRPr="00025BEA">
        <w:t xml:space="preserve">Hosking, J. R. M., &amp; Wallis, J. R. (1987). Parameter and Quantile Estimation for the Generalized Pareto Distribution. </w:t>
      </w:r>
      <w:r w:rsidRPr="00025BEA">
        <w:rPr>
          <w:i/>
          <w:iCs/>
          <w:lang w:val="de-DE"/>
        </w:rPr>
        <w:t>Technometrics</w:t>
      </w:r>
      <w:r w:rsidRPr="00025BEA">
        <w:rPr>
          <w:lang w:val="de-DE"/>
        </w:rPr>
        <w:t xml:space="preserve">, </w:t>
      </w:r>
      <w:r w:rsidRPr="00025BEA">
        <w:rPr>
          <w:i/>
          <w:iCs/>
          <w:lang w:val="de-DE"/>
        </w:rPr>
        <w:t>29</w:t>
      </w:r>
      <w:r w:rsidRPr="00025BEA">
        <w:rPr>
          <w:lang w:val="de-DE"/>
        </w:rPr>
        <w:t>(3), 339–349. https://doi.org/10.2307/1269343</w:t>
      </w:r>
    </w:p>
    <w:p w14:paraId="46D524B0" w14:textId="77777777" w:rsidR="00025BEA" w:rsidRPr="00025BEA" w:rsidRDefault="00025BEA" w:rsidP="00025BEA">
      <w:pPr>
        <w:pStyle w:val="af2"/>
        <w:spacing w:beforeLines="0" w:before="0" w:after="180" w:line="240" w:lineRule="auto"/>
        <w:ind w:left="0" w:firstLine="480"/>
        <w:jc w:val="left"/>
      </w:pPr>
      <w:r w:rsidRPr="00025BEA">
        <w:rPr>
          <w:lang w:val="de-DE"/>
        </w:rPr>
        <w:t xml:space="preserve">Li, X., Wu, Z., Zhang, H., &amp; Zhang, L. (2024). </w:t>
      </w:r>
      <w:r w:rsidRPr="00025BEA">
        <w:t xml:space="preserve">Risk-neutral skewness and stock market returns: A time-series analysis. </w:t>
      </w:r>
      <w:r w:rsidRPr="00025BEA">
        <w:rPr>
          <w:i/>
          <w:iCs/>
        </w:rPr>
        <w:t>The North American Journal of Economics and Finance</w:t>
      </w:r>
      <w:r w:rsidRPr="00025BEA">
        <w:t xml:space="preserve">, </w:t>
      </w:r>
      <w:r w:rsidRPr="00025BEA">
        <w:rPr>
          <w:i/>
          <w:iCs/>
        </w:rPr>
        <w:t>70</w:t>
      </w:r>
      <w:r w:rsidRPr="00025BEA">
        <w:t>, 102040. https://doi.org/10.1016/j.najef.2023.102040</w:t>
      </w:r>
    </w:p>
    <w:p w14:paraId="79ED5CFC" w14:textId="77777777" w:rsidR="00025BEA" w:rsidRPr="00025BEA" w:rsidRDefault="00025BEA" w:rsidP="00025BEA">
      <w:pPr>
        <w:pStyle w:val="af2"/>
        <w:spacing w:beforeLines="0" w:before="0" w:after="180" w:line="240" w:lineRule="auto"/>
        <w:ind w:left="0" w:firstLine="480"/>
        <w:jc w:val="left"/>
      </w:pPr>
      <w:r w:rsidRPr="00025BEA">
        <w:rPr>
          <w:lang w:val="de-DE"/>
        </w:rPr>
        <w:t xml:space="preserve">McNeil, A. J., &amp; Frey, R. (2000). </w:t>
      </w:r>
      <w:r w:rsidRPr="00025BEA">
        <w:t xml:space="preserve">Estimation of tail-related risk measures for heteroscedastic financial time series: An extreme value approach. </w:t>
      </w:r>
      <w:r w:rsidRPr="00025BEA">
        <w:rPr>
          <w:i/>
          <w:iCs/>
        </w:rPr>
        <w:t>Journal of Empirical Finance</w:t>
      </w:r>
      <w:r w:rsidRPr="00025BEA">
        <w:t xml:space="preserve">, </w:t>
      </w:r>
      <w:r w:rsidRPr="00025BEA">
        <w:rPr>
          <w:i/>
          <w:iCs/>
        </w:rPr>
        <w:t>7</w:t>
      </w:r>
      <w:r w:rsidRPr="00025BEA">
        <w:t>(3), 271–300. https://doi.org/10.1016/S0927-5398(00)00012-8</w:t>
      </w:r>
    </w:p>
    <w:p w14:paraId="221522B7" w14:textId="77777777" w:rsidR="00025BEA" w:rsidRPr="00025BEA" w:rsidRDefault="00025BEA" w:rsidP="00025BEA">
      <w:pPr>
        <w:pStyle w:val="af2"/>
        <w:spacing w:beforeLines="0" w:before="0" w:after="180" w:line="240" w:lineRule="auto"/>
        <w:ind w:left="0" w:firstLine="480"/>
        <w:jc w:val="left"/>
      </w:pPr>
      <w:r w:rsidRPr="00025BEA">
        <w:t xml:space="preserve">Shimko, D. (1993). Bounds of probability. </w:t>
      </w:r>
      <w:r w:rsidRPr="00025BEA">
        <w:rPr>
          <w:i/>
          <w:iCs/>
        </w:rPr>
        <w:t>Risk</w:t>
      </w:r>
      <w:r w:rsidRPr="00025BEA">
        <w:t xml:space="preserve">, </w:t>
      </w:r>
      <w:r w:rsidRPr="00025BEA">
        <w:rPr>
          <w:i/>
          <w:iCs/>
        </w:rPr>
        <w:t>6</w:t>
      </w:r>
      <w:r w:rsidRPr="00025BEA">
        <w:t>(4), 33–37.</w:t>
      </w:r>
    </w:p>
    <w:p w14:paraId="28587081" w14:textId="198D10F6" w:rsidR="00025BEA" w:rsidRPr="00025BEA" w:rsidRDefault="00025BEA" w:rsidP="00025BEA">
      <w:pPr>
        <w:pStyle w:val="afb"/>
        <w:spacing w:after="1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585ED3" w14:textId="77777777" w:rsidR="00BE2B78" w:rsidRDefault="00BE2B78" w:rsidP="001C4CCF">
      <w:pPr>
        <w:spacing w:before="120" w:after="120" w:line="240" w:lineRule="auto"/>
        <w:ind w:firstLine="480"/>
      </w:pPr>
      <w:r>
        <w:separator/>
      </w:r>
    </w:p>
  </w:endnote>
  <w:endnote w:type="continuationSeparator" w:id="0">
    <w:p w14:paraId="41AEE9AF" w14:textId="77777777" w:rsidR="00BE2B78" w:rsidRDefault="00BE2B78"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E1FE4F" w14:textId="77777777" w:rsidR="00BE2B78" w:rsidRDefault="00BE2B78" w:rsidP="001C4CCF">
      <w:pPr>
        <w:spacing w:before="120" w:after="120" w:line="240" w:lineRule="auto"/>
        <w:ind w:firstLine="480"/>
      </w:pPr>
      <w:r>
        <w:separator/>
      </w:r>
    </w:p>
  </w:footnote>
  <w:footnote w:type="continuationSeparator" w:id="0">
    <w:p w14:paraId="0DC1C92C" w14:textId="77777777" w:rsidR="00BE2B78" w:rsidRDefault="00BE2B78"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Pr>
            <w:rStyle w:val="af4"/>
          </w:rPr>
          <w:t>https://www.deribit.com/</w:t>
        </w:r>
      </w:hyperlink>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4"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5"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5"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C1E57C7"/>
    <w:multiLevelType w:val="hybridMultilevel"/>
    <w:tmpl w:val="D2A814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28"/>
  </w:num>
  <w:num w:numId="2" w16cid:durableId="396368862">
    <w:abstractNumId w:val="23"/>
  </w:num>
  <w:num w:numId="3" w16cid:durableId="164177961">
    <w:abstractNumId w:val="14"/>
  </w:num>
  <w:num w:numId="4" w16cid:durableId="1695351208">
    <w:abstractNumId w:val="26"/>
  </w:num>
  <w:num w:numId="5" w16cid:durableId="1314259761">
    <w:abstractNumId w:val="18"/>
  </w:num>
  <w:num w:numId="6" w16cid:durableId="1586499273">
    <w:abstractNumId w:val="13"/>
  </w:num>
  <w:num w:numId="7" w16cid:durableId="1924871501">
    <w:abstractNumId w:val="24"/>
  </w:num>
  <w:num w:numId="8" w16cid:durableId="2020084510">
    <w:abstractNumId w:val="11"/>
  </w:num>
  <w:num w:numId="9" w16cid:durableId="84423681">
    <w:abstractNumId w:val="5"/>
  </w:num>
  <w:num w:numId="10" w16cid:durableId="833880678">
    <w:abstractNumId w:val="8"/>
  </w:num>
  <w:num w:numId="11" w16cid:durableId="1789004280">
    <w:abstractNumId w:val="15"/>
  </w:num>
  <w:num w:numId="12" w16cid:durableId="1722898519">
    <w:abstractNumId w:val="9"/>
  </w:num>
  <w:num w:numId="13" w16cid:durableId="962811505">
    <w:abstractNumId w:val="12"/>
  </w:num>
  <w:num w:numId="14" w16cid:durableId="1621257747">
    <w:abstractNumId w:val="21"/>
  </w:num>
  <w:num w:numId="15" w16cid:durableId="1069961925">
    <w:abstractNumId w:val="17"/>
  </w:num>
  <w:num w:numId="16" w16cid:durableId="1538084520">
    <w:abstractNumId w:val="4"/>
  </w:num>
  <w:num w:numId="17" w16cid:durableId="1553735742">
    <w:abstractNumId w:val="3"/>
  </w:num>
  <w:num w:numId="18" w16cid:durableId="865992748">
    <w:abstractNumId w:val="10"/>
  </w:num>
  <w:num w:numId="19" w16cid:durableId="1331524736">
    <w:abstractNumId w:val="6"/>
  </w:num>
  <w:num w:numId="20" w16cid:durableId="2005157502">
    <w:abstractNumId w:val="7"/>
  </w:num>
  <w:num w:numId="21" w16cid:durableId="829718078">
    <w:abstractNumId w:val="27"/>
  </w:num>
  <w:num w:numId="22" w16cid:durableId="1448886782">
    <w:abstractNumId w:val="25"/>
  </w:num>
  <w:num w:numId="23" w16cid:durableId="2040815325">
    <w:abstractNumId w:val="2"/>
  </w:num>
  <w:num w:numId="24" w16cid:durableId="1695767039">
    <w:abstractNumId w:val="19"/>
  </w:num>
  <w:num w:numId="25" w16cid:durableId="163011745">
    <w:abstractNumId w:val="16"/>
  </w:num>
  <w:num w:numId="26" w16cid:durableId="1295677988">
    <w:abstractNumId w:val="0"/>
  </w:num>
  <w:num w:numId="27" w16cid:durableId="749424290">
    <w:abstractNumId w:val="20"/>
  </w:num>
  <w:num w:numId="28" w16cid:durableId="187914683">
    <w:abstractNumId w:val="1"/>
  </w:num>
  <w:num w:numId="29" w16cid:durableId="1869683316">
    <w:abstractNumId w:val="29"/>
  </w:num>
  <w:num w:numId="30" w16cid:durableId="16782656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07CC0"/>
    <w:rsid w:val="00010512"/>
    <w:rsid w:val="00011B2D"/>
    <w:rsid w:val="0001476B"/>
    <w:rsid w:val="00016079"/>
    <w:rsid w:val="000235ED"/>
    <w:rsid w:val="00024747"/>
    <w:rsid w:val="00025179"/>
    <w:rsid w:val="00025BEA"/>
    <w:rsid w:val="000305BC"/>
    <w:rsid w:val="00030F3D"/>
    <w:rsid w:val="00031B9B"/>
    <w:rsid w:val="00032567"/>
    <w:rsid w:val="000371D9"/>
    <w:rsid w:val="00040BE8"/>
    <w:rsid w:val="00044F9A"/>
    <w:rsid w:val="00045C7C"/>
    <w:rsid w:val="00046AD7"/>
    <w:rsid w:val="000514EA"/>
    <w:rsid w:val="00052FE1"/>
    <w:rsid w:val="00053374"/>
    <w:rsid w:val="00056AB0"/>
    <w:rsid w:val="0007168F"/>
    <w:rsid w:val="00074155"/>
    <w:rsid w:val="000763A9"/>
    <w:rsid w:val="00080D79"/>
    <w:rsid w:val="0008389B"/>
    <w:rsid w:val="00084FEA"/>
    <w:rsid w:val="0008528A"/>
    <w:rsid w:val="0009304E"/>
    <w:rsid w:val="000A6DD5"/>
    <w:rsid w:val="000B2681"/>
    <w:rsid w:val="000B35CE"/>
    <w:rsid w:val="000B7B11"/>
    <w:rsid w:val="000C2370"/>
    <w:rsid w:val="000C67BD"/>
    <w:rsid w:val="000E0357"/>
    <w:rsid w:val="000E34B5"/>
    <w:rsid w:val="000E3543"/>
    <w:rsid w:val="000E4C3D"/>
    <w:rsid w:val="000E51BD"/>
    <w:rsid w:val="000E56AA"/>
    <w:rsid w:val="000E5D8B"/>
    <w:rsid w:val="000E6321"/>
    <w:rsid w:val="000F11D8"/>
    <w:rsid w:val="000F5196"/>
    <w:rsid w:val="0010376E"/>
    <w:rsid w:val="00110614"/>
    <w:rsid w:val="00110E7A"/>
    <w:rsid w:val="0011729B"/>
    <w:rsid w:val="001215E5"/>
    <w:rsid w:val="0012177C"/>
    <w:rsid w:val="00122FA0"/>
    <w:rsid w:val="00124244"/>
    <w:rsid w:val="0012601A"/>
    <w:rsid w:val="0012631B"/>
    <w:rsid w:val="0012721A"/>
    <w:rsid w:val="00142AC2"/>
    <w:rsid w:val="00142EA2"/>
    <w:rsid w:val="001435BB"/>
    <w:rsid w:val="00151470"/>
    <w:rsid w:val="00162422"/>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4CCF"/>
    <w:rsid w:val="001C7481"/>
    <w:rsid w:val="001D0C18"/>
    <w:rsid w:val="001D27B3"/>
    <w:rsid w:val="001D3715"/>
    <w:rsid w:val="001D6108"/>
    <w:rsid w:val="001D79AD"/>
    <w:rsid w:val="001E1E99"/>
    <w:rsid w:val="001F069E"/>
    <w:rsid w:val="001F1765"/>
    <w:rsid w:val="001F3818"/>
    <w:rsid w:val="00205D84"/>
    <w:rsid w:val="00206F16"/>
    <w:rsid w:val="002116B3"/>
    <w:rsid w:val="00213679"/>
    <w:rsid w:val="00213E82"/>
    <w:rsid w:val="00215913"/>
    <w:rsid w:val="00217758"/>
    <w:rsid w:val="00220B8F"/>
    <w:rsid w:val="00221976"/>
    <w:rsid w:val="002241FA"/>
    <w:rsid w:val="00224FF9"/>
    <w:rsid w:val="00225C55"/>
    <w:rsid w:val="00230409"/>
    <w:rsid w:val="00235F9F"/>
    <w:rsid w:val="00236D2C"/>
    <w:rsid w:val="002406B3"/>
    <w:rsid w:val="0024171A"/>
    <w:rsid w:val="002451AB"/>
    <w:rsid w:val="00250604"/>
    <w:rsid w:val="002526C7"/>
    <w:rsid w:val="002549B3"/>
    <w:rsid w:val="00257875"/>
    <w:rsid w:val="0026154C"/>
    <w:rsid w:val="00262DC7"/>
    <w:rsid w:val="0026420B"/>
    <w:rsid w:val="00265CDD"/>
    <w:rsid w:val="0027238B"/>
    <w:rsid w:val="00274E81"/>
    <w:rsid w:val="00275C2A"/>
    <w:rsid w:val="002812B7"/>
    <w:rsid w:val="0028185C"/>
    <w:rsid w:val="00283E30"/>
    <w:rsid w:val="00286AC6"/>
    <w:rsid w:val="00287204"/>
    <w:rsid w:val="00290B69"/>
    <w:rsid w:val="002914A5"/>
    <w:rsid w:val="002A2A2A"/>
    <w:rsid w:val="002A4B81"/>
    <w:rsid w:val="002A67DD"/>
    <w:rsid w:val="002B276B"/>
    <w:rsid w:val="002B3678"/>
    <w:rsid w:val="002C02EC"/>
    <w:rsid w:val="002C32E3"/>
    <w:rsid w:val="002D0497"/>
    <w:rsid w:val="002D0E3A"/>
    <w:rsid w:val="002D44E0"/>
    <w:rsid w:val="002D4800"/>
    <w:rsid w:val="002D4E7E"/>
    <w:rsid w:val="002E7B1A"/>
    <w:rsid w:val="002F31B5"/>
    <w:rsid w:val="002F760E"/>
    <w:rsid w:val="00305489"/>
    <w:rsid w:val="003145D8"/>
    <w:rsid w:val="00320142"/>
    <w:rsid w:val="00321AF4"/>
    <w:rsid w:val="0032294F"/>
    <w:rsid w:val="00323AF2"/>
    <w:rsid w:val="00346E16"/>
    <w:rsid w:val="00353420"/>
    <w:rsid w:val="00354949"/>
    <w:rsid w:val="00360605"/>
    <w:rsid w:val="003643C9"/>
    <w:rsid w:val="0036511B"/>
    <w:rsid w:val="0036771E"/>
    <w:rsid w:val="003819B4"/>
    <w:rsid w:val="00382A2D"/>
    <w:rsid w:val="00384265"/>
    <w:rsid w:val="0038596A"/>
    <w:rsid w:val="00387F38"/>
    <w:rsid w:val="0039058D"/>
    <w:rsid w:val="00392A8C"/>
    <w:rsid w:val="00397794"/>
    <w:rsid w:val="003A010D"/>
    <w:rsid w:val="003A210D"/>
    <w:rsid w:val="003A2FCD"/>
    <w:rsid w:val="003A7CA9"/>
    <w:rsid w:val="003B1AD5"/>
    <w:rsid w:val="003B4B4D"/>
    <w:rsid w:val="003C0819"/>
    <w:rsid w:val="003C52A1"/>
    <w:rsid w:val="003D0FC6"/>
    <w:rsid w:val="003D7C9D"/>
    <w:rsid w:val="003D7CD6"/>
    <w:rsid w:val="003E4990"/>
    <w:rsid w:val="003E53B0"/>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4CEB"/>
    <w:rsid w:val="00461853"/>
    <w:rsid w:val="00463C12"/>
    <w:rsid w:val="00466389"/>
    <w:rsid w:val="00470204"/>
    <w:rsid w:val="00472B0B"/>
    <w:rsid w:val="00473435"/>
    <w:rsid w:val="0048442A"/>
    <w:rsid w:val="00484866"/>
    <w:rsid w:val="00493B38"/>
    <w:rsid w:val="00494A77"/>
    <w:rsid w:val="00496610"/>
    <w:rsid w:val="004A3BE2"/>
    <w:rsid w:val="004A52F2"/>
    <w:rsid w:val="004B43D7"/>
    <w:rsid w:val="004B64B4"/>
    <w:rsid w:val="004C2212"/>
    <w:rsid w:val="004C67FB"/>
    <w:rsid w:val="004D56B0"/>
    <w:rsid w:val="004D7F17"/>
    <w:rsid w:val="004F559A"/>
    <w:rsid w:val="004F5F74"/>
    <w:rsid w:val="004F631C"/>
    <w:rsid w:val="004F7EE0"/>
    <w:rsid w:val="00506C97"/>
    <w:rsid w:val="00514310"/>
    <w:rsid w:val="005220FD"/>
    <w:rsid w:val="00523FCE"/>
    <w:rsid w:val="0052435A"/>
    <w:rsid w:val="00527792"/>
    <w:rsid w:val="00531C6E"/>
    <w:rsid w:val="00533897"/>
    <w:rsid w:val="00536E9A"/>
    <w:rsid w:val="0054114A"/>
    <w:rsid w:val="005453E3"/>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601A99"/>
    <w:rsid w:val="00601FDB"/>
    <w:rsid w:val="00604130"/>
    <w:rsid w:val="00604430"/>
    <w:rsid w:val="00610A0B"/>
    <w:rsid w:val="006129FC"/>
    <w:rsid w:val="00613C88"/>
    <w:rsid w:val="006235BB"/>
    <w:rsid w:val="0062587E"/>
    <w:rsid w:val="00626099"/>
    <w:rsid w:val="00631166"/>
    <w:rsid w:val="00642602"/>
    <w:rsid w:val="00645DB1"/>
    <w:rsid w:val="006467BB"/>
    <w:rsid w:val="00646BB2"/>
    <w:rsid w:val="006476CE"/>
    <w:rsid w:val="006527EC"/>
    <w:rsid w:val="0065282E"/>
    <w:rsid w:val="00653CFB"/>
    <w:rsid w:val="00653EE0"/>
    <w:rsid w:val="00654B34"/>
    <w:rsid w:val="00655F06"/>
    <w:rsid w:val="00657271"/>
    <w:rsid w:val="00657B1F"/>
    <w:rsid w:val="00663F14"/>
    <w:rsid w:val="00666B54"/>
    <w:rsid w:val="0067113F"/>
    <w:rsid w:val="006746B2"/>
    <w:rsid w:val="00676CC7"/>
    <w:rsid w:val="00681D11"/>
    <w:rsid w:val="00682CB2"/>
    <w:rsid w:val="00683DC9"/>
    <w:rsid w:val="00684849"/>
    <w:rsid w:val="0068520F"/>
    <w:rsid w:val="00693EEF"/>
    <w:rsid w:val="00695C5B"/>
    <w:rsid w:val="006A058E"/>
    <w:rsid w:val="006A08C1"/>
    <w:rsid w:val="006A1E80"/>
    <w:rsid w:val="006A2B39"/>
    <w:rsid w:val="006A2DA5"/>
    <w:rsid w:val="006A639C"/>
    <w:rsid w:val="006B09C7"/>
    <w:rsid w:val="006B50EE"/>
    <w:rsid w:val="006B5E4E"/>
    <w:rsid w:val="006C5FDE"/>
    <w:rsid w:val="006C70DC"/>
    <w:rsid w:val="006D399C"/>
    <w:rsid w:val="006E13A6"/>
    <w:rsid w:val="006F2A22"/>
    <w:rsid w:val="0070037D"/>
    <w:rsid w:val="00701E33"/>
    <w:rsid w:val="00705918"/>
    <w:rsid w:val="0070684E"/>
    <w:rsid w:val="00710703"/>
    <w:rsid w:val="00716605"/>
    <w:rsid w:val="00716965"/>
    <w:rsid w:val="00717A90"/>
    <w:rsid w:val="00717F46"/>
    <w:rsid w:val="00720E4C"/>
    <w:rsid w:val="00722E5C"/>
    <w:rsid w:val="00727C07"/>
    <w:rsid w:val="00730202"/>
    <w:rsid w:val="00731282"/>
    <w:rsid w:val="00734D49"/>
    <w:rsid w:val="0073610D"/>
    <w:rsid w:val="0074744B"/>
    <w:rsid w:val="00750A47"/>
    <w:rsid w:val="007637A9"/>
    <w:rsid w:val="00764F78"/>
    <w:rsid w:val="00765613"/>
    <w:rsid w:val="00767608"/>
    <w:rsid w:val="0077361A"/>
    <w:rsid w:val="007749D3"/>
    <w:rsid w:val="00775E82"/>
    <w:rsid w:val="00786B72"/>
    <w:rsid w:val="00787D31"/>
    <w:rsid w:val="007901DC"/>
    <w:rsid w:val="00791C43"/>
    <w:rsid w:val="00791EA7"/>
    <w:rsid w:val="007942E1"/>
    <w:rsid w:val="007950D0"/>
    <w:rsid w:val="007A6E58"/>
    <w:rsid w:val="007B3873"/>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6A1B"/>
    <w:rsid w:val="00817714"/>
    <w:rsid w:val="008214E7"/>
    <w:rsid w:val="0082413A"/>
    <w:rsid w:val="00830EEC"/>
    <w:rsid w:val="008317BE"/>
    <w:rsid w:val="00841C11"/>
    <w:rsid w:val="008503EB"/>
    <w:rsid w:val="00850A16"/>
    <w:rsid w:val="00852AA5"/>
    <w:rsid w:val="00853AEB"/>
    <w:rsid w:val="00860B86"/>
    <w:rsid w:val="00865287"/>
    <w:rsid w:val="00865AC6"/>
    <w:rsid w:val="00870186"/>
    <w:rsid w:val="008751EC"/>
    <w:rsid w:val="00875555"/>
    <w:rsid w:val="00875BFD"/>
    <w:rsid w:val="008771A3"/>
    <w:rsid w:val="00877845"/>
    <w:rsid w:val="0088017E"/>
    <w:rsid w:val="00882547"/>
    <w:rsid w:val="00886807"/>
    <w:rsid w:val="00890FE8"/>
    <w:rsid w:val="008916DD"/>
    <w:rsid w:val="00896866"/>
    <w:rsid w:val="008A2FD0"/>
    <w:rsid w:val="008A610B"/>
    <w:rsid w:val="008B3FDC"/>
    <w:rsid w:val="008B468E"/>
    <w:rsid w:val="008C1437"/>
    <w:rsid w:val="008C28A6"/>
    <w:rsid w:val="008C4933"/>
    <w:rsid w:val="008D031B"/>
    <w:rsid w:val="008D080D"/>
    <w:rsid w:val="008D41C5"/>
    <w:rsid w:val="008D5149"/>
    <w:rsid w:val="008D6AEC"/>
    <w:rsid w:val="008E1AF4"/>
    <w:rsid w:val="008E3193"/>
    <w:rsid w:val="008E3E9E"/>
    <w:rsid w:val="008E5DE5"/>
    <w:rsid w:val="008E6833"/>
    <w:rsid w:val="008F14ED"/>
    <w:rsid w:val="008F4555"/>
    <w:rsid w:val="008F5CEB"/>
    <w:rsid w:val="008F6801"/>
    <w:rsid w:val="00900D70"/>
    <w:rsid w:val="009039FA"/>
    <w:rsid w:val="00905A59"/>
    <w:rsid w:val="0090616F"/>
    <w:rsid w:val="00906EB0"/>
    <w:rsid w:val="00907B6B"/>
    <w:rsid w:val="00910484"/>
    <w:rsid w:val="0091402F"/>
    <w:rsid w:val="0091593D"/>
    <w:rsid w:val="0091609E"/>
    <w:rsid w:val="00921A82"/>
    <w:rsid w:val="00922BD6"/>
    <w:rsid w:val="00925907"/>
    <w:rsid w:val="0092596A"/>
    <w:rsid w:val="00926EE0"/>
    <w:rsid w:val="00935478"/>
    <w:rsid w:val="00942A2F"/>
    <w:rsid w:val="00943B97"/>
    <w:rsid w:val="009455B8"/>
    <w:rsid w:val="00951C44"/>
    <w:rsid w:val="00955B12"/>
    <w:rsid w:val="0096284F"/>
    <w:rsid w:val="00962EA8"/>
    <w:rsid w:val="009703DB"/>
    <w:rsid w:val="00972409"/>
    <w:rsid w:val="00973643"/>
    <w:rsid w:val="00974AD3"/>
    <w:rsid w:val="009773DB"/>
    <w:rsid w:val="00985E70"/>
    <w:rsid w:val="00987726"/>
    <w:rsid w:val="00987819"/>
    <w:rsid w:val="00987DA1"/>
    <w:rsid w:val="00987F37"/>
    <w:rsid w:val="00992A58"/>
    <w:rsid w:val="00994121"/>
    <w:rsid w:val="009A24CB"/>
    <w:rsid w:val="009A72E0"/>
    <w:rsid w:val="009A78D0"/>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3FD2"/>
    <w:rsid w:val="009E7680"/>
    <w:rsid w:val="009F20CD"/>
    <w:rsid w:val="009F55DC"/>
    <w:rsid w:val="009F634B"/>
    <w:rsid w:val="00A00028"/>
    <w:rsid w:val="00A013CD"/>
    <w:rsid w:val="00A214DE"/>
    <w:rsid w:val="00A25A04"/>
    <w:rsid w:val="00A2663C"/>
    <w:rsid w:val="00A305AC"/>
    <w:rsid w:val="00A343E5"/>
    <w:rsid w:val="00A455E8"/>
    <w:rsid w:val="00A47EE0"/>
    <w:rsid w:val="00A50D4D"/>
    <w:rsid w:val="00A56D4E"/>
    <w:rsid w:val="00A644AA"/>
    <w:rsid w:val="00A66B01"/>
    <w:rsid w:val="00A6725B"/>
    <w:rsid w:val="00A70A1B"/>
    <w:rsid w:val="00A70ECC"/>
    <w:rsid w:val="00A710BF"/>
    <w:rsid w:val="00A71B02"/>
    <w:rsid w:val="00A77526"/>
    <w:rsid w:val="00A8621D"/>
    <w:rsid w:val="00A9266B"/>
    <w:rsid w:val="00A92DEA"/>
    <w:rsid w:val="00A934BB"/>
    <w:rsid w:val="00A96F87"/>
    <w:rsid w:val="00AB133B"/>
    <w:rsid w:val="00AB2758"/>
    <w:rsid w:val="00AB3ACB"/>
    <w:rsid w:val="00AC00D6"/>
    <w:rsid w:val="00AC1094"/>
    <w:rsid w:val="00AC1297"/>
    <w:rsid w:val="00AC23C0"/>
    <w:rsid w:val="00AC75BE"/>
    <w:rsid w:val="00AD284F"/>
    <w:rsid w:val="00AD2D43"/>
    <w:rsid w:val="00AD704C"/>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7A6"/>
    <w:rsid w:val="00B40CFC"/>
    <w:rsid w:val="00B4199B"/>
    <w:rsid w:val="00B42346"/>
    <w:rsid w:val="00B47E73"/>
    <w:rsid w:val="00B50D85"/>
    <w:rsid w:val="00B519E3"/>
    <w:rsid w:val="00B5230A"/>
    <w:rsid w:val="00B53880"/>
    <w:rsid w:val="00B53910"/>
    <w:rsid w:val="00B565B1"/>
    <w:rsid w:val="00B60CD3"/>
    <w:rsid w:val="00B61431"/>
    <w:rsid w:val="00B634F1"/>
    <w:rsid w:val="00B6390B"/>
    <w:rsid w:val="00B665F4"/>
    <w:rsid w:val="00B66B76"/>
    <w:rsid w:val="00B67397"/>
    <w:rsid w:val="00B70483"/>
    <w:rsid w:val="00B74C6F"/>
    <w:rsid w:val="00B84031"/>
    <w:rsid w:val="00B856BD"/>
    <w:rsid w:val="00B86AE6"/>
    <w:rsid w:val="00B9105A"/>
    <w:rsid w:val="00BA0521"/>
    <w:rsid w:val="00BA0540"/>
    <w:rsid w:val="00BA3834"/>
    <w:rsid w:val="00BA4DE9"/>
    <w:rsid w:val="00BA74F6"/>
    <w:rsid w:val="00BA7CF4"/>
    <w:rsid w:val="00BB145A"/>
    <w:rsid w:val="00BB756F"/>
    <w:rsid w:val="00BC0D8D"/>
    <w:rsid w:val="00BC0ED0"/>
    <w:rsid w:val="00BC378B"/>
    <w:rsid w:val="00BD04B9"/>
    <w:rsid w:val="00BD06D2"/>
    <w:rsid w:val="00BD071F"/>
    <w:rsid w:val="00BE2B78"/>
    <w:rsid w:val="00BE3333"/>
    <w:rsid w:val="00BE3F88"/>
    <w:rsid w:val="00BF0B1C"/>
    <w:rsid w:val="00BF138D"/>
    <w:rsid w:val="00BF32FB"/>
    <w:rsid w:val="00BF4AA0"/>
    <w:rsid w:val="00C04D35"/>
    <w:rsid w:val="00C1570D"/>
    <w:rsid w:val="00C23924"/>
    <w:rsid w:val="00C276F9"/>
    <w:rsid w:val="00C30021"/>
    <w:rsid w:val="00C3215A"/>
    <w:rsid w:val="00C34BB2"/>
    <w:rsid w:val="00C40C3F"/>
    <w:rsid w:val="00C451F7"/>
    <w:rsid w:val="00C47024"/>
    <w:rsid w:val="00C52650"/>
    <w:rsid w:val="00C54885"/>
    <w:rsid w:val="00C605B8"/>
    <w:rsid w:val="00C61AE1"/>
    <w:rsid w:val="00C64AC6"/>
    <w:rsid w:val="00C7394B"/>
    <w:rsid w:val="00C7484F"/>
    <w:rsid w:val="00C849DF"/>
    <w:rsid w:val="00C84D8E"/>
    <w:rsid w:val="00C84F89"/>
    <w:rsid w:val="00C8694C"/>
    <w:rsid w:val="00C86AA3"/>
    <w:rsid w:val="00C873F8"/>
    <w:rsid w:val="00C96DE9"/>
    <w:rsid w:val="00CA36F0"/>
    <w:rsid w:val="00CA3B35"/>
    <w:rsid w:val="00CA4918"/>
    <w:rsid w:val="00CB31CF"/>
    <w:rsid w:val="00CB7A0C"/>
    <w:rsid w:val="00CC1EDD"/>
    <w:rsid w:val="00CC2AA8"/>
    <w:rsid w:val="00CC4CB8"/>
    <w:rsid w:val="00CC7872"/>
    <w:rsid w:val="00CD7500"/>
    <w:rsid w:val="00CE12CA"/>
    <w:rsid w:val="00CE50A4"/>
    <w:rsid w:val="00CE763B"/>
    <w:rsid w:val="00CE7B4A"/>
    <w:rsid w:val="00CF650B"/>
    <w:rsid w:val="00CF65C5"/>
    <w:rsid w:val="00D01F9A"/>
    <w:rsid w:val="00D052BF"/>
    <w:rsid w:val="00D0543D"/>
    <w:rsid w:val="00D06B02"/>
    <w:rsid w:val="00D1221A"/>
    <w:rsid w:val="00D137AD"/>
    <w:rsid w:val="00D20BE4"/>
    <w:rsid w:val="00D25173"/>
    <w:rsid w:val="00D303DE"/>
    <w:rsid w:val="00D3120F"/>
    <w:rsid w:val="00D43390"/>
    <w:rsid w:val="00D46F4D"/>
    <w:rsid w:val="00D5107F"/>
    <w:rsid w:val="00D53CDB"/>
    <w:rsid w:val="00D54F57"/>
    <w:rsid w:val="00D57591"/>
    <w:rsid w:val="00D577EB"/>
    <w:rsid w:val="00D63026"/>
    <w:rsid w:val="00D638B5"/>
    <w:rsid w:val="00D64CE5"/>
    <w:rsid w:val="00D67F91"/>
    <w:rsid w:val="00D71F61"/>
    <w:rsid w:val="00D72805"/>
    <w:rsid w:val="00D72F07"/>
    <w:rsid w:val="00D75654"/>
    <w:rsid w:val="00D850AA"/>
    <w:rsid w:val="00D859BC"/>
    <w:rsid w:val="00D85A59"/>
    <w:rsid w:val="00D8601D"/>
    <w:rsid w:val="00D92D2A"/>
    <w:rsid w:val="00D93BDB"/>
    <w:rsid w:val="00D960EA"/>
    <w:rsid w:val="00DA497E"/>
    <w:rsid w:val="00DA5AA9"/>
    <w:rsid w:val="00DA6A69"/>
    <w:rsid w:val="00DB10C1"/>
    <w:rsid w:val="00DB4B95"/>
    <w:rsid w:val="00DB54B6"/>
    <w:rsid w:val="00DB7417"/>
    <w:rsid w:val="00DC1D42"/>
    <w:rsid w:val="00DC5D5F"/>
    <w:rsid w:val="00DD2DBC"/>
    <w:rsid w:val="00DD6901"/>
    <w:rsid w:val="00DE06FF"/>
    <w:rsid w:val="00DE318B"/>
    <w:rsid w:val="00DE3699"/>
    <w:rsid w:val="00DF7014"/>
    <w:rsid w:val="00E01870"/>
    <w:rsid w:val="00E06DB1"/>
    <w:rsid w:val="00E14F32"/>
    <w:rsid w:val="00E20F97"/>
    <w:rsid w:val="00E21AD3"/>
    <w:rsid w:val="00E24A26"/>
    <w:rsid w:val="00E25CCC"/>
    <w:rsid w:val="00E32CC8"/>
    <w:rsid w:val="00E410D8"/>
    <w:rsid w:val="00E4307C"/>
    <w:rsid w:val="00E453C8"/>
    <w:rsid w:val="00E459AE"/>
    <w:rsid w:val="00E52D5F"/>
    <w:rsid w:val="00E5598D"/>
    <w:rsid w:val="00E60DAF"/>
    <w:rsid w:val="00E61F75"/>
    <w:rsid w:val="00E6602F"/>
    <w:rsid w:val="00E67017"/>
    <w:rsid w:val="00E673AD"/>
    <w:rsid w:val="00E743A6"/>
    <w:rsid w:val="00E748C3"/>
    <w:rsid w:val="00E74967"/>
    <w:rsid w:val="00E75374"/>
    <w:rsid w:val="00E7699D"/>
    <w:rsid w:val="00E76F46"/>
    <w:rsid w:val="00E83066"/>
    <w:rsid w:val="00E83DB1"/>
    <w:rsid w:val="00E85726"/>
    <w:rsid w:val="00E923AC"/>
    <w:rsid w:val="00E97FD8"/>
    <w:rsid w:val="00EA3043"/>
    <w:rsid w:val="00EA6491"/>
    <w:rsid w:val="00EB225D"/>
    <w:rsid w:val="00EB5CE1"/>
    <w:rsid w:val="00EC48E7"/>
    <w:rsid w:val="00EC4CA2"/>
    <w:rsid w:val="00EC5B94"/>
    <w:rsid w:val="00ED3B39"/>
    <w:rsid w:val="00ED61D0"/>
    <w:rsid w:val="00ED770A"/>
    <w:rsid w:val="00EE46F3"/>
    <w:rsid w:val="00EF4FE7"/>
    <w:rsid w:val="00F008C1"/>
    <w:rsid w:val="00F00B8D"/>
    <w:rsid w:val="00F0399E"/>
    <w:rsid w:val="00F03E10"/>
    <w:rsid w:val="00F0423B"/>
    <w:rsid w:val="00F145BE"/>
    <w:rsid w:val="00F22A38"/>
    <w:rsid w:val="00F276FE"/>
    <w:rsid w:val="00F277CB"/>
    <w:rsid w:val="00F3280E"/>
    <w:rsid w:val="00F362D1"/>
    <w:rsid w:val="00F36D4C"/>
    <w:rsid w:val="00F36EA6"/>
    <w:rsid w:val="00F40883"/>
    <w:rsid w:val="00F4379F"/>
    <w:rsid w:val="00F54A2B"/>
    <w:rsid w:val="00F564B1"/>
    <w:rsid w:val="00F66567"/>
    <w:rsid w:val="00F67FB5"/>
    <w:rsid w:val="00F7013E"/>
    <w:rsid w:val="00F70BCC"/>
    <w:rsid w:val="00F76E35"/>
    <w:rsid w:val="00F83C73"/>
    <w:rsid w:val="00F8525E"/>
    <w:rsid w:val="00F86E11"/>
    <w:rsid w:val="00F909BF"/>
    <w:rsid w:val="00F97637"/>
    <w:rsid w:val="00FA17A1"/>
    <w:rsid w:val="00FA3E79"/>
    <w:rsid w:val="00FA3EA0"/>
    <w:rsid w:val="00FA4B71"/>
    <w:rsid w:val="00FB218D"/>
    <w:rsid w:val="00FB3472"/>
    <w:rsid w:val="00FB35F3"/>
    <w:rsid w:val="00FB4B80"/>
    <w:rsid w:val="00FC1861"/>
    <w:rsid w:val="00FC5180"/>
    <w:rsid w:val="00FC5782"/>
    <w:rsid w:val="00FC5EAE"/>
    <w:rsid w:val="00FC6694"/>
    <w:rsid w:val="00FD0214"/>
    <w:rsid w:val="00FD3081"/>
    <w:rsid w:val="00FD6825"/>
    <w:rsid w:val="00FE09E2"/>
    <w:rsid w:val="00FE47A7"/>
    <w:rsid w:val="00FE59E1"/>
    <w:rsid w:val="00FE7792"/>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57</Pages>
  <Words>9744</Words>
  <Characters>55542</Characters>
  <Application>Microsoft Office Word</Application>
  <DocSecurity>0</DocSecurity>
  <Lines>462</Lines>
  <Paragraphs>130</Paragraphs>
  <ScaleCrop>false</ScaleCrop>
  <Company/>
  <LinksUpToDate>false</LinksUpToDate>
  <CharactersWithSpaces>65156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6</cp:revision>
  <cp:lastPrinted>2025-02-10T18:00:00Z</cp:lastPrinted>
  <dcterms:created xsi:type="dcterms:W3CDTF">2025-02-10T07:40:00Z</dcterms:created>
  <dcterms:modified xsi:type="dcterms:W3CDTF">2025-02-10T18:45:00Z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id="3imXaZvB"/&gt;&lt;style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