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1A5B24A8" w14:textId="6F12EFB7" w:rsidR="00715905" w:rsidRPr="00715905" w:rsidRDefault="00715905" w:rsidP="00715905">
      <w:pPr>
        <w:spacing w:beforeLines="0" w:before="0" w:afterLines="0" w:after="0" w:line="600" w:lineRule="auto"/>
        <w:ind w:firstLineChars="0" w:firstLine="0"/>
        <w:jc w:val="center"/>
        <w:rPr>
          <w:b/>
          <w:bCs/>
          <w:sz w:val="28"/>
          <w:szCs w:val="14"/>
        </w:rPr>
      </w:pPr>
      <w:r w:rsidRPr="00715905">
        <w:rPr>
          <w:b/>
          <w:bCs/>
          <w:sz w:val="28"/>
          <w:szCs w:val="14"/>
        </w:rPr>
        <w:t>Risk</w:t>
      </w:r>
      <w:r w:rsidRPr="00715905">
        <w:rPr>
          <w:rFonts w:hint="eastAsia"/>
          <w:b/>
          <w:bCs/>
          <w:sz w:val="28"/>
          <w:szCs w:val="14"/>
        </w:rPr>
        <w:t xml:space="preserve"> </w:t>
      </w:r>
      <w:r w:rsidRPr="00715905">
        <w:rPr>
          <w:b/>
          <w:bCs/>
          <w:sz w:val="28"/>
          <w:szCs w:val="14"/>
        </w:rPr>
        <w:t>Neutral Density Tail Estimation and Return Predictability: Empirical Evidence from the Bitcoin Options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5545EA4" w14:textId="7CD721EF" w:rsidR="0049787D" w:rsidRDefault="0049787D" w:rsidP="0049787D">
      <w:pPr>
        <w:spacing w:before="180" w:after="180"/>
        <w:ind w:firstLine="480"/>
      </w:pPr>
      <w:r>
        <w:rPr>
          <w:rFonts w:hint="eastAsia"/>
        </w:rPr>
        <w:t>加密貨幣市場</w:t>
      </w:r>
      <w:r w:rsidR="004D0224">
        <w:rPr>
          <w:rFonts w:hint="eastAsia"/>
        </w:rPr>
        <w:t>於</w:t>
      </w:r>
      <w:r>
        <w:rPr>
          <w:rFonts w:hint="eastAsia"/>
        </w:rPr>
        <w:t>過去十年間經歷了顯著的發展與轉變</w:t>
      </w:r>
      <w:r w:rsidR="004D0224">
        <w:rPr>
          <w:rFonts w:hint="eastAsia"/>
        </w:rPr>
        <w:t>，</w:t>
      </w:r>
      <w:r>
        <w:rPr>
          <w:rFonts w:hint="eastAsia"/>
        </w:rPr>
        <w:t>隨著市場規模擴大，機構投資人的參與程度提升，加密貨幣衍生性商品市場亦呈現蓬勃發展之態勢。其中，比</w:t>
      </w:r>
      <w:proofErr w:type="gramStart"/>
      <w:r>
        <w:rPr>
          <w:rFonts w:hint="eastAsia"/>
        </w:rPr>
        <w:t>特</w:t>
      </w:r>
      <w:proofErr w:type="gramEnd"/>
      <w:r>
        <w:rPr>
          <w:rFonts w:hint="eastAsia"/>
        </w:rPr>
        <w:t>幣選擇權市場的成長尤為顯著</w:t>
      </w:r>
      <w:r w:rsidR="004D0224">
        <w:rPr>
          <w:rFonts w:hint="eastAsia"/>
        </w:rPr>
        <w:t>，</w:t>
      </w:r>
      <w:r>
        <w:rPr>
          <w:rFonts w:hint="eastAsia"/>
        </w:rPr>
        <w:t>根據加密貨幣資訊服務公司</w:t>
      </w:r>
      <w:r>
        <w:rPr>
          <w:rFonts w:hint="eastAsia"/>
        </w:rPr>
        <w:t>The Block</w:t>
      </w:r>
      <w:r>
        <w:rPr>
          <w:rFonts w:hint="eastAsia"/>
        </w:rPr>
        <w:t>之統計，截至</w:t>
      </w:r>
      <w:r>
        <w:rPr>
          <w:rFonts w:hint="eastAsia"/>
        </w:rPr>
        <w:t>2024</w:t>
      </w:r>
      <w:r>
        <w:rPr>
          <w:rFonts w:hint="eastAsia"/>
        </w:rPr>
        <w:t>年第</w:t>
      </w:r>
      <w:r w:rsidR="00B50407">
        <w:rPr>
          <w:rFonts w:hint="eastAsia"/>
        </w:rPr>
        <w:t>三</w:t>
      </w:r>
      <w:r>
        <w:rPr>
          <w:rFonts w:hint="eastAsia"/>
        </w:rPr>
        <w:t>季，全球最大的比</w:t>
      </w:r>
      <w:proofErr w:type="gramStart"/>
      <w:r>
        <w:rPr>
          <w:rFonts w:hint="eastAsia"/>
        </w:rPr>
        <w:t>特</w:t>
      </w:r>
      <w:proofErr w:type="gramEnd"/>
      <w:r>
        <w:rPr>
          <w:rFonts w:hint="eastAsia"/>
        </w:rPr>
        <w:t>幣選擇權交易平台</w:t>
      </w:r>
      <w:proofErr w:type="spellStart"/>
      <w:r>
        <w:rPr>
          <w:rFonts w:hint="eastAsia"/>
        </w:rPr>
        <w:t>Deribit</w:t>
      </w:r>
      <w:proofErr w:type="spellEnd"/>
      <w:r>
        <w:rPr>
          <w:rFonts w:hint="eastAsia"/>
        </w:rPr>
        <w:t>之未平倉量已占整體市場</w:t>
      </w:r>
      <w:r>
        <w:rPr>
          <w:rFonts w:hint="eastAsia"/>
        </w:rPr>
        <w:t xml:space="preserve">80% </w:t>
      </w:r>
      <w:r>
        <w:rPr>
          <w:rFonts w:hint="eastAsia"/>
        </w:rPr>
        <w:t>以上的比重，顯示其在價格發現功能上扮演關鍵角色。</w:t>
      </w:r>
    </w:p>
    <w:p w14:paraId="146F949E" w14:textId="594946EE" w:rsidR="0049787D" w:rsidRDefault="0049787D" w:rsidP="00EF25E9">
      <w:pPr>
        <w:spacing w:before="180" w:after="180"/>
        <w:ind w:firstLine="480"/>
      </w:pPr>
      <w:r>
        <w:rPr>
          <w:rFonts w:hint="eastAsia"/>
        </w:rPr>
        <w:t>傳統金融市場中，選擇權價格蘊含著市場參與者對標的資產未來價格分配的預期。</w:t>
      </w:r>
      <w:r>
        <w:rPr>
          <w:rFonts w:hint="eastAsia"/>
        </w:rPr>
        <w:t>Breeden</w:t>
      </w:r>
      <w:r w:rsidR="001C3AD2">
        <w:rPr>
          <w:rFonts w:hint="eastAsia"/>
        </w:rPr>
        <w:t>和</w:t>
      </w:r>
      <w:r>
        <w:rPr>
          <w:rFonts w:hint="eastAsia"/>
        </w:rPr>
        <w:t>Litzenberger</w:t>
      </w:r>
      <w:r w:rsidR="00EF25E9">
        <w:rPr>
          <w:rFonts w:hint="eastAsia"/>
        </w:rPr>
        <w:t xml:space="preserve"> </w:t>
      </w:r>
      <w:r w:rsidR="00EF25E9">
        <w:fldChar w:fldCharType="begin"/>
      </w:r>
      <w:r w:rsidR="00EF25E9">
        <w:instrText xml:space="preserve"> ADDIN ZOTERO_ITEM CSL_CITATION {"citationID":"BuHjn5Vf","properties":{"formattedCitation":"(1978)","plainCitation":"(1978)","noteIndex":0},"citationItems":[{"id":64,"uris":["http://zotero.org/users/16294904/items/T6NS78X8"],"itemData":{"id":64,"type":"article-journal","abstract":"This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F25E9">
        <w:fldChar w:fldCharType="separate"/>
      </w:r>
      <w:r w:rsidR="00EF25E9" w:rsidRPr="00EF25E9">
        <w:t>(1978)</w:t>
      </w:r>
      <w:r w:rsidR="00EF25E9">
        <w:fldChar w:fldCharType="end"/>
      </w:r>
      <w:r w:rsidR="00EF25E9">
        <w:rPr>
          <w:rFonts w:hint="eastAsia"/>
        </w:rPr>
        <w:t xml:space="preserve"> </w:t>
      </w:r>
      <w:r>
        <w:rPr>
          <w:rFonts w:hint="eastAsia"/>
        </w:rPr>
        <w:t>首次提出可從選擇權價格中提取風險中立機率密度（</w:t>
      </w:r>
      <w:r>
        <w:rPr>
          <w:rFonts w:hint="eastAsia"/>
        </w:rPr>
        <w:t>Risk Neutral Density, RND</w:t>
      </w:r>
      <w:r>
        <w:rPr>
          <w:rFonts w:hint="eastAsia"/>
        </w:rPr>
        <w:t>），為選擇權定價理論開創了嶄新的研究方向。然而，由於加密貨幣市場具有全天候交易、高波動性等特性，使得傳統的</w:t>
      </w:r>
      <w:r>
        <w:rPr>
          <w:rFonts w:hint="eastAsia"/>
        </w:rPr>
        <w:t>RND</w:t>
      </w:r>
      <w:r>
        <w:rPr>
          <w:rFonts w:hint="eastAsia"/>
        </w:rPr>
        <w:t>估計方法在應用上面臨諸多挑戰。特別是在處理</w:t>
      </w:r>
      <w:r>
        <w:rPr>
          <w:rFonts w:hint="eastAsia"/>
        </w:rPr>
        <w:t>RND</w:t>
      </w:r>
      <w:proofErr w:type="gramStart"/>
      <w:r>
        <w:rPr>
          <w:rFonts w:hint="eastAsia"/>
        </w:rPr>
        <w:t>尾部配適問題</w:t>
      </w:r>
      <w:proofErr w:type="gramEnd"/>
      <w:r>
        <w:rPr>
          <w:rFonts w:hint="eastAsia"/>
        </w:rPr>
        <w:t>時，現有文獻多採用廣義極值分配（</w:t>
      </w:r>
      <w:r>
        <w:rPr>
          <w:rFonts w:hint="eastAsia"/>
        </w:rPr>
        <w:t>Generalized Extreme Value Distribution, GEV</w:t>
      </w:r>
      <w:r>
        <w:rPr>
          <w:rFonts w:hint="eastAsia"/>
        </w:rPr>
        <w:t>）或廣義柏拉圖分配（</w:t>
      </w:r>
      <w:r>
        <w:rPr>
          <w:rFonts w:hint="eastAsia"/>
        </w:rPr>
        <w:t>Generalized Pareto Distribution, GPD</w:t>
      </w:r>
      <w:r>
        <w:rPr>
          <w:rFonts w:hint="eastAsia"/>
        </w:rPr>
        <w:t>）進行估計。</w:t>
      </w:r>
      <w:r>
        <w:rPr>
          <w:rFonts w:hint="eastAsia"/>
        </w:rPr>
        <w:t>McNeil</w:t>
      </w:r>
      <w:r w:rsidR="001C3AD2">
        <w:rPr>
          <w:rFonts w:hint="eastAsia"/>
        </w:rPr>
        <w:t>和</w:t>
      </w:r>
      <w:r>
        <w:rPr>
          <w:rFonts w:hint="eastAsia"/>
        </w:rPr>
        <w:t>Frey</w:t>
      </w:r>
      <w:r w:rsidR="00EF25E9">
        <w:rPr>
          <w:rFonts w:hint="eastAsia"/>
        </w:rPr>
        <w:t xml:space="preserve"> </w:t>
      </w:r>
      <w:r w:rsidR="00EF25E9">
        <w:fldChar w:fldCharType="begin"/>
      </w:r>
      <w:r w:rsidR="00EF25E9">
        <w:instrText xml:space="preserve"> ADDIN ZOTERO_ITEM CSL_CITATION {"citationID":"35B91UAq","properties":{"formattedCitation":"(2000)","plainCitation":"(2000)","noteIndex":0},"citationItems":[{"id":1,"uris":["http://zotero.org/users/16294904/items/8AWAERE4"],"itemData":{"id":1,"type":"article-journal","abstract":"We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EF25E9">
        <w:fldChar w:fldCharType="separate"/>
      </w:r>
      <w:r w:rsidR="00EF25E9" w:rsidRPr="00EF25E9">
        <w:t>(2000)</w:t>
      </w:r>
      <w:r w:rsidR="00EF25E9">
        <w:fldChar w:fldCharType="end"/>
      </w:r>
      <w:r w:rsidR="001C3AD2">
        <w:rPr>
          <w:rFonts w:hint="eastAsia"/>
        </w:rPr>
        <w:t xml:space="preserve"> </w:t>
      </w:r>
      <w:r>
        <w:rPr>
          <w:rFonts w:hint="eastAsia"/>
        </w:rPr>
        <w:t>提出結合</w:t>
      </w:r>
      <w:r>
        <w:rPr>
          <w:rFonts w:hint="eastAsia"/>
        </w:rPr>
        <w:t>GARCH</w:t>
      </w:r>
      <w:r>
        <w:rPr>
          <w:rFonts w:hint="eastAsia"/>
        </w:rPr>
        <w:t>模型與極值理論的方法來估計金融時間序列的尾部風險，特別強調</w:t>
      </w:r>
      <w:r>
        <w:rPr>
          <w:rFonts w:hint="eastAsia"/>
        </w:rPr>
        <w:t>GPD</w:t>
      </w:r>
      <w:r>
        <w:rPr>
          <w:rFonts w:hint="eastAsia"/>
        </w:rPr>
        <w:t>在建模金融時間序列極端事件上具有獨特優勢。</w:t>
      </w:r>
    </w:p>
    <w:p w14:paraId="344B2525" w14:textId="0551C952" w:rsidR="0049787D" w:rsidRDefault="0049787D" w:rsidP="0049787D">
      <w:pPr>
        <w:spacing w:before="180" w:after="180"/>
        <w:ind w:firstLine="480"/>
      </w:pPr>
      <w:r>
        <w:rPr>
          <w:rFonts w:hint="eastAsia"/>
        </w:rPr>
        <w:t>儘管如此，現有的</w:t>
      </w:r>
      <w:proofErr w:type="gramStart"/>
      <w:r>
        <w:rPr>
          <w:rFonts w:hint="eastAsia"/>
        </w:rPr>
        <w:t>尾部配適方法</w:t>
      </w:r>
      <w:proofErr w:type="gramEnd"/>
      <w:r>
        <w:rPr>
          <w:rFonts w:hint="eastAsia"/>
        </w:rPr>
        <w:t>仍存在若干限制。首先，</w:t>
      </w:r>
      <w:proofErr w:type="gramStart"/>
      <w:r>
        <w:rPr>
          <w:rFonts w:hint="eastAsia"/>
        </w:rPr>
        <w:t>雙點配適</w:t>
      </w:r>
      <w:proofErr w:type="gramEnd"/>
      <w:r>
        <w:rPr>
          <w:rFonts w:hint="eastAsia"/>
        </w:rPr>
        <w:t>法要求同時滿足兩個接合點的連續性條件，不僅增加了計算複雜度，也可能影響估計結果的穩定性。其次，在加密貨幣市場中，由於價格波動劇烈，選擇權價格的資訊內涵可能隨市場情緒快速變化，這使得</w:t>
      </w:r>
      <w:proofErr w:type="gramStart"/>
      <w:r w:rsidR="004D0224">
        <w:rPr>
          <w:rFonts w:hint="eastAsia"/>
        </w:rPr>
        <w:t>雙點配適</w:t>
      </w:r>
      <w:proofErr w:type="gramEnd"/>
      <w:r w:rsidR="004D0224">
        <w:rPr>
          <w:rFonts w:hint="eastAsia"/>
        </w:rPr>
        <w:t>法之</w:t>
      </w:r>
      <w:r>
        <w:rPr>
          <w:rFonts w:hint="eastAsia"/>
        </w:rPr>
        <w:t>適用性受到挑戰。</w:t>
      </w:r>
      <w:proofErr w:type="gramStart"/>
      <w:r>
        <w:rPr>
          <w:rFonts w:hint="eastAsia"/>
        </w:rPr>
        <w:t>再者，</w:t>
      </w:r>
      <w:proofErr w:type="gramEnd"/>
      <w:r>
        <w:rPr>
          <w:rFonts w:hint="eastAsia"/>
        </w:rPr>
        <w:t>現有研究較少探討</w:t>
      </w:r>
      <w:r>
        <w:rPr>
          <w:rFonts w:hint="eastAsia"/>
        </w:rPr>
        <w:t>RND</w:t>
      </w:r>
      <w:r>
        <w:rPr>
          <w:rFonts w:hint="eastAsia"/>
        </w:rPr>
        <w:t>特徵在不同預測期間的表現差異，特別是在加密貨幣這類新興市場中。</w:t>
      </w:r>
    </w:p>
    <w:p w14:paraId="70259F1A" w14:textId="3A7B3F5C" w:rsidR="0073610D" w:rsidRDefault="0049787D" w:rsidP="004D0224">
      <w:pPr>
        <w:spacing w:before="180" w:after="180"/>
        <w:ind w:firstLine="480"/>
      </w:pPr>
      <w:r>
        <w:rPr>
          <w:rFonts w:hint="eastAsia"/>
        </w:rPr>
        <w:t>為了解決上述問題，本研究提出一套</w:t>
      </w:r>
      <w:r w:rsidR="004D0224">
        <w:rPr>
          <w:rFonts w:hint="eastAsia"/>
        </w:rPr>
        <w:t>RND</w:t>
      </w:r>
      <w:r w:rsidR="004D0224">
        <w:rPr>
          <w:rFonts w:hint="eastAsia"/>
        </w:rPr>
        <w:t>尾部使用</w:t>
      </w:r>
      <w:r>
        <w:rPr>
          <w:rFonts w:hint="eastAsia"/>
        </w:rPr>
        <w:t>GPD</w:t>
      </w:r>
      <w:r w:rsidR="004D0224">
        <w:rPr>
          <w:rFonts w:hint="eastAsia"/>
        </w:rPr>
        <w:t>之</w:t>
      </w:r>
      <w:r>
        <w:rPr>
          <w:rFonts w:hint="eastAsia"/>
        </w:rPr>
        <w:t>單點配適法。此方法不僅簡化了接合點條件，更在保持理論一致性的前提下，提升了估計效率。具體而言，本研究的貢獻可分為三個面向：首先，在方法論層面，我們提出的單點配適法透過結合累積分布函數值與密度函數斜率的連續性條件，在維持估計品質的</w:t>
      </w:r>
      <w:r>
        <w:rPr>
          <w:rFonts w:hint="eastAsia"/>
        </w:rPr>
        <w:lastRenderedPageBreak/>
        <w:t>同時，顯著提升了計算效率。實證結果顯示，此方法不僅能有效處理加密貨幣市場的高波動特性，在計算速度上更較傳統</w:t>
      </w:r>
      <w:proofErr w:type="gramStart"/>
      <w:r>
        <w:rPr>
          <w:rFonts w:hint="eastAsia"/>
        </w:rPr>
        <w:t>雙點配適</w:t>
      </w:r>
      <w:proofErr w:type="gramEnd"/>
      <w:r>
        <w:rPr>
          <w:rFonts w:hint="eastAsia"/>
        </w:rPr>
        <w:t>法提升約</w:t>
      </w:r>
      <w:r>
        <w:rPr>
          <w:rFonts w:hint="eastAsia"/>
        </w:rPr>
        <w:t>10.95%</w:t>
      </w:r>
      <w:r w:rsidR="004D0224">
        <w:rPr>
          <w:rFonts w:hint="eastAsia"/>
        </w:rPr>
        <w:t>；</w:t>
      </w:r>
      <w:r>
        <w:rPr>
          <w:rFonts w:hint="eastAsia"/>
        </w:rPr>
        <w:t>其次，本研究深入探討了</w:t>
      </w:r>
      <w:r>
        <w:rPr>
          <w:rFonts w:hint="eastAsia"/>
        </w:rPr>
        <w:t>RND</w:t>
      </w:r>
      <w:r>
        <w:rPr>
          <w:rFonts w:hint="eastAsia"/>
        </w:rPr>
        <w:t>統計特徵對比</w:t>
      </w:r>
      <w:proofErr w:type="gramStart"/>
      <w:r>
        <w:rPr>
          <w:rFonts w:hint="eastAsia"/>
        </w:rPr>
        <w:t>特</w:t>
      </w:r>
      <w:proofErr w:type="gramEnd"/>
      <w:r>
        <w:rPr>
          <w:rFonts w:hint="eastAsia"/>
        </w:rPr>
        <w:t>幣價格走勢的預測能力。特別是，我們發現在日報酬率預測中，偏態（</w:t>
      </w:r>
      <w:r>
        <w:rPr>
          <w:rFonts w:hint="eastAsia"/>
        </w:rPr>
        <w:t>Skewness</w:t>
      </w:r>
      <w:r>
        <w:rPr>
          <w:rFonts w:hint="eastAsia"/>
        </w:rPr>
        <w:t>）、中位數（</w:t>
      </w:r>
      <w:r>
        <w:rPr>
          <w:rFonts w:hint="eastAsia"/>
        </w:rPr>
        <w:t>Median</w:t>
      </w:r>
      <w:r>
        <w:rPr>
          <w:rFonts w:hint="eastAsia"/>
        </w:rPr>
        <w:t>）及前期報酬率等變數展現出顯著的預測力；而在</w:t>
      </w:r>
      <w:proofErr w:type="gramStart"/>
      <w:r>
        <w:rPr>
          <w:rFonts w:hint="eastAsia"/>
        </w:rPr>
        <w:t>週</w:t>
      </w:r>
      <w:proofErr w:type="gramEnd"/>
      <w:r>
        <w:rPr>
          <w:rFonts w:hint="eastAsia"/>
        </w:rPr>
        <w:t>報酬率預測中，</w:t>
      </w:r>
      <w:proofErr w:type="gramStart"/>
      <w:r>
        <w:rPr>
          <w:rFonts w:hint="eastAsia"/>
        </w:rPr>
        <w:t>超額峰態</w:t>
      </w:r>
      <w:proofErr w:type="gramEnd"/>
      <w:r>
        <w:rPr>
          <w:rFonts w:hint="eastAsia"/>
        </w:rPr>
        <w:t>（</w:t>
      </w:r>
      <w:r>
        <w:rPr>
          <w:rFonts w:hint="eastAsia"/>
        </w:rPr>
        <w:t>Excess Kurtosis</w:t>
      </w:r>
      <w:r>
        <w:rPr>
          <w:rFonts w:hint="eastAsia"/>
        </w:rPr>
        <w:t>）與市場情緒指標則扮演更重要的角色。這些發現不僅豐富了加密貨幣市場的實證研究文獻，更為投資決策提供了重要參考</w:t>
      </w:r>
      <w:r w:rsidR="004D0224">
        <w:rPr>
          <w:rFonts w:hint="eastAsia"/>
        </w:rPr>
        <w:t>；</w:t>
      </w:r>
      <w:r>
        <w:rPr>
          <w:rFonts w:hint="eastAsia"/>
        </w:rPr>
        <w:t>最後，透過比較單點配適法與傳統</w:t>
      </w:r>
      <w:proofErr w:type="gramStart"/>
      <w:r>
        <w:rPr>
          <w:rFonts w:hint="eastAsia"/>
        </w:rPr>
        <w:t>雙點配適</w:t>
      </w:r>
      <w:proofErr w:type="gramEnd"/>
      <w:r>
        <w:rPr>
          <w:rFonts w:hint="eastAsia"/>
        </w:rPr>
        <w:t>法在不同市場情境下的表現，本研究為實務應用提供了具體的指引。實證結果顯示，單點配適法在處理極端市場情況時展現出較佳的穩定性，這對於加密貨幣市場的風險管理具有重要意涵。</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1" w:name="_Toc182815173"/>
      <w:r>
        <w:rPr>
          <w:rFonts w:hint="eastAsia"/>
        </w:rPr>
        <w:lastRenderedPageBreak/>
        <w:t>第二章、文獻</w:t>
      </w:r>
      <w:bookmarkEnd w:id="1"/>
      <w:r w:rsidR="00AD2D43">
        <w:rPr>
          <w:rFonts w:hint="eastAsia"/>
        </w:rPr>
        <w:t>回顧</w:t>
      </w:r>
    </w:p>
    <w:p w14:paraId="01199615" w14:textId="39C6FC64" w:rsidR="00404225" w:rsidRDefault="00B67397" w:rsidP="00B67397">
      <w:pPr>
        <w:pStyle w:val="2"/>
      </w:pPr>
      <w:r>
        <w:rPr>
          <w:rFonts w:hint="eastAsia"/>
        </w:rPr>
        <w:t>2.1</w:t>
      </w:r>
      <w:r w:rsidR="00474D4A">
        <w:rPr>
          <w:rFonts w:hint="eastAsia"/>
        </w:rPr>
        <w:t>風險中立機率密度方法論</w:t>
      </w:r>
    </w:p>
    <w:p w14:paraId="0E6D5F9D" w14:textId="6F79E293" w:rsidR="00474D4A" w:rsidRPr="00474D4A" w:rsidRDefault="00474D4A" w:rsidP="001C3AD2">
      <w:pPr>
        <w:spacing w:before="180" w:after="180"/>
        <w:ind w:firstLine="480"/>
      </w:pPr>
      <w:r w:rsidRPr="00474D4A">
        <w:t>風險</w:t>
      </w:r>
      <w:r>
        <w:rPr>
          <w:rFonts w:hint="eastAsia"/>
        </w:rPr>
        <w:t>中立機率密度</w:t>
      </w:r>
      <w:r w:rsidRPr="00474D4A">
        <w:t>（</w:t>
      </w:r>
      <w:r w:rsidRPr="00474D4A">
        <w:t>Risk</w:t>
      </w:r>
      <w:r>
        <w:rPr>
          <w:rFonts w:hint="eastAsia"/>
        </w:rPr>
        <w:t xml:space="preserve"> </w:t>
      </w:r>
      <w:r w:rsidRPr="00474D4A">
        <w:t>Neutral Density</w:t>
      </w:r>
      <w:r>
        <w:rPr>
          <w:rFonts w:hint="eastAsia"/>
        </w:rPr>
        <w:t xml:space="preserve">, </w:t>
      </w:r>
      <w:r w:rsidRPr="00474D4A">
        <w:t>RND</w:t>
      </w:r>
      <w:r w:rsidRPr="00474D4A">
        <w:t>）</w:t>
      </w:r>
      <w:r>
        <w:rPr>
          <w:rFonts w:hint="eastAsia"/>
        </w:rPr>
        <w:t>之</w:t>
      </w:r>
      <w:r w:rsidRPr="00474D4A">
        <w:t>概念最早由</w:t>
      </w:r>
      <w:r w:rsidRPr="00474D4A">
        <w:t xml:space="preserve"> Breeden</w:t>
      </w:r>
      <w:r w:rsidR="001C3AD2">
        <w:rPr>
          <w:rFonts w:hint="eastAsia"/>
        </w:rPr>
        <w:t>和</w:t>
      </w:r>
      <w:r w:rsidRPr="00474D4A">
        <w:t>Litzenberger</w:t>
      </w:r>
      <w:r w:rsidR="001C3AD2">
        <w:rPr>
          <w:rFonts w:hint="eastAsia"/>
        </w:rPr>
        <w:t xml:space="preserve"> </w:t>
      </w:r>
      <w:r w:rsidR="001C3AD2">
        <w:fldChar w:fldCharType="begin"/>
      </w:r>
      <w:r w:rsidR="001C3AD2">
        <w:instrText xml:space="preserve"> ADDIN ZOTERO_ITEM CSL_CITATION {"citationID":"UqTJEBBY","properties":{"formattedCitation":"(1978)","plainCitation":"(1978)","noteIndex":0},"citationItems":[{"id":64,"uris":["http://zotero.org/users/16294904/items/T6NS78X8"],"itemData":{"id":64,"type":"article-journal","abstract":"This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3AD2">
        <w:fldChar w:fldCharType="separate"/>
      </w:r>
      <w:r w:rsidR="001C3AD2" w:rsidRPr="001C3AD2">
        <w:t>(1978)</w:t>
      </w:r>
      <w:r w:rsidR="001C3AD2">
        <w:fldChar w:fldCharType="end"/>
      </w:r>
      <w:r w:rsidR="001C3AD2">
        <w:rPr>
          <w:rFonts w:hint="eastAsia"/>
        </w:rPr>
        <w:t xml:space="preserve"> </w:t>
      </w:r>
      <w:r w:rsidRPr="00474D4A">
        <w:t>提出，</w:t>
      </w:r>
      <w:r>
        <w:rPr>
          <w:rFonts w:hint="eastAsia"/>
        </w:rPr>
        <w:t>研究</w:t>
      </w:r>
      <w:r w:rsidRPr="00474D4A">
        <w:t>證明了可從</w:t>
      </w:r>
      <w:r>
        <w:rPr>
          <w:rFonts w:hint="eastAsia"/>
        </w:rPr>
        <w:t>選擇權</w:t>
      </w:r>
      <w:r w:rsidRPr="00474D4A">
        <w:t>價格中提取出市場對標的資產未來價格</w:t>
      </w:r>
      <w:r>
        <w:rPr>
          <w:rFonts w:hint="eastAsia"/>
        </w:rPr>
        <w:t>分布之</w:t>
      </w:r>
      <w:r w:rsidRPr="00474D4A">
        <w:t>預期。</w:t>
      </w:r>
      <w:r>
        <w:rPr>
          <w:rFonts w:hint="eastAsia"/>
        </w:rPr>
        <w:t>此研究</w:t>
      </w:r>
      <w:r w:rsidRPr="00474D4A">
        <w:t>發現為</w:t>
      </w:r>
      <w:r>
        <w:rPr>
          <w:rFonts w:hint="eastAsia"/>
        </w:rPr>
        <w:t>選擇權</w:t>
      </w:r>
      <w:r w:rsidRPr="00474D4A">
        <w:t>定價理論開創了新的研究方向。</w:t>
      </w:r>
      <w:r w:rsidRPr="00474D4A">
        <w:t>Birru</w:t>
      </w:r>
      <w:r w:rsidR="001C3AD2">
        <w:rPr>
          <w:rFonts w:hint="eastAsia"/>
        </w:rPr>
        <w:t>和</w:t>
      </w:r>
      <w:proofErr w:type="spellStart"/>
      <w:r w:rsidRPr="00474D4A">
        <w:t>Figlewski</w:t>
      </w:r>
      <w:proofErr w:type="spellEnd"/>
      <w:r w:rsidR="001C3AD2">
        <w:fldChar w:fldCharType="begin"/>
      </w:r>
      <w:r w:rsidR="001C3AD2">
        <w:instrText xml:space="preserve"> ADDIN ZOTERO_ITEM CSL_CITATION {"citationID":"R67cY2IH","properties":{"formattedCitation":"(2012)","plainCitation":"(2012)","noteIndex":0},"citationItems":[{"id":13,"uris":["http://zotero.org/users/16294904/items/U3I3QZ5W"],"itemData":{"id":13,"type":"article-journal","abstract":"We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C3AD2">
        <w:fldChar w:fldCharType="separate"/>
      </w:r>
      <w:r w:rsidR="001C3AD2" w:rsidRPr="001C3AD2">
        <w:t>(2012)</w:t>
      </w:r>
      <w:r w:rsidR="001C3AD2">
        <w:fldChar w:fldCharType="end"/>
      </w:r>
      <w:r w:rsidRPr="00474D4A">
        <w:t>更進一步研究</w:t>
      </w:r>
      <w:r w:rsidRPr="00474D4A">
        <w:t>2008</w:t>
      </w:r>
      <w:r w:rsidRPr="00474D4A">
        <w:t>年金融危機期間</w:t>
      </w:r>
      <w:r>
        <w:rPr>
          <w:rFonts w:hint="eastAsia"/>
        </w:rPr>
        <w:t>S&amp;P</w:t>
      </w:r>
      <w:r w:rsidRPr="00474D4A">
        <w:t xml:space="preserve"> 500</w:t>
      </w:r>
      <w:r w:rsidRPr="00474D4A">
        <w:t>指數</w:t>
      </w:r>
      <w:r>
        <w:rPr>
          <w:rFonts w:hint="eastAsia"/>
        </w:rPr>
        <w:t>選擇權之</w:t>
      </w:r>
      <w:r w:rsidRPr="00474D4A">
        <w:t>RND</w:t>
      </w:r>
      <w:r w:rsidRPr="00474D4A">
        <w:t>變化，發現在市場壓力增加時，</w:t>
      </w:r>
      <w:r w:rsidRPr="00474D4A">
        <w:t>RND</w:t>
      </w:r>
      <w:r>
        <w:rPr>
          <w:rFonts w:hint="eastAsia"/>
        </w:rPr>
        <w:t>之</w:t>
      </w:r>
      <w:r w:rsidRPr="00474D4A">
        <w:t>形狀會出現顯著變化</w:t>
      </w:r>
      <w:r>
        <w:rPr>
          <w:rFonts w:hint="eastAsia"/>
        </w:rPr>
        <w:t>，研究</w:t>
      </w:r>
      <w:r w:rsidRPr="00474D4A">
        <w:t>採用廣義極值分配（</w:t>
      </w:r>
      <w:r w:rsidRPr="00474D4A">
        <w:t>Generalized Extreme Value Distribution</w:t>
      </w:r>
      <w:r>
        <w:rPr>
          <w:rFonts w:hint="eastAsia"/>
        </w:rPr>
        <w:t>, GEV</w:t>
      </w:r>
      <w:r w:rsidRPr="00474D4A">
        <w:t>）</w:t>
      </w:r>
      <w:r>
        <w:rPr>
          <w:rFonts w:hint="eastAsia"/>
        </w:rPr>
        <w:t>以</w:t>
      </w:r>
      <w:r w:rsidRPr="00474D4A">
        <w:t>完善</w:t>
      </w:r>
      <w:r w:rsidRPr="00474D4A">
        <w:t>RND</w:t>
      </w:r>
      <w:r w:rsidRPr="00474D4A">
        <w:t>尾部的估計，此方法在處理極端市場條件下</w:t>
      </w:r>
      <w:r>
        <w:rPr>
          <w:rFonts w:hint="eastAsia"/>
        </w:rPr>
        <w:t>具有效果</w:t>
      </w:r>
      <w:r w:rsidR="001C3AD2">
        <w:rPr>
          <w:rFonts w:hint="eastAsia"/>
        </w:rPr>
        <w:t xml:space="preserve"> </w:t>
      </w:r>
      <w:r w:rsidR="001C3AD2">
        <w:fldChar w:fldCharType="begin"/>
      </w:r>
      <w:r w:rsidR="001C3AD2">
        <w:instrText xml:space="preserve"> ADDIN ZOTERO_ITEM CSL_CITATION {"citationID":"FEWlBVzD","properties":{"formattedCitation":"(Hosking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C3AD2">
        <w:fldChar w:fldCharType="separate"/>
      </w:r>
      <w:r w:rsidR="001C3AD2" w:rsidRPr="001C3AD2">
        <w:t>(Hosking &amp; Wallis, 1987)</w:t>
      </w:r>
      <w:r w:rsidR="001C3AD2">
        <w:fldChar w:fldCharType="end"/>
      </w:r>
      <w:r w:rsidRPr="00474D4A">
        <w:t>。</w:t>
      </w:r>
    </w:p>
    <w:p w14:paraId="14F9CFB9" w14:textId="6B1EBB99" w:rsidR="00474D4A" w:rsidRPr="00474D4A" w:rsidRDefault="00474D4A" w:rsidP="001C3AD2">
      <w:pPr>
        <w:spacing w:before="180" w:after="180"/>
        <w:ind w:firstLine="480"/>
      </w:pPr>
      <w:r>
        <w:rPr>
          <w:rFonts w:hint="eastAsia"/>
        </w:rPr>
        <w:t>於</w:t>
      </w:r>
      <w:r w:rsidRPr="00474D4A">
        <w:t>實務應用層面，</w:t>
      </w:r>
      <w:r w:rsidRPr="00474D4A">
        <w:t>McNeil</w:t>
      </w:r>
      <w:r w:rsidR="001C3AD2">
        <w:rPr>
          <w:rFonts w:hint="eastAsia"/>
        </w:rPr>
        <w:t>和</w:t>
      </w:r>
      <w:r w:rsidRPr="00474D4A">
        <w:t>Frey</w:t>
      </w:r>
      <w:r w:rsidR="001C3AD2">
        <w:rPr>
          <w:rFonts w:hint="eastAsia"/>
        </w:rPr>
        <w:t xml:space="preserve"> </w:t>
      </w:r>
      <w:r w:rsidR="001C3AD2">
        <w:fldChar w:fldCharType="begin"/>
      </w:r>
      <w:r w:rsidR="001C3AD2">
        <w:instrText xml:space="preserve"> ADDIN ZOTERO_ITEM CSL_CITATION {"citationID":"lQx1seOZ","properties":{"formattedCitation":"(2000)","plainCitation":"(2000)","noteIndex":0},"citationItems":[{"id":1,"uris":["http://zotero.org/users/16294904/items/8AWAERE4"],"itemData":{"id":1,"type":"article-journal","abstract":"We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C3AD2">
        <w:fldChar w:fldCharType="separate"/>
      </w:r>
      <w:r w:rsidR="001C3AD2" w:rsidRPr="001C3AD2">
        <w:t>(2000)</w:t>
      </w:r>
      <w:r w:rsidR="001C3AD2">
        <w:fldChar w:fldCharType="end"/>
      </w:r>
      <w:r w:rsidR="001C3AD2">
        <w:rPr>
          <w:rFonts w:hint="eastAsia"/>
        </w:rPr>
        <w:t xml:space="preserve"> </w:t>
      </w:r>
      <w:r w:rsidRPr="00474D4A">
        <w:t>提出結合</w:t>
      </w:r>
      <w:r w:rsidRPr="00474D4A">
        <w:t>GARCH</w:t>
      </w:r>
      <w:r w:rsidRPr="00474D4A">
        <w:t>模型與極值理論（</w:t>
      </w:r>
      <w:r w:rsidRPr="00474D4A">
        <w:t>EVT</w:t>
      </w:r>
      <w:r w:rsidRPr="00474D4A">
        <w:t>）的方法來估計金融時間序列的尾部風險。其研究特別強調，廣義柏拉圖分配（</w:t>
      </w:r>
      <w:r w:rsidRPr="00474D4A">
        <w:t>Generalized Pareto Distribution</w:t>
      </w:r>
      <w:r>
        <w:rPr>
          <w:rFonts w:hint="eastAsia"/>
        </w:rPr>
        <w:t xml:space="preserve">, </w:t>
      </w:r>
      <w:r w:rsidRPr="00474D4A">
        <w:t>GPD</w:t>
      </w:r>
      <w:r w:rsidRPr="00474D4A">
        <w:t>）在建模金融時間序列的極端事件上具有獨特優勢。實證結果顯示，結合</w:t>
      </w:r>
      <w:r w:rsidRPr="00474D4A">
        <w:t>GARCH-GPD</w:t>
      </w:r>
      <w:r>
        <w:rPr>
          <w:rFonts w:hint="eastAsia"/>
        </w:rPr>
        <w:t>之</w:t>
      </w:r>
      <w:r w:rsidRPr="00474D4A">
        <w:t>方法不僅能有效估計尾部風險，還能適當反映市場波動度的動態變化。</w:t>
      </w:r>
    </w:p>
    <w:p w14:paraId="4EA29CD6" w14:textId="79F20E16" w:rsidR="00474D4A" w:rsidRPr="00474D4A" w:rsidRDefault="00474D4A" w:rsidP="001C3AD2">
      <w:pPr>
        <w:spacing w:before="180" w:after="180"/>
        <w:ind w:firstLine="480"/>
      </w:pPr>
      <w:r w:rsidRPr="00474D4A">
        <w:t>近期研究方面，</w:t>
      </w:r>
      <w:r w:rsidRPr="00474D4A">
        <w:t>Uberti</w:t>
      </w:r>
      <w:r w:rsidR="001C3AD2">
        <w:rPr>
          <w:rFonts w:hint="eastAsia"/>
        </w:rPr>
        <w:t xml:space="preserve"> </w:t>
      </w:r>
      <w:r w:rsidR="001C3AD2">
        <w:fldChar w:fldCharType="begin"/>
      </w:r>
      <w:r w:rsidR="001C3AD2">
        <w:instrText xml:space="preserve"> ADDIN ZOTERO_ITEM CSL_CITATION {"citationID":"0VsRELYQ","properties":{"formattedCitation":"(2023)","plainCitation":"(2023)","noteIndex":0},"citationItems":[{"id":58,"uris":["http://zotero.org/users/16294904/items/YSYTIP3U"],"itemData":{"id":58,"type":"article-journal","abstract":"This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C3AD2">
        <w:fldChar w:fldCharType="separate"/>
      </w:r>
      <w:r w:rsidR="001C3AD2" w:rsidRPr="001C3AD2">
        <w:t>(2023)</w:t>
      </w:r>
      <w:r w:rsidR="001C3AD2">
        <w:fldChar w:fldCharType="end"/>
      </w:r>
      <w:r w:rsidR="001C3AD2">
        <w:rPr>
          <w:rFonts w:hint="eastAsia"/>
        </w:rPr>
        <w:t xml:space="preserve"> </w:t>
      </w:r>
      <w:r w:rsidRPr="00474D4A">
        <w:t>提出了一個納入偏態（</w:t>
      </w:r>
      <w:r w:rsidRPr="00474D4A">
        <w:t>Skewness</w:t>
      </w:r>
      <w:r w:rsidRPr="00474D4A">
        <w:t>）與峰態（</w:t>
      </w:r>
      <w:r w:rsidRPr="00474D4A">
        <w:t>Kurtosis</w:t>
      </w:r>
      <w:r w:rsidRPr="00474D4A">
        <w:t>）的</w:t>
      </w:r>
      <w:r w:rsidRPr="00474D4A">
        <w:t>Markowitz</w:t>
      </w:r>
      <w:r w:rsidRPr="00474D4A">
        <w:t>模型擴展</w:t>
      </w:r>
      <w:r>
        <w:rPr>
          <w:rFonts w:hint="eastAsia"/>
        </w:rPr>
        <w:t>，</w:t>
      </w:r>
      <w:r w:rsidRPr="00474D4A">
        <w:t>研究發現，當考慮偏態與峰態時，最佳投資組合的風險會高於傳統平均數</w:t>
      </w:r>
      <w:r w:rsidR="001C3AD2">
        <w:rPr>
          <w:rFonts w:hint="eastAsia"/>
        </w:rPr>
        <w:t>－</w:t>
      </w:r>
      <w:r w:rsidRPr="00474D4A">
        <w:t>變異數模型。</w:t>
      </w:r>
    </w:p>
    <w:p w14:paraId="2A3AF2F8" w14:textId="1B19D237" w:rsidR="00474D4A" w:rsidRPr="00474D4A" w:rsidRDefault="00474D4A" w:rsidP="001C3AD2">
      <w:pPr>
        <w:spacing w:before="180" w:after="180"/>
        <w:ind w:firstLine="480"/>
      </w:pPr>
      <w:r w:rsidRPr="00474D4A">
        <w:t>風險</w:t>
      </w:r>
      <w:r w:rsidR="00BB3877">
        <w:rPr>
          <w:rFonts w:hint="eastAsia"/>
        </w:rPr>
        <w:t>中立機率密度之</w:t>
      </w:r>
      <w:r w:rsidRPr="00474D4A">
        <w:t>估計，主要可分為參數法和非參數法兩大類。參數法是假設</w:t>
      </w:r>
      <w:r w:rsidRPr="00474D4A">
        <w:t>RND</w:t>
      </w:r>
      <w:r w:rsidRPr="00474D4A">
        <w:t>符合特定的機率分布族，如對數常態</w:t>
      </w:r>
      <w:r w:rsidR="00BB3877">
        <w:rPr>
          <w:rFonts w:hint="eastAsia"/>
        </w:rPr>
        <w:t>分配</w:t>
      </w:r>
      <w:r w:rsidRPr="00474D4A">
        <w:t>或廣義極值分配；非參數法則直接從市場期權價格資料中提取</w:t>
      </w:r>
      <w:r w:rsidRPr="00474D4A">
        <w:t>RND</w:t>
      </w:r>
      <w:r w:rsidRPr="00474D4A">
        <w:t>，</w:t>
      </w:r>
      <w:proofErr w:type="gramStart"/>
      <w:r w:rsidRPr="00474D4A">
        <w:t>不</w:t>
      </w:r>
      <w:proofErr w:type="gramEnd"/>
      <w:r w:rsidRPr="00474D4A">
        <w:t>預設任何分配形式</w:t>
      </w:r>
      <w:r w:rsidR="001C3AD2">
        <w:rPr>
          <w:rFonts w:hint="eastAsia"/>
        </w:rPr>
        <w:t xml:space="preserve"> </w:t>
      </w:r>
      <w:r w:rsidR="001C3AD2">
        <w:fldChar w:fldCharType="begin"/>
      </w:r>
      <w:r w:rsidR="001C3AD2">
        <w:instrText xml:space="preserve"> ADDIN ZOTERO_ITEM CSL_CITATION {"citationID":"OdXjCCl0","properties":{"formattedCitation":"(Figlewski, 2018)","plainCitation":"(Figlewski, 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Densities","volume":"10","author":[{"family":"Figlewski","given":"Stephen"}],"issued":{"date-parts":[["2018",11,1]]}}}],"schema":"https://github.com/citation-style-language/schema/raw/master/csl-citation.json"} </w:instrText>
      </w:r>
      <w:r w:rsidR="001C3AD2">
        <w:fldChar w:fldCharType="separate"/>
      </w:r>
      <w:r w:rsidR="001C3AD2" w:rsidRPr="001C3AD2">
        <w:t>(</w:t>
      </w:r>
      <w:proofErr w:type="spellStart"/>
      <w:r w:rsidR="001C3AD2" w:rsidRPr="001C3AD2">
        <w:t>Figlewski</w:t>
      </w:r>
      <w:proofErr w:type="spellEnd"/>
      <w:r w:rsidR="001C3AD2" w:rsidRPr="001C3AD2">
        <w:t>, 2018)</w:t>
      </w:r>
      <w:r w:rsidR="001C3AD2">
        <w:fldChar w:fldCharType="end"/>
      </w:r>
      <w:r w:rsidRPr="00474D4A">
        <w:t>。</w:t>
      </w:r>
      <w:r w:rsidRPr="00474D4A">
        <w:t>He, Peng, Zhang, &amp; Zhao</w:t>
      </w:r>
      <w:r w:rsidR="001C3AD2">
        <w:rPr>
          <w:rFonts w:hint="eastAsia"/>
        </w:rPr>
        <w:t xml:space="preserve"> </w:t>
      </w:r>
      <w:r w:rsidR="001C3AD2">
        <w:fldChar w:fldCharType="begin"/>
      </w:r>
      <w:r w:rsidR="001C3AD2">
        <w:instrText xml:space="preserve"> ADDIN ZOTERO_ITEM CSL_CITATION {"citationID":"I3Mi31wQ","properties":{"formattedCitation":"(2022)","plainCitation":"(2022)","noteIndex":0},"citationItems":[{"id":52,"uris":["http://zotero.org/users/16294904/items/ZBNB6UFK"],"itemData":{"id":52,"type":"article-journal","abstract":"We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C3AD2">
        <w:fldChar w:fldCharType="separate"/>
      </w:r>
      <w:r w:rsidR="001C3AD2" w:rsidRPr="001C3AD2">
        <w:t>(2022)</w:t>
      </w:r>
      <w:r w:rsidR="001C3AD2">
        <w:fldChar w:fldCharType="end"/>
      </w:r>
      <w:r w:rsidR="001C3AD2">
        <w:rPr>
          <w:rFonts w:hint="eastAsia"/>
        </w:rPr>
        <w:t xml:space="preserve"> </w:t>
      </w:r>
      <w:r w:rsidRPr="00474D4A">
        <w:t>建議使用廣義柏拉圖分配來估計</w:t>
      </w:r>
      <w:r w:rsidRPr="00474D4A">
        <w:t>RND</w:t>
      </w:r>
      <w:r w:rsidRPr="00474D4A">
        <w:t>的尾部，這種方法在處理極端市場條件下特別有效。</w:t>
      </w:r>
      <w:proofErr w:type="spellStart"/>
      <w:r w:rsidRPr="00474D4A">
        <w:t>Figlewski</w:t>
      </w:r>
      <w:proofErr w:type="spellEnd"/>
      <w:r w:rsidR="001C3AD2">
        <w:rPr>
          <w:rFonts w:hint="eastAsia"/>
        </w:rPr>
        <w:t xml:space="preserve"> </w:t>
      </w:r>
      <w:r w:rsidR="001C3AD2">
        <w:fldChar w:fldCharType="begin"/>
      </w:r>
      <w:r w:rsidR="001C3AD2">
        <w:instrText xml:space="preserve"> ADDIN ZOTERO_ITEM CSL_CITATION {"citationID":"zHKgOAHF","properties":{"formattedCitation":"(2018)","plainCitation":"(2018)","noteIndex":0},"citationItems":[{"id":8,"uris":["http://zotero.org/users/16294904/items/ZB5NVCX4"],"itemData":{"id":8,"type":"article-journal","abstract":"Trading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Densities","volume":"10","author":[{"family":"Figlewski","given":"Stephen"}],"issued":{"date-parts":[["2018",11,1]]}},"suppress-author":true}],"schema":"https://github.com/citation-style-language/schema/raw/master/csl-citation.json"} </w:instrText>
      </w:r>
      <w:r w:rsidR="001C3AD2">
        <w:fldChar w:fldCharType="separate"/>
      </w:r>
      <w:r w:rsidR="001C3AD2" w:rsidRPr="001C3AD2">
        <w:t>(2018)</w:t>
      </w:r>
      <w:r w:rsidR="001C3AD2">
        <w:fldChar w:fldCharType="end"/>
      </w:r>
      <w:r w:rsidR="001C3AD2">
        <w:rPr>
          <w:rFonts w:hint="eastAsia"/>
        </w:rPr>
        <w:t xml:space="preserve"> </w:t>
      </w:r>
      <w:r w:rsidRPr="00474D4A">
        <w:t>特別強調，建構</w:t>
      </w:r>
      <w:r w:rsidRPr="00474D4A">
        <w:t>RND</w:t>
      </w:r>
      <w:r w:rsidRPr="00474D4A">
        <w:t>時需要審慎處理期權價格中的雜訊和極端值。他建議採用四階或更高階</w:t>
      </w:r>
      <w:proofErr w:type="gramStart"/>
      <w:r w:rsidRPr="00474D4A">
        <w:t>的樣條函數</w:t>
      </w:r>
      <w:proofErr w:type="gramEnd"/>
      <w:r w:rsidRPr="00474D4A">
        <w:t>進行</w:t>
      </w:r>
      <w:r w:rsidRPr="00474D4A">
        <w:lastRenderedPageBreak/>
        <w:t>平滑化處理，以避免</w:t>
      </w:r>
      <w:r w:rsidRPr="00474D4A">
        <w:t>RND</w:t>
      </w:r>
      <w:r w:rsidRPr="00474D4A">
        <w:t>出現不合理的尖峰或負值機率。這個技術細節的處理對於確保</w:t>
      </w:r>
      <w:r w:rsidRPr="00474D4A">
        <w:t>RND</w:t>
      </w:r>
      <w:r w:rsidRPr="00474D4A">
        <w:t>估計的可靠性至關重要，也為後續研究提供了重要的方法論指引。</w:t>
      </w:r>
    </w:p>
    <w:p w14:paraId="57F8E8D7" w14:textId="3E6355CC" w:rsidR="008C28A6" w:rsidRDefault="00B67397" w:rsidP="00B67397">
      <w:pPr>
        <w:pStyle w:val="2"/>
      </w:pPr>
      <w:r>
        <w:rPr>
          <w:rFonts w:hint="eastAsia"/>
        </w:rPr>
        <w:t>2.2</w:t>
      </w:r>
      <w:r>
        <w:rPr>
          <w:rFonts w:hint="eastAsia"/>
        </w:rPr>
        <w:t>加密貨幣</w:t>
      </w:r>
      <w:r w:rsidR="00474D4A">
        <w:rPr>
          <w:rFonts w:hint="eastAsia"/>
        </w:rPr>
        <w:t>衍生性商品市場發展</w:t>
      </w:r>
    </w:p>
    <w:p w14:paraId="2DD44465" w14:textId="79A05B90" w:rsidR="00474D4A" w:rsidRPr="00474D4A" w:rsidRDefault="00474D4A" w:rsidP="001C3AD2">
      <w:pPr>
        <w:spacing w:before="180" w:after="180"/>
        <w:ind w:firstLine="480"/>
      </w:pPr>
      <w:r w:rsidRPr="00474D4A">
        <w:t>隨著加密貨幣市場的蓬勃發展，比</w:t>
      </w:r>
      <w:proofErr w:type="gramStart"/>
      <w:r w:rsidRPr="00474D4A">
        <w:t>特</w:t>
      </w:r>
      <w:proofErr w:type="gramEnd"/>
      <w:r w:rsidRPr="00474D4A">
        <w:t>幣衍生性金融商品的重要性與日俱增。</w:t>
      </w:r>
      <w:r w:rsidRPr="00474D4A">
        <w:t>Zulfiqar</w:t>
      </w:r>
      <w:r w:rsidR="001C3AD2">
        <w:rPr>
          <w:rFonts w:hint="eastAsia"/>
        </w:rPr>
        <w:t>和</w:t>
      </w:r>
      <w:r w:rsidRPr="00474D4A">
        <w:t>Gulzar</w:t>
      </w:r>
      <w:r w:rsidR="001C3AD2">
        <w:rPr>
          <w:rFonts w:hint="eastAsia"/>
        </w:rPr>
        <w:t xml:space="preserve"> </w:t>
      </w:r>
      <w:r w:rsidR="001C3AD2">
        <w:fldChar w:fldCharType="begin"/>
      </w:r>
      <w:r w:rsidR="006C3E84">
        <w:instrText xml:space="preserve"> ADDIN ZOTERO_ITEM CSL_CITATION {"citationID":"DwLB4mex","properties":{"formattedCitation":"( 2021 )","plainCitation":"( 2021 )","dontUpdate":true,"noteIndex":0},"citationItems":[{"id":54,"uris":["http://zotero.org/users/16294904/items/ERGP8V53"],"itemData":{"id":54,"type":"article-journal","abstract":"The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pricing","volume":"7","author":[{"family":"Zulfiqar","given":"Noshaba"},{"family":"Gulzar","given":"Saqib"}],"issued":{"date-parts":[["2021",9,6]]}},"suppress-author":true,"prefix":" ","suffix":" "}],"schema":"https://github.com/citation-style-language/schema/raw/master/csl-citation.json"}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指出，</w:t>
      </w:r>
      <w:proofErr w:type="spellStart"/>
      <w:r w:rsidRPr="00474D4A">
        <w:t>Deribit</w:t>
      </w:r>
      <w:proofErr w:type="spellEnd"/>
      <w:r w:rsidRPr="00474D4A">
        <w:t>、</w:t>
      </w:r>
      <w:proofErr w:type="spellStart"/>
      <w:r w:rsidRPr="00474D4A">
        <w:t>LedgerX</w:t>
      </w:r>
      <w:proofErr w:type="spellEnd"/>
      <w:r w:rsidRPr="00474D4A">
        <w:t>等交易所提供的比特幣期權交易，為投資人提供了更多元的避險工具。特別是芝加哥商品交易所（</w:t>
      </w:r>
      <w:r w:rsidRPr="00474D4A">
        <w:t>CME</w:t>
      </w:r>
      <w:r w:rsidRPr="00474D4A">
        <w:t>）於</w:t>
      </w:r>
      <w:r w:rsidRPr="00474D4A">
        <w:t>2020</w:t>
      </w:r>
      <w:r w:rsidRPr="00474D4A">
        <w:t>年第一季推出比</w:t>
      </w:r>
      <w:proofErr w:type="gramStart"/>
      <w:r w:rsidRPr="00474D4A">
        <w:t>特</w:t>
      </w:r>
      <w:proofErr w:type="gramEnd"/>
      <w:r w:rsidRPr="00474D4A">
        <w:t>幣</w:t>
      </w:r>
      <w:r w:rsidR="00BB3877">
        <w:rPr>
          <w:rFonts w:hint="eastAsia"/>
        </w:rPr>
        <w:t>選擇權</w:t>
      </w:r>
      <w:r w:rsidRPr="00474D4A">
        <w:t>，更為這個新興市場帶來重要的里程碑。根據其研究，比</w:t>
      </w:r>
      <w:proofErr w:type="gramStart"/>
      <w:r w:rsidRPr="00474D4A">
        <w:t>特幣期</w:t>
      </w:r>
      <w:proofErr w:type="gramEnd"/>
      <w:r w:rsidRPr="00474D4A">
        <w:t>權市場展現出獨特的波動度特徵，特別是在隱含波動度方面呈現出明顯</w:t>
      </w:r>
      <w:proofErr w:type="gramStart"/>
      <w:r w:rsidRPr="00474D4A">
        <w:t>的前偏斜</w:t>
      </w:r>
      <w:proofErr w:type="gramEnd"/>
      <w:r w:rsidRPr="00474D4A">
        <w:t>（</w:t>
      </w:r>
      <w:r w:rsidRPr="00474D4A">
        <w:t>Forward Skew</w:t>
      </w:r>
      <w:r w:rsidRPr="00474D4A">
        <w:t>）現象，這與商品期權市場的特徵相似。</w:t>
      </w:r>
      <w:proofErr w:type="gramStart"/>
      <w:r w:rsidRPr="00474D4A">
        <w:t>此外，</w:t>
      </w:r>
      <w:proofErr w:type="gramEnd"/>
      <w:r w:rsidRPr="00474D4A">
        <w:t>短天期</w:t>
      </w:r>
      <w:proofErr w:type="gramStart"/>
      <w:r w:rsidRPr="00474D4A">
        <w:t>期</w:t>
      </w:r>
      <w:proofErr w:type="gramEnd"/>
      <w:r w:rsidRPr="00474D4A">
        <w:t>權的波動度微笑（</w:t>
      </w:r>
      <w:r w:rsidRPr="00474D4A">
        <w:t>Volatility Smile</w:t>
      </w:r>
      <w:r w:rsidRPr="00474D4A">
        <w:t>）現象特別明顯，反映出市場對極端風險的定價考量。</w:t>
      </w:r>
    </w:p>
    <w:p w14:paraId="43509D59" w14:textId="52A8D897" w:rsidR="00474D4A" w:rsidRPr="00474D4A" w:rsidRDefault="00474D4A" w:rsidP="001C3AD2">
      <w:pPr>
        <w:spacing w:before="180" w:after="180"/>
        <w:ind w:firstLine="480"/>
      </w:pPr>
      <w:r w:rsidRPr="00474D4A">
        <w:t>風險特徵方面，</w:t>
      </w:r>
      <w:r w:rsidRPr="00474D4A">
        <w:t>Chordia et al.</w:t>
      </w:r>
      <w:r w:rsidR="001C3AD2">
        <w:rPr>
          <w:rFonts w:hint="eastAsia"/>
        </w:rPr>
        <w:t xml:space="preserve"> </w:t>
      </w:r>
      <w:r w:rsidR="001C3AD2">
        <w:fldChar w:fldCharType="begin"/>
      </w:r>
      <w:r w:rsidR="001C3AD2">
        <w:instrText xml:space="preserve"> ADDIN ZOTERO_ITEM CSL_CITATION {"citationID":"ZJdOVtKa","properties":{"formattedCitation":"(2021)","plainCitation":"(2021)","noteIndex":0},"citationItems":[{"id":48,"uris":["http://zotero.org/users/16294904/items/R66D3QNK"],"itemData":{"id":48,"type":"article-journal","abstract":"In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00BB3877">
        <w:rPr>
          <w:rFonts w:hint="eastAsia"/>
        </w:rPr>
        <w:t>之</w:t>
      </w:r>
      <w:r w:rsidRPr="00474D4A">
        <w:t>研究發現，比</w:t>
      </w:r>
      <w:proofErr w:type="gramStart"/>
      <w:r w:rsidRPr="00474D4A">
        <w:t>特幣期</w:t>
      </w:r>
      <w:proofErr w:type="gramEnd"/>
      <w:r w:rsidRPr="00474D4A">
        <w:t>權市場的</w:t>
      </w:r>
      <w:r w:rsidRPr="00474D4A">
        <w:t>RND</w:t>
      </w:r>
      <w:r w:rsidRPr="00474D4A">
        <w:t>往往呈現出顯著的左</w:t>
      </w:r>
      <w:proofErr w:type="gramStart"/>
      <w:r w:rsidRPr="00474D4A">
        <w:t>偏和超額峰度</w:t>
      </w:r>
      <w:proofErr w:type="gramEnd"/>
      <w:r w:rsidRPr="00474D4A">
        <w:t>，這反映了投資人對加密貨幣市場下跌風險的擔憂。</w:t>
      </w:r>
      <w:proofErr w:type="spellStart"/>
      <w:r w:rsidRPr="00474D4A">
        <w:t>Akyildirim</w:t>
      </w:r>
      <w:proofErr w:type="spellEnd"/>
      <w:r w:rsidRPr="00474D4A">
        <w:t xml:space="preserve"> et al.</w:t>
      </w:r>
      <w:r w:rsidR="001C3AD2">
        <w:rPr>
          <w:rFonts w:hint="eastAsia"/>
        </w:rPr>
        <w:t xml:space="preserve"> </w:t>
      </w:r>
      <w:r w:rsidR="001C3AD2">
        <w:fldChar w:fldCharType="begin"/>
      </w:r>
      <w:r w:rsidR="001C3AD2">
        <w:instrText xml:space="preserve"> ADDIN ZOTERO_ITEM CSL_CITATION {"citationID":"d1PY9vSH","properties":{"formattedCitation":"(2020)","plainCitation":"(2020)","noteIndex":0},"citationItems":[{"id":41,"uris":["http://zotero.org/users/16294904/items/AFHN3HYW"],"itemData":{"id":41,"type":"article-journal","abstract":"We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進一步指出，加密貨幣市場在投資者「恐懼」情緒升高時表現出較高的波動性，且其波動性與</w:t>
      </w:r>
      <w:r w:rsidRPr="00474D4A">
        <w:t>VIX</w:t>
      </w:r>
      <w:r w:rsidRPr="00474D4A">
        <w:t>等傳統波動性指標在這些時期呈現顯著相關性。</w:t>
      </w:r>
    </w:p>
    <w:p w14:paraId="2754234F" w14:textId="2B313D4C" w:rsidR="00AC00D6" w:rsidRPr="00474D4A" w:rsidRDefault="00474D4A" w:rsidP="001C3AD2">
      <w:pPr>
        <w:spacing w:before="180" w:after="180"/>
        <w:ind w:firstLine="480"/>
      </w:pPr>
      <w:r w:rsidRPr="00474D4A">
        <w:t>值得注意的是，</w:t>
      </w:r>
      <w:proofErr w:type="spellStart"/>
      <w:r w:rsidRPr="00474D4A">
        <w:t>Jackwerth</w:t>
      </w:r>
      <w:proofErr w:type="spellEnd"/>
      <w:r w:rsidR="001C3AD2">
        <w:rPr>
          <w:rFonts w:hint="eastAsia"/>
        </w:rPr>
        <w:t xml:space="preserve"> </w:t>
      </w:r>
      <w:r w:rsidR="001C3AD2">
        <w:fldChar w:fldCharType="begin"/>
      </w:r>
      <w:r w:rsidR="001C3AD2">
        <w:instrText xml:space="preserve"> ADDIN ZOTERO_ITEM CSL_CITATION {"citationID":"lI0s0atV","properties":{"formattedCitation":"(2020)","plainCitation":"(2020)","noteIndex":0},"citationItems":[{"id":6,"uris":["http://zotero.org/users/16294904/items/LV2QCARY"],"itemData":{"id":6,"type":"article-journal","abstract":"Abstract\n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透過分析</w:t>
      </w:r>
      <w:r w:rsidRPr="00474D4A">
        <w:t>S&amp;P 500</w:t>
      </w:r>
      <w:r w:rsidRPr="00474D4A">
        <w:t>指數</w:t>
      </w:r>
      <w:r w:rsidR="00BB3877">
        <w:rPr>
          <w:rFonts w:hint="eastAsia"/>
        </w:rPr>
        <w:t>選擇權之風險中立機率</w:t>
      </w:r>
      <w:r w:rsidRPr="00474D4A">
        <w:t>，發現市場在</w:t>
      </w:r>
      <w:r w:rsidRPr="00474D4A">
        <w:t>2020</w:t>
      </w:r>
      <w:r w:rsidRPr="00474D4A">
        <w:t>年</w:t>
      </w:r>
      <w:r w:rsidRPr="00474D4A">
        <w:t>2</w:t>
      </w:r>
      <w:r w:rsidRPr="00474D4A">
        <w:t>月</w:t>
      </w:r>
      <w:r w:rsidRPr="00474D4A">
        <w:t>20</w:t>
      </w:r>
      <w:r w:rsidRPr="00474D4A">
        <w:t>日尚未反映出即將到來的危機，直到</w:t>
      </w:r>
      <w:r w:rsidRPr="00474D4A">
        <w:t>3</w:t>
      </w:r>
      <w:r w:rsidRPr="00474D4A">
        <w:t>月</w:t>
      </w:r>
      <w:r w:rsidRPr="00474D4A">
        <w:t>16</w:t>
      </w:r>
      <w:r w:rsidRPr="00474D4A">
        <w:t>日才完全體現出危機的影響。這個發現顯示加密貨幣市場的效率性與傳統金融市場類似，都需要一定時間來消化和反映重大事件的影響。</w:t>
      </w:r>
    </w:p>
    <w:p w14:paraId="2417175D" w14:textId="4A2CF50E" w:rsidR="00921A82" w:rsidRDefault="00B67397" w:rsidP="00B67397">
      <w:pPr>
        <w:pStyle w:val="2"/>
      </w:pPr>
      <w:r>
        <w:rPr>
          <w:rFonts w:hint="eastAsia"/>
        </w:rPr>
        <w:t>2.3</w:t>
      </w:r>
      <w:r w:rsidR="00474D4A">
        <w:rPr>
          <w:rFonts w:hint="eastAsia"/>
        </w:rPr>
        <w:t>選擇權市場實證研究回顧</w:t>
      </w:r>
    </w:p>
    <w:p w14:paraId="1996E337" w14:textId="655D9942" w:rsidR="00474D4A" w:rsidRPr="00474D4A" w:rsidRDefault="00474D4A" w:rsidP="001C3AD2">
      <w:pPr>
        <w:spacing w:before="180" w:after="180"/>
        <w:ind w:firstLine="480"/>
      </w:pPr>
      <w:r w:rsidRPr="00474D4A">
        <w:t>在實證研究方面，</w:t>
      </w:r>
      <w:proofErr w:type="spellStart"/>
      <w:r w:rsidRPr="00474D4A">
        <w:t>Mohrschladt</w:t>
      </w:r>
      <w:proofErr w:type="spellEnd"/>
      <w:r w:rsidR="001C3AD2">
        <w:rPr>
          <w:rFonts w:hint="eastAsia"/>
        </w:rPr>
        <w:t>和</w:t>
      </w:r>
      <w:r w:rsidRPr="00474D4A">
        <w:t>Schneider</w:t>
      </w:r>
      <w:r w:rsidR="001C3AD2">
        <w:rPr>
          <w:rFonts w:hint="eastAsia"/>
        </w:rPr>
        <w:t xml:space="preserve"> </w:t>
      </w:r>
      <w:r w:rsidR="001C3AD2">
        <w:fldChar w:fldCharType="begin"/>
      </w:r>
      <w:r w:rsidR="001C3AD2">
        <w:instrText xml:space="preserve"> ADDIN ZOTERO_ITEM CSL_CITATION {"citationID":"de5kGxHE","properties":{"formattedCitation":"(2021)","plainCitation":"(2021)","noteIndex":0},"citationItems":[{"id":50,"uris":["http://zotero.org/users/16294904/items/EF47P6GN"],"itemData":{"id":50,"type":"article-journal","abstract":"While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使用高頻期權交易資料進行分析，發現價內期權與價外期權的隱含波動度差異具有重要的資訊含量。特別是</w:t>
      </w:r>
      <w:r w:rsidRPr="00474D4A">
        <w:lastRenderedPageBreak/>
        <w:t>在計算模型自由隱含偏態（</w:t>
      </w:r>
      <w:r w:rsidRPr="00474D4A">
        <w:t>Model-Free Implied Skewness</w:t>
      </w:r>
      <w:r w:rsidRPr="00474D4A">
        <w:t>）時，若僅使用價外期權可能會忽略重要的市場資訊。他們的研究顯示，價內期權（</w:t>
      </w:r>
      <w:r w:rsidRPr="00474D4A">
        <w:t>ITM options</w:t>
      </w:r>
      <w:r w:rsidRPr="00474D4A">
        <w:t>）包含了重要的市場資訊，應納入分析考量。</w:t>
      </w:r>
    </w:p>
    <w:p w14:paraId="4C9762C3" w14:textId="050F38FE" w:rsidR="00474D4A" w:rsidRPr="00474D4A" w:rsidRDefault="00474D4A" w:rsidP="001C3AD2">
      <w:pPr>
        <w:spacing w:before="180" w:after="180"/>
        <w:ind w:firstLine="480"/>
      </w:pPr>
      <w:r w:rsidRPr="00474D4A">
        <w:t>Feng, He, and Zhang</w:t>
      </w:r>
      <w:r w:rsidR="001C3AD2">
        <w:rPr>
          <w:rFonts w:hint="eastAsia"/>
        </w:rPr>
        <w:t xml:space="preserve"> </w:t>
      </w:r>
      <w:r w:rsidR="001C3AD2">
        <w:fldChar w:fldCharType="begin"/>
      </w:r>
      <w:r w:rsidR="001C3AD2">
        <w:instrText xml:space="preserve"> ADDIN ZOTERO_ITEM CSL_CITATION {"citationID":"rmvTeX7D","properties":{"formattedCitation":"(2024)","plainCitation":"(2024)","noteIndex":0},"citationItems":[{"id":59,"uris":["http://zotero.org/users/16294904/items/3LQVBZQZ"],"itemData":{"id":59,"type":"article-journal","abstract":"Market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針對市場偏態對股票報酬的預測能力進行研究，發現好偏態（</w:t>
      </w:r>
      <w:r w:rsidRPr="00474D4A">
        <w:t>Good Skewness</w:t>
      </w:r>
      <w:r w:rsidRPr="00474D4A">
        <w:t>）不僅在樣本內具有顯著的預測能力，在樣本外測試中也展現出優異的表現。特別是當與總體經濟變數和波動度變數相比較時，</w:t>
      </w:r>
      <w:proofErr w:type="gramStart"/>
      <w:r w:rsidRPr="00474D4A">
        <w:t>好偏態能</w:t>
      </w:r>
      <w:proofErr w:type="gramEnd"/>
      <w:r w:rsidRPr="00474D4A">
        <w:t>提供互補或主導性的資訊。</w:t>
      </w:r>
    </w:p>
    <w:p w14:paraId="66B4AC01" w14:textId="4B570F8F" w:rsidR="00474D4A" w:rsidRPr="00474D4A" w:rsidRDefault="00474D4A" w:rsidP="002D2803">
      <w:pPr>
        <w:spacing w:before="180" w:after="180"/>
        <w:ind w:firstLine="480"/>
      </w:pPr>
      <w:r w:rsidRPr="00474D4A">
        <w:t>Li, Wu, Zhang, &amp; Zhang</w:t>
      </w:r>
      <w:r w:rsidR="001C3AD2">
        <w:rPr>
          <w:rFonts w:hint="eastAsia"/>
        </w:rPr>
        <w:t xml:space="preserve"> </w:t>
      </w:r>
      <w:r w:rsidR="001C3AD2">
        <w:fldChar w:fldCharType="begin"/>
      </w:r>
      <w:r w:rsidR="001C3AD2">
        <w:instrText xml:space="preserve"> ADDIN ZOTERO_ITEM CSL_CITATION {"citationID":"XRAdphcO","properties":{"formattedCitation":"(2024)","plainCitation":"(2024)","noteIndex":0},"citationItems":[{"id":7,"uris":["http://zotero.org/users/16294904/items/967XFC5W"],"itemData":{"id":7,"type":"article-journal","abstract":"This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的最新研究發現，風險中性偏態（</w:t>
      </w:r>
      <w:r w:rsidRPr="00474D4A">
        <w:t>Risk-Neutral Skewness, RNS</w:t>
      </w:r>
      <w:r w:rsidRPr="00474D4A">
        <w:t>）對未來股票報酬具有顯著的預測能力，尤其在經濟衰退期間表現更為顯著。從經濟學角度來看，</w:t>
      </w:r>
      <w:r w:rsidRPr="00474D4A">
        <w:t xml:space="preserve">RNS </w:t>
      </w:r>
      <w:r w:rsidRPr="00474D4A">
        <w:t>包含了市場參與者對未來投資機會集合的預期。當</w:t>
      </w:r>
      <w:r w:rsidRPr="00474D4A">
        <w:t>RNS</w:t>
      </w:r>
      <w:r w:rsidRPr="00474D4A">
        <w:t>上升時，表明投資人預期未來報酬分配向右偏移，投資環境趨於改善。這種預測能力在經濟衰退期間表現更為顯著，這與</w:t>
      </w:r>
      <w:proofErr w:type="spellStart"/>
      <w:r w:rsidRPr="00474D4A">
        <w:t>Cujean</w:t>
      </w:r>
      <w:proofErr w:type="spellEnd"/>
      <w:r w:rsidR="001C3AD2">
        <w:rPr>
          <w:rFonts w:hint="eastAsia"/>
        </w:rPr>
        <w:t>和</w:t>
      </w:r>
      <w:r w:rsidRPr="00474D4A">
        <w:t>Hasler</w:t>
      </w:r>
      <w:r w:rsidR="002D2803">
        <w:rPr>
          <w:rFonts w:hint="eastAsia"/>
        </w:rPr>
        <w:t xml:space="preserve"> </w:t>
      </w:r>
      <w:r w:rsidR="002D2803">
        <w:fldChar w:fldCharType="begin"/>
      </w:r>
      <w:r w:rsidR="002D2803">
        <w:instrText xml:space="preserve"> ADDIN ZOTERO_ITEM CSL_CITATION {"citationID":"btbO5F4l","properties":{"formattedCitation":"(2017)","plainCitation":"(2017)","noteIndex":0},"citationItems":[{"id":65,"uris":["http://zotero.org/users/16294904/items/QZA4WV56"],"itemData":{"id":65,"type":"article-journal","abstract":"We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2D2803">
        <w:fldChar w:fldCharType="separate"/>
      </w:r>
      <w:r w:rsidR="002D2803" w:rsidRPr="002D2803">
        <w:t>(2017)</w:t>
      </w:r>
      <w:r w:rsidR="002D2803">
        <w:fldChar w:fldCharType="end"/>
      </w:r>
      <w:r w:rsidR="002D2803">
        <w:rPr>
          <w:rFonts w:hint="eastAsia"/>
        </w:rPr>
        <w:t xml:space="preserve"> </w:t>
      </w:r>
      <w:r w:rsidRPr="00474D4A">
        <w:t>的理論預測一致，即在經濟狀況惡化時，不確定性上升導致投資人意見分歧加劇，進而強化了預測能力。</w:t>
      </w:r>
    </w:p>
    <w:p w14:paraId="3C37820C" w14:textId="6A4828D6" w:rsidR="00474D4A" w:rsidRPr="00474D4A" w:rsidRDefault="00474D4A" w:rsidP="002D2803">
      <w:pPr>
        <w:spacing w:before="180" w:after="180"/>
        <w:ind w:firstLine="480"/>
      </w:pPr>
      <w:r w:rsidRPr="00474D4A">
        <w:t>在市場情緒指標方面，</w:t>
      </w:r>
      <w:r w:rsidRPr="00474D4A">
        <w:t>Köse et al.</w:t>
      </w:r>
      <w:r w:rsidR="002D2803">
        <w:rPr>
          <w:rFonts w:hint="eastAsia"/>
        </w:rPr>
        <w:t xml:space="preserve"> </w:t>
      </w:r>
      <w:r w:rsidR="002D2803">
        <w:fldChar w:fldCharType="begin"/>
      </w:r>
      <w:r w:rsidR="002D2803">
        <w:instrText xml:space="preserve"> ADDIN ZOTERO_ITEM CSL_CITATION {"citationID":"4s8rmaer","properties":{"formattedCitation":"(2024)","plainCitation":"(2024)","noteIndex":0},"citationItems":[{"id":57,"uris":["http://zotero.org/users/16294904/items/SYCUYLZ9"],"itemData":{"id":57,"type":"article-journal","abstract":"This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2D2803">
        <w:fldChar w:fldCharType="separate"/>
      </w:r>
      <w:r w:rsidR="002D2803" w:rsidRPr="002D2803">
        <w:t>(2024)</w:t>
      </w:r>
      <w:r w:rsidR="002D2803">
        <w:fldChar w:fldCharType="end"/>
      </w:r>
      <w:r w:rsidR="002D2803">
        <w:rPr>
          <w:rFonts w:hint="eastAsia"/>
        </w:rPr>
        <w:t xml:space="preserve"> </w:t>
      </w:r>
      <w:r w:rsidRPr="00474D4A">
        <w:t>的研究指出，</w:t>
      </w:r>
      <w:r w:rsidRPr="00474D4A">
        <w:t>VIX</w:t>
      </w:r>
      <w:r w:rsidRPr="00474D4A">
        <w:t>與比</w:t>
      </w:r>
      <w:proofErr w:type="gramStart"/>
      <w:r w:rsidRPr="00474D4A">
        <w:t>特</w:t>
      </w:r>
      <w:proofErr w:type="gramEnd"/>
      <w:r w:rsidRPr="00474D4A">
        <w:t>幣價格之間存在統計顯著的負相關關係。具體而言，當</w:t>
      </w:r>
      <w:r w:rsidRPr="00474D4A">
        <w:t>VIX</w:t>
      </w:r>
      <w:r w:rsidRPr="00474D4A">
        <w:t>上升時，比</w:t>
      </w:r>
      <w:proofErr w:type="gramStart"/>
      <w:r w:rsidRPr="00474D4A">
        <w:t>特</w:t>
      </w:r>
      <w:proofErr w:type="gramEnd"/>
      <w:r w:rsidRPr="00474D4A">
        <w:t>幣價格往往會下跌，這表明加密貨幣市場仍缺乏完善的保護性控制機制，使其具有較高的不確定性。</w:t>
      </w:r>
    </w:p>
    <w:p w14:paraId="5F6973AB" w14:textId="157367F8" w:rsidR="00AC00D6" w:rsidRPr="00BB3877" w:rsidRDefault="00474D4A" w:rsidP="00BB3877">
      <w:pPr>
        <w:spacing w:before="180" w:after="180"/>
        <w:ind w:firstLine="480"/>
      </w:pPr>
      <w:r w:rsidRPr="00474D4A">
        <w:t>以上文獻回顧涵蓋了風險</w:t>
      </w:r>
      <w:r w:rsidR="00BB3877">
        <w:rPr>
          <w:rFonts w:hint="eastAsia"/>
        </w:rPr>
        <w:t>中立機率</w:t>
      </w:r>
      <w:r w:rsidRPr="00474D4A">
        <w:t>估計的理論發展、加密貨幣市場的特性，以及相關實證研究的重要發現，為本研究建立了堅實的理論基礎。這些研究成果不僅有助於我們理解比</w:t>
      </w:r>
      <w:proofErr w:type="gramStart"/>
      <w:r w:rsidRPr="00474D4A">
        <w:t>特</w:t>
      </w:r>
      <w:proofErr w:type="gramEnd"/>
      <w:r w:rsidRPr="00474D4A">
        <w:t>幣</w:t>
      </w:r>
      <w:r w:rsidR="00BB3877">
        <w:rPr>
          <w:rFonts w:hint="eastAsia"/>
        </w:rPr>
        <w:t>選擇權</w:t>
      </w:r>
      <w:r w:rsidRPr="00474D4A">
        <w:t>市場的特性，也為後續的實證分析提供了重要的方法論參考。</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3479189B"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D7564B">
        <w:rPr>
          <w:rFonts w:hint="eastAsia"/>
        </w:rPr>
        <w:t>圖</w:t>
      </w:r>
      <w:r w:rsidR="00D7564B">
        <w:rPr>
          <w:rFonts w:hint="eastAsia"/>
        </w:rPr>
        <w:t>3-</w:t>
      </w:r>
      <w:r w:rsidR="00D7564B">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2AF4C121"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1</w:t>
      </w:r>
      <w:r>
        <w:fldChar w:fldCharType="end"/>
      </w:r>
      <w:bookmarkEnd w:id="3"/>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472E345"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D7564B">
        <w:rPr>
          <w:rFonts w:hint="eastAsia"/>
        </w:rPr>
        <w:t>圖</w:t>
      </w:r>
      <w:r w:rsidR="00D7564B">
        <w:rPr>
          <w:rFonts w:hint="eastAsia"/>
        </w:rPr>
        <w:t>3-</w:t>
      </w:r>
      <w:r w:rsidR="00D7564B">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D7564B">
        <w:rPr>
          <w:rFonts w:hint="eastAsia"/>
        </w:rPr>
        <w:t>圖</w:t>
      </w:r>
      <w:r w:rsidR="00D7564B">
        <w:rPr>
          <w:rFonts w:hint="eastAsia"/>
        </w:rPr>
        <w:t>3-</w:t>
      </w:r>
      <w:r w:rsidR="00D7564B">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6CD2A6EA" w:rsidR="00663F14" w:rsidRPr="00FB35F3" w:rsidRDefault="00B634F1" w:rsidP="00B634F1">
      <w:pPr>
        <w:pStyle w:val="a9"/>
        <w:spacing w:before="180" w:after="180"/>
      </w:pPr>
      <w:bookmarkStart w:id="4"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61A4F735" w:rsidR="00B53910" w:rsidRDefault="002F31B5" w:rsidP="008E3193">
      <w:pPr>
        <w:pStyle w:val="a9"/>
        <w:spacing w:before="180" w:after="180"/>
      </w:pPr>
      <w:bookmarkStart w:id="5"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3</w:t>
      </w:r>
      <w:r>
        <w:fldChar w:fldCharType="end"/>
      </w:r>
      <w:bookmarkEnd w:id="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p>
    <w:p w14:paraId="26B0396F" w14:textId="086EB2EF"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D7564B">
        <w:rPr>
          <w:rFonts w:hint="eastAsia"/>
        </w:rPr>
        <w:t>圖</w:t>
      </w:r>
      <w:r w:rsidR="00D7564B">
        <w:rPr>
          <w:rFonts w:hint="eastAsia"/>
        </w:rPr>
        <w:t>3-</w:t>
      </w:r>
      <w:r w:rsidR="00D7564B">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40911571" w:rsidR="00B53910" w:rsidRPr="00B53910" w:rsidRDefault="00B53910" w:rsidP="00B53910">
      <w:pPr>
        <w:pStyle w:val="a9"/>
        <w:spacing w:before="180" w:after="180"/>
      </w:pPr>
      <w:bookmarkStart w:id="6"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4</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proofErr w:type="gramEnd"/>
    </w:p>
    <w:p w14:paraId="51E8C060" w14:textId="5E176D24"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D7564B">
        <w:rPr>
          <w:rFonts w:hint="eastAsia"/>
        </w:rPr>
        <w:t>圖</w:t>
      </w:r>
      <w:r w:rsidR="00D7564B">
        <w:rPr>
          <w:rFonts w:hint="eastAsia"/>
        </w:rPr>
        <w:t>3-</w:t>
      </w:r>
      <w:r w:rsidR="00D7564B">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610F648E" w:rsidR="00B53910" w:rsidRPr="00B53910" w:rsidRDefault="00B53910" w:rsidP="00B53910">
      <w:pPr>
        <w:pStyle w:val="a9"/>
        <w:spacing w:before="180" w:after="180"/>
      </w:pPr>
      <w:bookmarkStart w:id="7"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5</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 w:name="_Toc182815179"/>
      <w:r>
        <w:rPr>
          <w:rFonts w:hint="eastAsia"/>
        </w:rPr>
        <w:lastRenderedPageBreak/>
        <w:t>第四章、</w:t>
      </w:r>
      <w:bookmarkEnd w:id="8"/>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DF1DF20" w:rsidR="003643C9" w:rsidRDefault="003643C9" w:rsidP="00646BB2">
            <w:pPr>
              <w:pStyle w:val="a9"/>
              <w:spacing w:before="180" w:after="180"/>
              <w:jc w:val="right"/>
            </w:pPr>
            <w:bookmarkStart w:id="9" w:name="_Ref183666859"/>
            <w:r>
              <w:t>(</w:t>
            </w:r>
            <w:fldSimple w:instr=" SEQ ( \* ARABIC ">
              <w:r w:rsidR="00D7564B">
                <w:rPr>
                  <w:noProof/>
                </w:rPr>
                <w:t>1</w:t>
              </w:r>
            </w:fldSimple>
            <w:r>
              <w:rPr>
                <w:rFonts w:hint="eastAsia"/>
              </w:rPr>
              <w:t>)</w:t>
            </w:r>
            <w:bookmarkEnd w:id="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0FEA21FD" w:rsidR="00764F78" w:rsidRPr="00764F78" w:rsidRDefault="00646BB2" w:rsidP="00764F78">
            <w:pPr>
              <w:pStyle w:val="a9"/>
              <w:spacing w:before="180" w:after="180"/>
              <w:jc w:val="right"/>
            </w:pPr>
            <w:bookmarkStart w:id="10" w:name="_Ref183663957"/>
            <w:bookmarkStart w:id="11" w:name="_Ref183663960"/>
            <w:r>
              <w:t>(</w:t>
            </w:r>
            <w:fldSimple w:instr=" SEQ ( \* ARABIC ">
              <w:r w:rsidR="00D7564B">
                <w:rPr>
                  <w:noProof/>
                </w:rPr>
                <w:t>2</w:t>
              </w:r>
            </w:fldSimple>
            <w:bookmarkEnd w:id="10"/>
            <w:r>
              <w:rPr>
                <w:rFonts w:hint="eastAsia"/>
              </w:rPr>
              <w:t>)</w:t>
            </w:r>
            <w:bookmarkEnd w:id="11"/>
          </w:p>
        </w:tc>
      </w:tr>
    </w:tbl>
    <w:p w14:paraId="7ACA79FE" w14:textId="056BF290"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D7564B">
        <w:t>(</w:t>
      </w:r>
      <w:r w:rsidR="00D7564B">
        <w:rPr>
          <w:noProof/>
        </w:rPr>
        <w:t>2</w:t>
      </w:r>
      <w:r w:rsidR="00D7564B">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1663B797" w:rsidR="00C451F7" w:rsidRPr="00764F78" w:rsidRDefault="00C451F7" w:rsidP="009703DB">
            <w:pPr>
              <w:pStyle w:val="a9"/>
              <w:spacing w:before="180" w:after="180"/>
              <w:jc w:val="right"/>
            </w:pPr>
            <w:bookmarkStart w:id="12" w:name="_Ref183665445"/>
            <w:r>
              <w:t>(</w:t>
            </w:r>
            <w:fldSimple w:instr=" SEQ ( \* ARABIC ">
              <w:r w:rsidR="00D7564B">
                <w:rPr>
                  <w:noProof/>
                </w:rPr>
                <w:t>3</w:t>
              </w:r>
            </w:fldSimple>
            <w:r>
              <w:rPr>
                <w:rFonts w:hint="eastAsia"/>
              </w:rPr>
              <w:t>)</w:t>
            </w:r>
            <w:bookmarkEnd w:id="12"/>
          </w:p>
        </w:tc>
      </w:tr>
    </w:tbl>
    <w:p w14:paraId="072B8C89" w14:textId="075A3683"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D7564B">
        <w:t>(</w:t>
      </w:r>
      <w:r w:rsidR="00D7564B">
        <w:rPr>
          <w:noProof/>
        </w:rPr>
        <w:t>2</w:t>
      </w:r>
      <w:r w:rsidR="00D7564B">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D7564B">
        <w:t>(</w:t>
      </w:r>
      <w:r w:rsidR="00D7564B">
        <w:rPr>
          <w:noProof/>
        </w:rPr>
        <w:t>3</w:t>
      </w:r>
      <w:r w:rsidR="00D7564B">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326634E" w:rsidR="006A2DA5" w:rsidRPr="00764F78" w:rsidRDefault="006A2DA5" w:rsidP="00495049">
            <w:pPr>
              <w:pStyle w:val="a9"/>
              <w:spacing w:before="180" w:after="180"/>
              <w:ind w:firstLine="480"/>
              <w:jc w:val="right"/>
            </w:pPr>
            <w:bookmarkStart w:id="13" w:name="_Ref189214718"/>
            <w:r>
              <w:t>(</w:t>
            </w:r>
            <w:fldSimple w:instr=" SEQ ( \* ARABIC ">
              <w:r w:rsidR="00D7564B">
                <w:rPr>
                  <w:noProof/>
                </w:rPr>
                <w:t>4</w:t>
              </w:r>
            </w:fldSimple>
            <w:r>
              <w:rPr>
                <w:rFonts w:hint="eastAsia"/>
              </w:rPr>
              <w:t>)</w:t>
            </w:r>
            <w:bookmarkEnd w:id="13"/>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65D2AD42" w:rsidR="006A2DA5" w:rsidRDefault="006A2DA5" w:rsidP="00495049">
            <w:pPr>
              <w:pStyle w:val="a9"/>
              <w:spacing w:before="180" w:after="180"/>
              <w:ind w:firstLine="480"/>
              <w:jc w:val="right"/>
            </w:pPr>
            <w:bookmarkStart w:id="14" w:name="_Ref183666874"/>
            <w:r>
              <w:t>(</w:t>
            </w:r>
            <w:fldSimple w:instr=" SEQ ( \* ARABIC ">
              <w:r w:rsidR="00D7564B">
                <w:rPr>
                  <w:noProof/>
                </w:rPr>
                <w:t>5</w:t>
              </w:r>
            </w:fldSimple>
            <w:r>
              <w:rPr>
                <w:rFonts w:hint="eastAsia"/>
              </w:rPr>
              <w:t>)</w:t>
            </w:r>
            <w:bookmarkEnd w:id="14"/>
          </w:p>
        </w:tc>
      </w:tr>
    </w:tbl>
    <w:p w14:paraId="41486D5F" w14:textId="7C371787"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D7564B">
        <w:t>(</w:t>
      </w:r>
      <w:r w:rsidR="00D7564B">
        <w:rPr>
          <w:noProof/>
        </w:rPr>
        <w:t>1</w:t>
      </w:r>
      <w:r w:rsidR="00D7564B">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D7564B">
        <w:t>(</w:t>
      </w:r>
      <w:r w:rsidR="00D7564B">
        <w:rPr>
          <w:noProof/>
        </w:rPr>
        <w:t>5</w:t>
      </w:r>
      <w:r w:rsidR="00D7564B">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D7564B">
        <w:t>(</w:t>
      </w:r>
      <w:r w:rsidR="00D7564B">
        <w:rPr>
          <w:noProof/>
        </w:rPr>
        <w:t>2</w:t>
      </w:r>
      <w:r w:rsidR="00D7564B">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D7564B">
        <w:t>(</w:t>
      </w:r>
      <w:r w:rsidR="00D7564B">
        <w:rPr>
          <w:noProof/>
        </w:rPr>
        <w:t>5</w:t>
      </w:r>
      <w:r w:rsidR="00D7564B">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663DCF2" w:rsidR="007C0373" w:rsidRPr="007C0373" w:rsidRDefault="004F631C" w:rsidP="007C0373">
            <w:pPr>
              <w:pStyle w:val="a9"/>
              <w:spacing w:before="180" w:after="180"/>
              <w:ind w:firstLine="480"/>
              <w:jc w:val="right"/>
            </w:pPr>
            <w:r>
              <w:t>(</w:t>
            </w:r>
            <w:fldSimple w:instr=" SEQ ( \* ARABIC ">
              <w:r w:rsidR="00D7564B">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7C70BC8" w:rsidR="004F631C" w:rsidRDefault="004F631C" w:rsidP="00495049">
            <w:pPr>
              <w:pStyle w:val="a9"/>
              <w:spacing w:before="180" w:after="180"/>
              <w:ind w:firstLine="480"/>
              <w:jc w:val="right"/>
            </w:pPr>
            <w:r>
              <w:t>(</w:t>
            </w:r>
            <w:fldSimple w:instr=" SEQ ( \* ARABIC ">
              <w:r w:rsidR="00D7564B">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127B6C4" w:rsidR="004F631C" w:rsidRDefault="00415057" w:rsidP="004F631C">
            <w:pPr>
              <w:pStyle w:val="a9"/>
              <w:spacing w:before="180" w:after="180"/>
              <w:ind w:firstLine="480"/>
              <w:jc w:val="right"/>
            </w:pPr>
            <w:r>
              <w:t>(</w:t>
            </w:r>
            <w:fldSimple w:instr=" SEQ ( \* ARABIC ">
              <w:r w:rsidR="00D7564B">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49247A9" w:rsidR="004F631C" w:rsidRDefault="00415057" w:rsidP="004F631C">
            <w:pPr>
              <w:pStyle w:val="a9"/>
              <w:spacing w:before="180" w:after="180"/>
              <w:ind w:firstLine="480"/>
              <w:jc w:val="right"/>
            </w:pPr>
            <w:r>
              <w:t>(</w:t>
            </w:r>
            <w:fldSimple w:instr=" SEQ ( \* ARABIC ">
              <w:r w:rsidR="00D7564B">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61590858"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D7564B">
        <w:t>(</w:t>
      </w:r>
      <w:r w:rsidR="00D7564B">
        <w:rPr>
          <w:noProof/>
        </w:rPr>
        <w:t>1</w:t>
      </w:r>
      <w:r w:rsidR="00D7564B">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0416EBDD"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D7564B">
        <w:t>(</w:t>
      </w:r>
      <w:r w:rsidR="00D7564B">
        <w:rPr>
          <w:noProof/>
        </w:rPr>
        <w:t>10</w:t>
      </w:r>
      <w:r w:rsidR="00D7564B">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D7564B">
        <w:t>(</w:t>
      </w:r>
      <w:r w:rsidR="00D7564B">
        <w:rPr>
          <w:noProof/>
        </w:rPr>
        <w:t>11</w:t>
      </w:r>
      <w:r w:rsidR="00D7564B">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ED73F50" w:rsidR="00C96DE9" w:rsidRDefault="00C96DE9" w:rsidP="00C96DE9">
            <w:pPr>
              <w:pStyle w:val="a9"/>
              <w:spacing w:before="180" w:after="180"/>
              <w:jc w:val="right"/>
            </w:pPr>
            <w:bookmarkStart w:id="15" w:name="_Ref184140393"/>
            <w:r>
              <w:t>(</w:t>
            </w:r>
            <w:fldSimple w:instr=" SEQ ( \* ARABIC ">
              <w:r w:rsidR="00D7564B">
                <w:rPr>
                  <w:noProof/>
                </w:rPr>
                <w:t>10</w:t>
              </w:r>
            </w:fldSimple>
            <w:r>
              <w:rPr>
                <w:rFonts w:hint="eastAsia"/>
              </w:rPr>
              <w:t>)</w:t>
            </w:r>
            <w:bookmarkEnd w:id="15"/>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7515370" w:rsidR="002116B3" w:rsidRDefault="002116B3" w:rsidP="002116B3">
            <w:pPr>
              <w:pStyle w:val="a9"/>
              <w:spacing w:before="180" w:after="180"/>
              <w:jc w:val="right"/>
            </w:pPr>
            <w:bookmarkStart w:id="16" w:name="_Ref184140413"/>
            <w:r>
              <w:t>(</w:t>
            </w:r>
            <w:fldSimple w:instr=" SEQ ( \* ARABIC ">
              <w:r w:rsidR="00D7564B">
                <w:rPr>
                  <w:noProof/>
                </w:rPr>
                <w:t>11</w:t>
              </w:r>
            </w:fldSimple>
            <w:r>
              <w:rPr>
                <w:rFonts w:hint="eastAsia"/>
              </w:rPr>
              <w:t>)</w:t>
            </w:r>
            <w:bookmarkEnd w:id="1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w:t>
      </w:r>
      <w:proofErr w:type="gramStart"/>
      <w:r>
        <w:rPr>
          <w:rFonts w:hint="eastAsia"/>
        </w:rPr>
        <w:t>特</w:t>
      </w:r>
      <w:proofErr w:type="gramEnd"/>
      <w:r>
        <w:rPr>
          <w:rFonts w:hint="eastAsia"/>
        </w:rPr>
        <w:t>幣選擇權隱含波動率計算</w:t>
      </w:r>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22E5B7F9" w:rsidR="00653CFB" w:rsidRDefault="002D2803" w:rsidP="002D2803">
      <w:pPr>
        <w:spacing w:before="180" w:after="180"/>
        <w:ind w:firstLine="480"/>
      </w:pPr>
      <w:r>
        <w:rPr>
          <w:rFonts w:hint="eastAsia"/>
        </w:rPr>
        <w:t xml:space="preserve">Shimko </w:t>
      </w:r>
      <w:r>
        <w:fldChar w:fldCharType="begin"/>
      </w:r>
      <w:r>
        <w:instrText xml:space="preserve"> ADDIN ZOTERO_ITEM CSL_CITATION {"citationID":"R8eouRPU","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9E9CB84"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D7564B">
        <w:rPr>
          <w:rFonts w:hint="eastAsia"/>
        </w:rPr>
        <w:t>圖</w:t>
      </w:r>
      <w:r w:rsidR="00D7564B">
        <w:rPr>
          <w:rFonts w:hint="eastAsia"/>
        </w:rPr>
        <w:t>4-</w:t>
      </w:r>
      <w:r w:rsidR="00D7564B">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D7564B">
        <w:rPr>
          <w:rFonts w:hint="eastAsia"/>
        </w:rPr>
        <w:t>圖</w:t>
      </w:r>
      <w:r w:rsidR="00D7564B">
        <w:rPr>
          <w:rFonts w:hint="eastAsia"/>
        </w:rPr>
        <w:t>4-</w:t>
      </w:r>
      <w:r w:rsidR="00D7564B">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D7564B">
        <w:rPr>
          <w:rFonts w:hint="eastAsia"/>
        </w:rPr>
        <w:t>圖</w:t>
      </w:r>
      <w:r w:rsidR="00D7564B">
        <w:rPr>
          <w:rFonts w:hint="eastAsia"/>
        </w:rPr>
        <w:t>4-</w:t>
      </w:r>
      <w:r w:rsidR="00D7564B">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487643E4" w:rsidR="00473435" w:rsidRDefault="00473435" w:rsidP="00473435">
      <w:pPr>
        <w:pStyle w:val="a9"/>
        <w:spacing w:before="180" w:after="180"/>
      </w:pPr>
      <w:bookmarkStart w:id="17"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1</w:t>
      </w:r>
      <w:r>
        <w:fldChar w:fldCharType="end"/>
      </w:r>
      <w:bookmarkEnd w:id="1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1793D015" w:rsidR="00473435" w:rsidRDefault="00473435" w:rsidP="00473435">
      <w:pPr>
        <w:pStyle w:val="a9"/>
        <w:spacing w:before="180" w:after="180"/>
      </w:pPr>
      <w:bookmarkStart w:id="18"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2</w:t>
      </w:r>
      <w:r>
        <w:fldChar w:fldCharType="end"/>
      </w:r>
      <w:bookmarkEnd w:id="1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36295CDD" w:rsidR="009D4D5D" w:rsidRPr="009D4D5D" w:rsidRDefault="009D4D5D" w:rsidP="009D4D5D">
      <w:pPr>
        <w:pStyle w:val="a9"/>
        <w:spacing w:before="180" w:after="180"/>
      </w:pPr>
      <w:bookmarkStart w:id="19"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3</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w:t>
      </w:r>
      <w:proofErr w:type="gramStart"/>
      <w:r>
        <w:rPr>
          <w:rFonts w:hint="eastAsia"/>
        </w:rPr>
        <w:t>特</w:t>
      </w:r>
      <w:proofErr w:type="gramEnd"/>
      <w:r>
        <w:rPr>
          <w:rFonts w:hint="eastAsia"/>
        </w:rPr>
        <w:t>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37251066"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D7564B">
        <w:rPr>
          <w:rFonts w:hint="eastAsia"/>
        </w:rPr>
        <w:t>圖</w:t>
      </w:r>
      <w:r w:rsidR="00D7564B">
        <w:rPr>
          <w:rFonts w:hint="eastAsia"/>
        </w:rPr>
        <w:t>4-</w:t>
      </w:r>
      <w:r w:rsidR="00D7564B">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66688262" w:rsidR="00830EEC" w:rsidRPr="00716605" w:rsidRDefault="00C54885" w:rsidP="00C54885">
      <w:pPr>
        <w:pStyle w:val="a9"/>
        <w:spacing w:before="180" w:after="180"/>
      </w:pPr>
      <w:bookmarkStart w:id="20"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4</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w:t>
      </w:r>
      <w:proofErr w:type="gramStart"/>
      <w:r>
        <w:rPr>
          <w:rFonts w:hint="eastAsia"/>
        </w:rPr>
        <w:t>特</w:t>
      </w:r>
      <w:proofErr w:type="gramEnd"/>
      <w:r>
        <w:rPr>
          <w:rFonts w:hint="eastAsia"/>
        </w:rPr>
        <w:t>幣選擇權風險中立機率密度函數計算</w:t>
      </w:r>
    </w:p>
    <w:p w14:paraId="7E7B25F1" w14:textId="1500EE32"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D7564B">
        <w:t>(</w:t>
      </w:r>
      <w:r w:rsidR="00D7564B">
        <w:rPr>
          <w:noProof/>
        </w:rPr>
        <w:t>11</w:t>
      </w:r>
      <w:r w:rsidR="00D7564B">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D7564B">
        <w:rPr>
          <w:rFonts w:hint="eastAsia"/>
        </w:rPr>
        <w:t>圖</w:t>
      </w:r>
      <w:r w:rsidR="00D7564B">
        <w:rPr>
          <w:rFonts w:hint="eastAsia"/>
        </w:rPr>
        <w:t>4-</w:t>
      </w:r>
      <w:r w:rsidR="00D7564B">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792F8DCE" w:rsidR="00601A99" w:rsidRDefault="00601A99" w:rsidP="00601A99">
      <w:pPr>
        <w:pStyle w:val="a9"/>
        <w:spacing w:before="180" w:after="180"/>
      </w:pPr>
      <w:bookmarkStart w:id="21"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5</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3A2341AB"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D7564B">
        <w:t>(</w:t>
      </w:r>
      <w:r w:rsidR="00D7564B">
        <w:rPr>
          <w:noProof/>
        </w:rPr>
        <w:t>4</w:t>
      </w:r>
      <w:r w:rsidR="00D7564B">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D7564B">
        <w:t>(</w:t>
      </w:r>
      <w:r w:rsidR="00D7564B">
        <w:rPr>
          <w:noProof/>
        </w:rPr>
        <w:t>5</w:t>
      </w:r>
      <w:r w:rsidR="00D7564B">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74035F3F"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D7564B">
        <w:rPr>
          <w:rFonts w:hint="eastAsia"/>
        </w:rPr>
        <w:t>圖</w:t>
      </w:r>
      <w:r w:rsidR="00D7564B">
        <w:rPr>
          <w:rFonts w:hint="eastAsia"/>
        </w:rPr>
        <w:t>4-</w:t>
      </w:r>
      <w:r w:rsidR="00D7564B">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D7564B">
        <w:rPr>
          <w:rFonts w:hint="eastAsia"/>
        </w:rPr>
        <w:t>圖</w:t>
      </w:r>
      <w:r w:rsidR="00D7564B">
        <w:rPr>
          <w:rFonts w:hint="eastAsia"/>
        </w:rPr>
        <w:t>4-</w:t>
      </w:r>
      <w:r w:rsidR="00D7564B">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08608BB8" w:rsidR="00506C97" w:rsidRDefault="00F36D4C" w:rsidP="00F36D4C">
      <w:pPr>
        <w:pStyle w:val="a9"/>
        <w:spacing w:before="180" w:after="180"/>
        <w:ind w:firstLine="480"/>
      </w:pPr>
      <w:bookmarkStart w:id="22"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6</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2C3AC3F7" w:rsidR="00F36D4C" w:rsidRPr="00506C97" w:rsidRDefault="00F36D4C" w:rsidP="00F36D4C">
      <w:pPr>
        <w:pStyle w:val="a9"/>
        <w:spacing w:before="180" w:after="180"/>
      </w:pPr>
      <w:bookmarkStart w:id="23"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7</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w:t>
      </w:r>
      <w:proofErr w:type="spellStart"/>
      <w:r w:rsidR="00BC0ED0" w:rsidRPr="00BC0ED0">
        <w:t>Figlewski</w:t>
      </w:r>
      <w:proofErr w:type="spellEnd"/>
      <w:r w:rsidR="00BC0ED0" w:rsidRPr="00BC0ED0">
        <w:t>,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lastRenderedPageBreak/>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5B9B1AA"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D7564B">
        <w:rPr>
          <w:rFonts w:hint="eastAsia"/>
        </w:rPr>
        <w:t>圖</w:t>
      </w:r>
      <w:r w:rsidR="00D7564B">
        <w:rPr>
          <w:rFonts w:hint="eastAsia"/>
        </w:rPr>
        <w:t>4-</w:t>
      </w:r>
      <w:r w:rsidR="00D7564B">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D7564B">
        <w:rPr>
          <w:rFonts w:hint="eastAsia"/>
        </w:rPr>
        <w:t>圖</w:t>
      </w:r>
      <w:r w:rsidR="00D7564B">
        <w:rPr>
          <w:rFonts w:hint="eastAsia"/>
        </w:rPr>
        <w:t>4-</w:t>
      </w:r>
      <w:r w:rsidR="00D7564B">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1806DA20" w:rsidR="00A70ECC" w:rsidRDefault="005638DE" w:rsidP="00D850AA">
      <w:pPr>
        <w:pStyle w:val="a9"/>
        <w:spacing w:before="180" w:after="180"/>
        <w:ind w:firstLine="480"/>
      </w:pPr>
      <w:bookmarkStart w:id="24" w:name="_Ref189385976"/>
      <w:bookmarkStart w:id="25"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8</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5"/>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4D6CE172" w:rsidR="00A70ECC" w:rsidRDefault="00D850AA" w:rsidP="00D850AA">
      <w:pPr>
        <w:pStyle w:val="a9"/>
        <w:spacing w:before="180" w:after="180"/>
        <w:ind w:firstLine="480"/>
      </w:pPr>
      <w:bookmarkStart w:id="26" w:name="_Ref189385978"/>
      <w:bookmarkStart w:id="27"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9</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7"/>
    </w:p>
    <w:p w14:paraId="6A508266" w14:textId="10BCC826" w:rsidR="00E7699D" w:rsidRDefault="00E7699D" w:rsidP="00D85A59">
      <w:pPr>
        <w:pStyle w:val="2"/>
      </w:pPr>
      <w:r>
        <w:rPr>
          <w:rFonts w:hint="eastAsia"/>
        </w:rPr>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556A081"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w:t>
      </w:r>
      <w:r w:rsidR="0090616F" w:rsidRPr="0090616F">
        <w:lastRenderedPageBreak/>
        <w:t>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EF25E9">
        <w:instrText xml:space="preserve"> ADDIN ZOTERO_ITEM CSL_CITATION {"citationID":"4Z8MGroi","properties":{"formattedCitation":"(Li et al., 2024)","plainCitation":"(Li et al., 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w:t>
      </w:r>
      <w:r w:rsidRPr="0090616F">
        <w:lastRenderedPageBreak/>
        <w:t>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w:t>
      </w:r>
      <w:proofErr w:type="gramStart"/>
      <w:r w:rsidRPr="00E7699D">
        <w:t>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w:t>
      </w:r>
      <w:r w:rsidR="00C3215A">
        <w:rPr>
          <w:rFonts w:hint="eastAsia"/>
        </w:rPr>
        <w:lastRenderedPageBreak/>
        <w:t>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Pr>
          <w:rFonts w:hint="eastAsia"/>
        </w:rPr>
        <w:t>超額</w:t>
      </w:r>
      <w:r w:rsidRPr="00850A16">
        <w:t>峰態</w:t>
      </w:r>
      <w:proofErr w:type="gramEnd"/>
      <w:r w:rsidRPr="00850A16">
        <w:t>（</w:t>
      </w:r>
      <w:r w:rsidRPr="00850A16">
        <w:t>Kurtosis</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lastRenderedPageBreak/>
        <w:t>4.5.4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8" w:name="_Toc182815181"/>
      <w:r>
        <w:rPr>
          <w:rFonts w:hint="eastAsia"/>
        </w:rPr>
        <w:lastRenderedPageBreak/>
        <w:t>第五章、</w:t>
      </w:r>
      <w:bookmarkEnd w:id="28"/>
      <w:r w:rsidR="00404225">
        <w:rPr>
          <w:rFonts w:hint="eastAsia"/>
        </w:rPr>
        <w:t>實證結果分析</w:t>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r>
        <w:rPr>
          <w:rFonts w:hint="eastAsia"/>
        </w:rPr>
        <w:t>5.1</w:t>
      </w:r>
      <w:r>
        <w:rPr>
          <w:rFonts w:hint="eastAsia"/>
        </w:rPr>
        <w:t>實證樣本擬合效果分析</w:t>
      </w:r>
    </w:p>
    <w:p w14:paraId="47FC51A0" w14:textId="716C6AE8" w:rsidR="008771A3" w:rsidRDefault="008771A3" w:rsidP="008771A3">
      <w:pPr>
        <w:pStyle w:val="3"/>
        <w:spacing w:before="180" w:after="180"/>
      </w:pPr>
      <w:r>
        <w:rPr>
          <w:rFonts w:hint="eastAsia"/>
        </w:rPr>
        <w:t>5.1.1</w:t>
      </w:r>
      <w:r>
        <w:rPr>
          <w:rFonts w:hint="eastAsia"/>
        </w:rPr>
        <w:t>單點配適法與</w:t>
      </w:r>
      <w:proofErr w:type="gramStart"/>
      <w:r>
        <w:rPr>
          <w:rFonts w:hint="eastAsia"/>
        </w:rPr>
        <w:t>雙點配適</w:t>
      </w:r>
      <w:proofErr w:type="gramEnd"/>
      <w:r>
        <w:rPr>
          <w:rFonts w:hint="eastAsia"/>
        </w:rPr>
        <w:t>法之比較</w:t>
      </w:r>
    </w:p>
    <w:p w14:paraId="7A753335" w14:textId="7AA5E33C" w:rsidR="008F6801" w:rsidRDefault="008771A3" w:rsidP="008F6801">
      <w:pPr>
        <w:spacing w:before="180" w:after="180"/>
        <w:ind w:firstLine="480"/>
      </w:pPr>
      <w:r>
        <w:rPr>
          <w:rFonts w:hint="eastAsia"/>
        </w:rPr>
        <w:t>為進一步比較單點配適法與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0"/>
                    <a:stretch>
                      <a:fillRect/>
                    </a:stretch>
                  </pic:blipFill>
                  <pic:spPr>
                    <a:xfrm>
                      <a:off x="0" y="0"/>
                      <a:ext cx="5400040" cy="2804160"/>
                    </a:xfrm>
                    <a:prstGeom prst="rect">
                      <a:avLst/>
                    </a:prstGeom>
                  </pic:spPr>
                </pic:pic>
              </a:graphicData>
            </a:graphic>
          </wp:inline>
        </w:drawing>
      </w:r>
    </w:p>
    <w:p w14:paraId="6BC7CC57" w14:textId="141CFF11" w:rsidR="008771A3" w:rsidRDefault="008771A3" w:rsidP="002406B3">
      <w:pPr>
        <w:pStyle w:val="a9"/>
        <w:spacing w:before="180" w:after="180"/>
      </w:pPr>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D7564B">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proofErr w:type="gramEnd"/>
    </w:p>
    <w:p w14:paraId="68F4F404" w14:textId="5438D957" w:rsidR="008771A3" w:rsidRDefault="008771A3" w:rsidP="008771A3">
      <w:pPr>
        <w:spacing w:before="180" w:after="180"/>
        <w:ind w:firstLine="480"/>
      </w:pPr>
      <w:r>
        <w:rPr>
          <w:rFonts w:hint="eastAsia"/>
        </w:rPr>
        <w:t>觀察圖中左側之單點配適法擬合結果可知，其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w:t>
      </w:r>
      <w:proofErr w:type="gramEnd"/>
      <w:r>
        <w:rPr>
          <w:rFonts w:hint="eastAsia"/>
        </w:rPr>
        <w:t>單點配適法之擬合結果較為穩定，有助於後續統計特徵值之計算與分析。基於前述優勢，本研究認為在建構比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幣選擇權之風險中立機率密度函數時，單點配適法</w:t>
      </w:r>
      <w:proofErr w:type="gramStart"/>
      <w:r>
        <w:rPr>
          <w:rFonts w:hint="eastAsia"/>
        </w:rPr>
        <w:t>較雙點配適</w:t>
      </w:r>
      <w:proofErr w:type="gramEnd"/>
      <w:r>
        <w:rPr>
          <w:rFonts w:hint="eastAsia"/>
        </w:rPr>
        <w:t>法更具實用價值。</w:t>
      </w:r>
    </w:p>
    <w:p w14:paraId="2E4DE5C4" w14:textId="24AE00EB" w:rsidR="00642602" w:rsidRDefault="00642602" w:rsidP="00642602">
      <w:pPr>
        <w:pStyle w:val="3"/>
        <w:spacing w:before="180" w:after="180"/>
      </w:pPr>
      <w:r>
        <w:rPr>
          <w:rFonts w:hint="eastAsia"/>
        </w:rPr>
        <w:lastRenderedPageBreak/>
        <w:t>5.1.2</w:t>
      </w:r>
      <w:r>
        <w:rPr>
          <w:rFonts w:hint="eastAsia"/>
        </w:rPr>
        <w:t>計算效率之實證比較</w:t>
      </w:r>
    </w:p>
    <w:p w14:paraId="1523A34C" w14:textId="515B9E25" w:rsidR="00642602" w:rsidRDefault="00642602" w:rsidP="00642602">
      <w:pPr>
        <w:spacing w:before="180" w:after="180"/>
        <w:ind w:firstLine="480"/>
      </w:pPr>
      <w:r>
        <w:rPr>
          <w:rFonts w:hint="eastAsia"/>
        </w:rPr>
        <w:t>為評估單點配適法與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D7564B">
        <w:rPr>
          <w:rFonts w:hint="eastAsia"/>
        </w:rPr>
        <w:t>表</w:t>
      </w:r>
      <w:r w:rsidR="00D7564B">
        <w:rPr>
          <w:rFonts w:hint="eastAsia"/>
        </w:rPr>
        <w:t>5-</w:t>
      </w:r>
      <w:r w:rsidR="00D7564B">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w:t>
      </w:r>
      <w:proofErr w:type="gramStart"/>
      <w:r>
        <w:rPr>
          <w:rFonts w:hint="eastAsia"/>
        </w:rPr>
        <w:t>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4A2B632E" w14:textId="34F02533" w:rsidR="007901DC" w:rsidRDefault="008771A3" w:rsidP="002406B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008D3C0D" w14:textId="77777777" w:rsidR="000C2131" w:rsidRPr="00D7564B" w:rsidRDefault="000C2131" w:rsidP="002406B3">
      <w:pPr>
        <w:spacing w:before="180" w:after="180"/>
        <w:ind w:firstLine="480"/>
        <w:rPr>
          <w:rFonts w:hint="eastAsia"/>
        </w:rPr>
      </w:pPr>
    </w:p>
    <w:p w14:paraId="3BC81B63" w14:textId="7A4CA824" w:rsidR="002406B3" w:rsidRPr="002406B3" w:rsidRDefault="002406B3" w:rsidP="002406B3">
      <w:pPr>
        <w:pStyle w:val="a9"/>
        <w:keepNext/>
        <w:spacing w:before="180" w:after="180"/>
      </w:pPr>
      <w:bookmarkStart w:id="29" w:name="_Ref190094375"/>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7564B">
        <w:rPr>
          <w:noProof/>
        </w:rPr>
        <w:t>1</w:t>
      </w:r>
      <w:r>
        <w:fldChar w:fldCharType="end"/>
      </w:r>
      <w:bookmarkEnd w:id="29"/>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左側：單點配適法；右側：</w:t>
      </w:r>
      <w:proofErr w:type="gramStart"/>
      <w:r>
        <w:rPr>
          <w:rFonts w:hint="eastAsia"/>
        </w:rPr>
        <w:t>雙點配適</w:t>
      </w:r>
      <w:proofErr w:type="gramEnd"/>
      <w:r>
        <w:rPr>
          <w:rFonts w:hint="eastAsia"/>
        </w:rPr>
        <w:t>法</w:t>
      </w:r>
      <w:proofErr w:type="gramStart"/>
      <w:r>
        <w:rPr>
          <w:rFonts w:hint="eastAsia"/>
        </w:rPr>
        <w:t>）</w:t>
      </w:r>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r>
        <w:rPr>
          <w:rFonts w:hint="eastAsia"/>
        </w:rPr>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p>
    <w:p w14:paraId="098B8146" w14:textId="1C04F3F0" w:rsidR="00F008C1" w:rsidRDefault="00F008C1" w:rsidP="00F008C1">
      <w:pPr>
        <w:pStyle w:val="3"/>
        <w:spacing w:before="180" w:after="180"/>
      </w:pPr>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p>
    <w:p w14:paraId="58A40779" w14:textId="4B3874C1"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D7564B">
        <w:rPr>
          <w:rFonts w:hint="eastAsia"/>
        </w:rPr>
        <w:t>表</w:t>
      </w:r>
      <w:r w:rsidR="00D7564B">
        <w:rPr>
          <w:rFonts w:hint="eastAsia"/>
        </w:rPr>
        <w:t>5-</w:t>
      </w:r>
      <w:r w:rsidR="00D7564B">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05D0FE9D" w:rsidR="008F5CEB" w:rsidRDefault="008F5CEB" w:rsidP="008F5CEB">
      <w:pPr>
        <w:pStyle w:val="a9"/>
        <w:keepNext/>
        <w:spacing w:before="180" w:after="180"/>
      </w:pPr>
      <w:bookmarkStart w:id="30" w:name="_Ref189445655"/>
      <w:bookmarkStart w:id="31" w:name="_Ref189445652"/>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2</w:t>
      </w:r>
      <w:r w:rsidR="002406B3">
        <w:fldChar w:fldCharType="end"/>
      </w:r>
      <w:bookmarkEnd w:id="30"/>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31"/>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1A74EE3C"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D7564B">
        <w:rPr>
          <w:rFonts w:hint="eastAsia"/>
        </w:rPr>
        <w:t>表</w:t>
      </w:r>
      <w:r w:rsidR="00D7564B">
        <w:rPr>
          <w:rFonts w:hint="eastAsia"/>
        </w:rPr>
        <w:t>5-</w:t>
      </w:r>
      <w:r w:rsidR="00D7564B">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B2F1F58" w:rsidR="00987DA1" w:rsidRDefault="00987DA1" w:rsidP="00987DA1">
      <w:pPr>
        <w:pStyle w:val="a9"/>
        <w:keepNext/>
        <w:spacing w:before="180" w:after="180"/>
      </w:pPr>
      <w:bookmarkStart w:id="32" w:name="_Ref1894465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3</w:t>
      </w:r>
      <w:r w:rsidR="002406B3">
        <w:fldChar w:fldCharType="end"/>
      </w:r>
      <w:bookmarkEnd w:id="32"/>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75FDF14A" w:rsidR="00B856BD" w:rsidRPr="00786B72" w:rsidRDefault="00B856BD" w:rsidP="00BB145A">
      <w:pPr>
        <w:spacing w:before="180" w:after="180"/>
        <w:ind w:firstLine="480"/>
      </w:pPr>
      <w:r>
        <w:rPr>
          <w:rFonts w:hint="eastAsia"/>
        </w:rPr>
        <w:lastRenderedPageBreak/>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D7564B">
        <w:rPr>
          <w:rFonts w:hint="eastAsia"/>
        </w:rPr>
        <w:t>表</w:t>
      </w:r>
      <w:r w:rsidR="00D7564B">
        <w:rPr>
          <w:rFonts w:hint="eastAsia"/>
        </w:rPr>
        <w:t>5-</w:t>
      </w:r>
      <w:r w:rsidR="00D7564B">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D7564B">
        <w:rPr>
          <w:rFonts w:hint="eastAsia"/>
        </w:rPr>
        <w:t>附表</w:t>
      </w:r>
      <w:r w:rsidR="00D7564B">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D7564B">
        <w:rPr>
          <w:rFonts w:hint="eastAsia"/>
        </w:rPr>
        <w:t>附表</w:t>
      </w:r>
      <w:r w:rsidR="00D7564B">
        <w:rPr>
          <w:noProof/>
        </w:rPr>
        <w:t>2</w:t>
      </w:r>
      <w:r w:rsidR="00BB145A">
        <w:fldChar w:fldCharType="end"/>
      </w:r>
      <w:r w:rsidR="00786B72">
        <w:rPr>
          <w:rFonts w:hint="eastAsia"/>
        </w:rPr>
        <w:t>。</w:t>
      </w:r>
    </w:p>
    <w:p w14:paraId="5B9DD788" w14:textId="7D52C58B" w:rsidR="00B856BD" w:rsidRDefault="00B856BD" w:rsidP="00B856BD">
      <w:pPr>
        <w:pStyle w:val="a9"/>
        <w:keepNext/>
        <w:spacing w:before="180" w:after="180"/>
      </w:pPr>
      <w:bookmarkStart w:id="33" w:name="_Ref1894475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4</w:t>
      </w:r>
      <w:r w:rsidR="002406B3">
        <w:fldChar w:fldCharType="end"/>
      </w:r>
      <w:bookmarkEnd w:id="33"/>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14187BFE"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D7564B">
        <w:rPr>
          <w:rFonts w:hint="eastAsia"/>
        </w:rPr>
        <w:t>表</w:t>
      </w:r>
      <w:r w:rsidR="00D7564B">
        <w:rPr>
          <w:rFonts w:hint="eastAsia"/>
        </w:rPr>
        <w:t>5-</w:t>
      </w:r>
      <w:r w:rsidR="00D7564B">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D7564B">
        <w:rPr>
          <w:rFonts w:hint="eastAsia"/>
        </w:rPr>
        <w:t>附表</w:t>
      </w:r>
      <w:r w:rsidR="00D7564B">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74081E3" w:rsidR="00DB54B6" w:rsidRDefault="00DB54B6" w:rsidP="00DB54B6">
      <w:pPr>
        <w:pStyle w:val="a9"/>
        <w:keepNext/>
        <w:spacing w:before="180" w:after="180"/>
      </w:pPr>
      <w:bookmarkStart w:id="34" w:name="_Ref18944962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5</w:t>
      </w:r>
      <w:r w:rsidR="002406B3">
        <w:fldChar w:fldCharType="end"/>
      </w:r>
      <w:bookmarkEnd w:id="34"/>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149D8F9" w:rsidR="00F008C1" w:rsidRDefault="00F008C1" w:rsidP="00F008C1">
      <w:pPr>
        <w:pStyle w:val="3"/>
        <w:spacing w:before="180" w:after="180"/>
      </w:pPr>
      <w:r>
        <w:rPr>
          <w:rFonts w:hint="eastAsia"/>
        </w:rPr>
        <w:lastRenderedPageBreak/>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048A912B"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D7564B">
        <w:rPr>
          <w:rFonts w:hint="eastAsia"/>
        </w:rPr>
        <w:t>表</w:t>
      </w:r>
      <w:r w:rsidR="00D7564B">
        <w:rPr>
          <w:rFonts w:hint="eastAsia"/>
        </w:rPr>
        <w:t>5-</w:t>
      </w:r>
      <w:r w:rsidR="00D7564B">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86E685F" w:rsidR="00F36EA6" w:rsidRDefault="00F36EA6" w:rsidP="00F36EA6">
      <w:pPr>
        <w:pStyle w:val="a9"/>
        <w:keepNext/>
        <w:spacing w:before="180" w:after="180"/>
      </w:pPr>
      <w:bookmarkStart w:id="35" w:name="_Ref1894508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6</w:t>
      </w:r>
      <w:r w:rsidR="002406B3">
        <w:fldChar w:fldCharType="end"/>
      </w:r>
      <w:bookmarkEnd w:id="35"/>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79D04CC9"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D7564B">
        <w:rPr>
          <w:rFonts w:hint="eastAsia"/>
        </w:rPr>
        <w:t>表</w:t>
      </w:r>
      <w:r w:rsidR="00D7564B">
        <w:rPr>
          <w:rFonts w:hint="eastAsia"/>
        </w:rPr>
        <w:t>5-</w:t>
      </w:r>
      <w:r w:rsidR="00D7564B">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5E6BC1B8" w:rsidR="00F36EA6" w:rsidRDefault="00F36EA6" w:rsidP="00F36EA6">
      <w:pPr>
        <w:pStyle w:val="a9"/>
        <w:keepNext/>
        <w:spacing w:before="180" w:after="180"/>
      </w:pPr>
      <w:bookmarkStart w:id="36" w:name="_Ref18945105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7</w:t>
      </w:r>
      <w:r w:rsidR="002406B3">
        <w:fldChar w:fldCharType="end"/>
      </w:r>
      <w:bookmarkEnd w:id="36"/>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3683264"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D7564B">
        <w:rPr>
          <w:rFonts w:hint="eastAsia"/>
        </w:rPr>
        <w:t>表</w:t>
      </w:r>
      <w:r w:rsidR="00D7564B">
        <w:rPr>
          <w:rFonts w:hint="eastAsia"/>
        </w:rPr>
        <w:t>5-</w:t>
      </w:r>
      <w:r w:rsidR="00D7564B">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D7564B">
        <w:rPr>
          <w:rFonts w:hint="eastAsia"/>
        </w:rPr>
        <w:t>附表</w:t>
      </w:r>
      <w:r w:rsidR="00D7564B">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D7564B">
        <w:rPr>
          <w:rFonts w:hint="eastAsia"/>
        </w:rPr>
        <w:t>附表</w:t>
      </w:r>
      <w:r w:rsidR="00D7564B">
        <w:rPr>
          <w:noProof/>
        </w:rPr>
        <w:t>5</w:t>
      </w:r>
      <w:r w:rsidR="009E3FD2">
        <w:fldChar w:fldCharType="end"/>
      </w:r>
    </w:p>
    <w:p w14:paraId="4EECD36A" w14:textId="6EDBBA10" w:rsidR="00F36EA6" w:rsidRDefault="00F36EA6" w:rsidP="00F36EA6">
      <w:pPr>
        <w:pStyle w:val="a9"/>
        <w:keepNext/>
        <w:spacing w:before="180" w:after="180"/>
      </w:pPr>
      <w:bookmarkStart w:id="37" w:name="_Ref1894512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8</w:t>
      </w:r>
      <w:r w:rsidR="002406B3">
        <w:fldChar w:fldCharType="end"/>
      </w:r>
      <w:bookmarkEnd w:id="37"/>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170E534"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D7564B">
        <w:rPr>
          <w:rFonts w:hint="eastAsia"/>
        </w:rPr>
        <w:t>表</w:t>
      </w:r>
      <w:r w:rsidR="00D7564B">
        <w:rPr>
          <w:rFonts w:hint="eastAsia"/>
        </w:rPr>
        <w:t>5-</w:t>
      </w:r>
      <w:r w:rsidR="00D7564B">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397DB9DA" w:rsidR="00F36EA6" w:rsidRDefault="00F36EA6" w:rsidP="00F36EA6">
      <w:pPr>
        <w:pStyle w:val="a9"/>
        <w:keepNext/>
        <w:spacing w:before="180" w:after="180"/>
      </w:pPr>
      <w:bookmarkStart w:id="38" w:name="_Ref18945190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9</w:t>
      </w:r>
      <w:r w:rsidR="002406B3">
        <w:fldChar w:fldCharType="end"/>
      </w:r>
      <w:bookmarkEnd w:id="38"/>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A39CF15" w:rsidR="00F008C1" w:rsidRDefault="00F008C1" w:rsidP="00F008C1">
      <w:pPr>
        <w:pStyle w:val="3"/>
        <w:spacing w:before="180" w:after="180"/>
      </w:pPr>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p>
    <w:p w14:paraId="3DCF91C8" w14:textId="266B092C"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D7564B">
        <w:rPr>
          <w:rFonts w:hint="eastAsia"/>
        </w:rPr>
        <w:t>表</w:t>
      </w:r>
      <w:r w:rsidR="00D7564B">
        <w:rPr>
          <w:rFonts w:hint="eastAsia"/>
        </w:rPr>
        <w:t>5-</w:t>
      </w:r>
      <w:r w:rsidR="00D7564B">
        <w:rPr>
          <w:noProof/>
        </w:rPr>
        <w:t>10</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6B1CDFD8" w:rsidR="002D0E3A" w:rsidRDefault="002D0E3A" w:rsidP="002D0E3A">
      <w:pPr>
        <w:pStyle w:val="a9"/>
        <w:keepNext/>
        <w:spacing w:before="180" w:after="180"/>
      </w:pPr>
      <w:bookmarkStart w:id="39" w:name="_Ref18945444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10</w:t>
      </w:r>
      <w:r w:rsidR="002406B3">
        <w:fldChar w:fldCharType="end"/>
      </w:r>
      <w:bookmarkEnd w:id="39"/>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2CBCB37D"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D7564B">
        <w:rPr>
          <w:rFonts w:hint="eastAsia"/>
        </w:rPr>
        <w:t>表</w:t>
      </w:r>
      <w:r w:rsidR="00D7564B">
        <w:rPr>
          <w:rFonts w:hint="eastAsia"/>
        </w:rPr>
        <w:t>5-</w:t>
      </w:r>
      <w:r w:rsidR="00D7564B">
        <w:rPr>
          <w:noProof/>
        </w:rPr>
        <w:t>11</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124C725E" w:rsidR="002D0E3A" w:rsidRDefault="002D0E3A" w:rsidP="002D0E3A">
      <w:pPr>
        <w:pStyle w:val="a9"/>
        <w:keepNext/>
        <w:spacing w:before="180" w:after="180"/>
      </w:pPr>
      <w:bookmarkStart w:id="40" w:name="_Ref1894547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11</w:t>
      </w:r>
      <w:r w:rsidR="002406B3">
        <w:fldChar w:fldCharType="end"/>
      </w:r>
      <w:bookmarkEnd w:id="40"/>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2E5ACCE1"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D7564B">
        <w:rPr>
          <w:rFonts w:hint="eastAsia"/>
        </w:rPr>
        <w:t>附表</w:t>
      </w:r>
      <w:r w:rsidR="00D7564B">
        <w:rPr>
          <w:noProof/>
        </w:rPr>
        <w:t>6</w:t>
      </w:r>
      <w:r>
        <w:fldChar w:fldCharType="end"/>
      </w:r>
      <w:r w:rsidRPr="002A67DD">
        <w:t>至</w:t>
      </w:r>
      <w:r>
        <w:fldChar w:fldCharType="begin"/>
      </w:r>
      <w:r>
        <w:instrText xml:space="preserve"> REF _Ref189455847 \h </w:instrText>
      </w:r>
      <w:r>
        <w:fldChar w:fldCharType="separate"/>
      </w:r>
      <w:r w:rsidR="00D7564B">
        <w:rPr>
          <w:rFonts w:hint="eastAsia"/>
        </w:rPr>
        <w:t>附表</w:t>
      </w:r>
      <w:r w:rsidR="00D7564B">
        <w:rPr>
          <w:noProof/>
        </w:rPr>
        <w:t>8</w:t>
      </w:r>
      <w:r>
        <w:fldChar w:fldCharType="end"/>
      </w:r>
      <w:r w:rsidRPr="002A67DD">
        <w:t>。此現象顯示，單純增加變數數量並無法有效提升模型的預測能力，反而可能導致模型過度擬合的問題。</w:t>
      </w:r>
    </w:p>
    <w:p w14:paraId="4F8D3FD5" w14:textId="31BCA25E"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D7564B">
        <w:rPr>
          <w:rFonts w:hint="eastAsia"/>
        </w:rPr>
        <w:t>表</w:t>
      </w:r>
      <w:r w:rsidR="00D7564B">
        <w:rPr>
          <w:rFonts w:hint="eastAsia"/>
        </w:rPr>
        <w:t>5-</w:t>
      </w:r>
      <w:r w:rsidR="00D7564B">
        <w:rPr>
          <w:noProof/>
        </w:rPr>
        <w:t>12</w:t>
      </w:r>
      <w:r>
        <w:fldChar w:fldCharType="end"/>
      </w:r>
      <w:r w:rsidRPr="002A67DD">
        <w:t>。</w:t>
      </w:r>
    </w:p>
    <w:p w14:paraId="73662678" w14:textId="4DB813BB" w:rsidR="002D0E3A" w:rsidRDefault="002D0E3A" w:rsidP="002D0E3A">
      <w:pPr>
        <w:pStyle w:val="a9"/>
        <w:keepNext/>
        <w:spacing w:before="180" w:after="180"/>
      </w:pPr>
      <w:bookmarkStart w:id="41" w:name="_Ref18945662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12</w:t>
      </w:r>
      <w:r w:rsidR="002406B3">
        <w:fldChar w:fldCharType="end"/>
      </w:r>
      <w:bookmarkEnd w:id="41"/>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0E34883E"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D7564B">
        <w:rPr>
          <w:rFonts w:hint="eastAsia"/>
        </w:rPr>
        <w:t>表</w:t>
      </w:r>
      <w:r w:rsidR="00D7564B">
        <w:rPr>
          <w:rFonts w:hint="eastAsia"/>
        </w:rPr>
        <w:t>5-</w:t>
      </w:r>
      <w:r w:rsidR="00D7564B">
        <w:rPr>
          <w:noProof/>
        </w:rPr>
        <w:t>13</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0B9860E6" w:rsidR="00556A6A" w:rsidRDefault="00556A6A" w:rsidP="00556A6A">
      <w:pPr>
        <w:pStyle w:val="a9"/>
        <w:keepNext/>
        <w:spacing w:before="180" w:after="180"/>
      </w:pPr>
      <w:bookmarkStart w:id="42" w:name="_Ref1894570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13</w:t>
      </w:r>
      <w:r w:rsidR="002406B3">
        <w:fldChar w:fldCharType="end"/>
      </w:r>
      <w:bookmarkEnd w:id="42"/>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2B3FBCD7"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D7564B">
        <w:rPr>
          <w:rFonts w:hint="eastAsia"/>
        </w:rPr>
        <w:t>表</w:t>
      </w:r>
      <w:r w:rsidR="00D7564B">
        <w:rPr>
          <w:rFonts w:hint="eastAsia"/>
        </w:rPr>
        <w:t>5-</w:t>
      </w:r>
      <w:r w:rsidR="00D7564B">
        <w:rPr>
          <w:noProof/>
        </w:rPr>
        <w:t>14</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2427193C" w:rsidR="00556A6A" w:rsidRDefault="00556A6A" w:rsidP="00556A6A">
      <w:pPr>
        <w:pStyle w:val="a9"/>
        <w:keepNext/>
        <w:spacing w:before="180" w:after="180"/>
      </w:pPr>
      <w:bookmarkStart w:id="43" w:name="_Ref1894574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14</w:t>
      </w:r>
      <w:r w:rsidR="002406B3">
        <w:fldChar w:fldCharType="end"/>
      </w:r>
      <w:bookmarkEnd w:id="43"/>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53E0AD49"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D7564B">
        <w:rPr>
          <w:rFonts w:hint="eastAsia"/>
        </w:rPr>
        <w:t>附表</w:t>
      </w:r>
      <w:r w:rsidR="00D7564B">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D7564B">
        <w:rPr>
          <w:rFonts w:hint="eastAsia"/>
        </w:rPr>
        <w:t>附表</w:t>
      </w:r>
      <w:r w:rsidR="00D7564B">
        <w:rPr>
          <w:noProof/>
        </w:rPr>
        <w:t>8</w:t>
      </w:r>
      <w:r w:rsidR="00556A6A">
        <w:fldChar w:fldCharType="end"/>
      </w:r>
      <w:r w:rsidR="00556A6A" w:rsidRPr="002A67DD">
        <w:t>。</w:t>
      </w:r>
    </w:p>
    <w:p w14:paraId="75C7163E" w14:textId="304EFC08"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D7564B">
        <w:rPr>
          <w:rFonts w:hint="eastAsia"/>
        </w:rPr>
        <w:t>表</w:t>
      </w:r>
      <w:r w:rsidR="00D7564B">
        <w:rPr>
          <w:rFonts w:hint="eastAsia"/>
        </w:rPr>
        <w:t>5-</w:t>
      </w:r>
      <w:r w:rsidR="00D7564B">
        <w:rPr>
          <w:noProof/>
        </w:rPr>
        <w:t>15</w:t>
      </w:r>
      <w:r>
        <w:fldChar w:fldCharType="end"/>
      </w:r>
      <w:r>
        <w:rPr>
          <w:rFonts w:hint="eastAsia"/>
        </w:rPr>
        <w:t>，變數顯著性與模型預測能力皆與單點配適法模型相仿。</w:t>
      </w:r>
    </w:p>
    <w:p w14:paraId="71AD3AA3" w14:textId="3D7CFE2B" w:rsidR="00556A6A" w:rsidRDefault="00556A6A" w:rsidP="00556A6A">
      <w:pPr>
        <w:pStyle w:val="a9"/>
        <w:keepNext/>
        <w:spacing w:before="180" w:after="180"/>
      </w:pPr>
      <w:bookmarkStart w:id="44" w:name="_Ref1894579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15</w:t>
      </w:r>
      <w:r w:rsidR="002406B3">
        <w:fldChar w:fldCharType="end"/>
      </w:r>
      <w:bookmarkEnd w:id="44"/>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77777777" w:rsidR="00B74C6F" w:rsidRDefault="00B74C6F" w:rsidP="00B74C6F">
      <w:pPr>
        <w:spacing w:before="180" w:after="180"/>
        <w:ind w:firstLine="480"/>
      </w:pPr>
      <w:r w:rsidRPr="00B74C6F">
        <w:t>在模型預測效果方面，兩種方法皆選取</w:t>
      </w:r>
      <w:proofErr w:type="gramStart"/>
      <w:r w:rsidRPr="00B74C6F">
        <w:t>超額峰度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r>
        <w:rPr>
          <w:rFonts w:hint="eastAsia"/>
        </w:rPr>
        <w:t>5.4</w:t>
      </w:r>
      <w:r>
        <w:rPr>
          <w:rFonts w:hint="eastAsia"/>
        </w:rPr>
        <w:t>小結</w:t>
      </w:r>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39ECF56A" w14:textId="72353D97" w:rsidR="00BA3834" w:rsidRPr="00BA3834" w:rsidRDefault="00BA3834" w:rsidP="00BA3834">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5" w:name="_Toc182815183"/>
      <w:r>
        <w:rPr>
          <w:rFonts w:hint="eastAsia"/>
        </w:rPr>
        <w:lastRenderedPageBreak/>
        <w:t>附錄</w:t>
      </w:r>
    </w:p>
    <w:p w14:paraId="0377CFCD" w14:textId="59F45FF9" w:rsidR="00786B72" w:rsidRDefault="00786B72" w:rsidP="00786B72">
      <w:pPr>
        <w:pStyle w:val="a9"/>
        <w:keepNext/>
        <w:spacing w:before="180" w:after="180"/>
      </w:pPr>
      <w:bookmarkStart w:id="46"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1</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7"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D286AE7" w:rsidR="00786B72" w:rsidRDefault="00786B72" w:rsidP="00786B72">
      <w:pPr>
        <w:pStyle w:val="a9"/>
        <w:keepNext/>
        <w:spacing w:before="180" w:after="180"/>
      </w:pPr>
      <w:bookmarkStart w:id="48" w:name="_Ref18990494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2</w:t>
      </w:r>
      <w:r>
        <w:fldChar w:fldCharType="end"/>
      </w:r>
      <w:bookmarkEnd w:id="47"/>
      <w:bookmarkEnd w:id="48"/>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9"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6D138029" w:rsidR="00925907" w:rsidRDefault="00925907" w:rsidP="00925907">
      <w:pPr>
        <w:pStyle w:val="a9"/>
        <w:keepNext/>
        <w:spacing w:before="180" w:after="180"/>
      </w:pPr>
      <w:bookmarkStart w:id="50" w:name="_Ref1899060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3</w:t>
      </w:r>
      <w:r>
        <w:fldChar w:fldCharType="end"/>
      </w:r>
      <w:bookmarkEnd w:id="49"/>
      <w:bookmarkEnd w:id="50"/>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51"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9294B90" w:rsidR="006A1E80" w:rsidRDefault="006A1E80" w:rsidP="006A1E80">
      <w:pPr>
        <w:pStyle w:val="a9"/>
        <w:keepNext/>
        <w:spacing w:before="180" w:after="180"/>
      </w:pPr>
      <w:bookmarkStart w:id="52" w:name="_Ref1899058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4</w:t>
      </w:r>
      <w:r>
        <w:fldChar w:fldCharType="end"/>
      </w:r>
      <w:bookmarkEnd w:id="51"/>
      <w:bookmarkEnd w:id="52"/>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53"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172BA85B" w:rsidR="006A1E80" w:rsidRDefault="006A1E80" w:rsidP="006A1E80">
      <w:pPr>
        <w:pStyle w:val="a9"/>
        <w:keepNext/>
        <w:spacing w:before="180" w:after="180"/>
      </w:pPr>
      <w:bookmarkStart w:id="54" w:name="_Ref18990589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5</w:t>
      </w:r>
      <w:r>
        <w:fldChar w:fldCharType="end"/>
      </w:r>
      <w:bookmarkEnd w:id="53"/>
      <w:bookmarkEnd w:id="54"/>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26464DAE" w:rsidR="00A56D4E" w:rsidRDefault="00A56D4E" w:rsidP="00A56D4E">
      <w:pPr>
        <w:pStyle w:val="a9"/>
        <w:keepNext/>
        <w:spacing w:before="180" w:after="180"/>
      </w:pPr>
      <w:bookmarkStart w:id="55" w:name="_Ref189455844"/>
      <w:bookmarkStart w:id="56" w:name="_Ref189455832"/>
      <w:bookmarkStart w:id="57"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6</w:t>
      </w:r>
      <w:r>
        <w:fldChar w:fldCharType="end"/>
      </w:r>
      <w:bookmarkEnd w:id="55"/>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8"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03A0382F" w:rsidR="00653EE0" w:rsidRDefault="00653EE0" w:rsidP="00653EE0">
      <w:pPr>
        <w:pStyle w:val="a9"/>
        <w:keepNext/>
        <w:spacing w:before="180" w:after="180"/>
        <w:ind w:firstLine="480"/>
      </w:pPr>
      <w:bookmarkStart w:id="59" w:name="_Ref189455846"/>
      <w:bookmarkEnd w:id="5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7</w:t>
      </w:r>
      <w:r>
        <w:fldChar w:fldCharType="end"/>
      </w:r>
      <w:bookmarkEnd w:id="59"/>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6557960A" w:rsidR="00653EE0" w:rsidRDefault="00653EE0" w:rsidP="00653EE0">
      <w:pPr>
        <w:pStyle w:val="a9"/>
        <w:keepNext/>
        <w:spacing w:before="180" w:after="180"/>
        <w:ind w:firstLine="480"/>
      </w:pPr>
      <w:bookmarkStart w:id="60"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8</w:t>
      </w:r>
      <w:r>
        <w:fldChar w:fldCharType="end"/>
      </w:r>
      <w:bookmarkEnd w:id="60"/>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57"/>
    </w:p>
    <w:p w14:paraId="54113F93" w14:textId="402AEAF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2461BDA9"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D33F002"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r>
        <w:rPr>
          <w:rFonts w:hint="eastAsia"/>
        </w:rPr>
        <w:lastRenderedPageBreak/>
        <w:t>參考文獻</w:t>
      </w:r>
      <w:bookmarkEnd w:id="45"/>
    </w:p>
    <w:p w14:paraId="7C79EE14" w14:textId="77777777" w:rsidR="006C3E84" w:rsidRPr="006C3E84" w:rsidRDefault="00025BEA" w:rsidP="006C3E84">
      <w:pPr>
        <w:pStyle w:val="afd"/>
        <w:spacing w:before="180" w:after="180"/>
        <w:ind w:left="480" w:hanging="480"/>
      </w:pPr>
      <w:r>
        <w:fldChar w:fldCharType="begin"/>
      </w:r>
      <w:r w:rsidR="006C3E84">
        <w:rPr>
          <w:lang w:val="de-DE"/>
        </w:rPr>
        <w:instrText xml:space="preserve"> ADDIN ZOTERO_BIBL {"uncited":[],"omitted":[],"custom":[]} CSL_BIBLIOGRAPHY </w:instrText>
      </w:r>
      <w:r>
        <w:fldChar w:fldCharType="separate"/>
      </w:r>
      <w:r w:rsidR="006C3E84" w:rsidRPr="006C3E84">
        <w:t xml:space="preserve">Akyildirim, E., Corbet, S., Lucey, B., Sensoy, A., &amp; Yarovaya, L. (2020). The relationship between implied volatility and cryptocurrency returns. </w:t>
      </w:r>
      <w:r w:rsidR="006C3E84" w:rsidRPr="006C3E84">
        <w:rPr>
          <w:i/>
          <w:iCs/>
        </w:rPr>
        <w:t>Finance Research Letters</w:t>
      </w:r>
      <w:r w:rsidR="006C3E84" w:rsidRPr="006C3E84">
        <w:t xml:space="preserve">, </w:t>
      </w:r>
      <w:r w:rsidR="006C3E84" w:rsidRPr="006C3E84">
        <w:rPr>
          <w:i/>
          <w:iCs/>
        </w:rPr>
        <w:t>33</w:t>
      </w:r>
      <w:r w:rsidR="006C3E84" w:rsidRPr="006C3E84">
        <w:t>, 101212. https://doi.org/10.1016/j.frl.2019.06.010</w:t>
      </w:r>
    </w:p>
    <w:p w14:paraId="6CAF832D" w14:textId="77777777" w:rsidR="006C3E84" w:rsidRPr="006C3E84" w:rsidRDefault="006C3E84" w:rsidP="006C3E84">
      <w:pPr>
        <w:pStyle w:val="afd"/>
        <w:spacing w:before="180" w:after="180"/>
        <w:ind w:left="480" w:hanging="480"/>
      </w:pPr>
      <w:r w:rsidRPr="006C3E84">
        <w:t xml:space="preserve">Balkema, A. A., &amp; Haan, L. de. (1974). Residual Life Time at Great Age. </w:t>
      </w:r>
      <w:r w:rsidRPr="006C3E84">
        <w:rPr>
          <w:i/>
          <w:iCs/>
        </w:rPr>
        <w:t>The Annals of Probability</w:t>
      </w:r>
      <w:r w:rsidRPr="006C3E84">
        <w:t xml:space="preserve">, </w:t>
      </w:r>
      <w:r w:rsidRPr="006C3E84">
        <w:rPr>
          <w:i/>
          <w:iCs/>
        </w:rPr>
        <w:t>2</w:t>
      </w:r>
      <w:r w:rsidRPr="006C3E84">
        <w:t>(5), 792–804. https://doi.org/10.1214/aop/1176996548</w:t>
      </w:r>
    </w:p>
    <w:p w14:paraId="244856C0" w14:textId="77777777" w:rsidR="006C3E84" w:rsidRPr="006C3E84" w:rsidRDefault="006C3E84" w:rsidP="006C3E84">
      <w:pPr>
        <w:pStyle w:val="afd"/>
        <w:spacing w:before="180" w:after="180"/>
        <w:ind w:left="480" w:hanging="480"/>
      </w:pPr>
      <w:r w:rsidRPr="006C3E84">
        <w:t xml:space="preserve">Birru, J., &amp; Figlewski, S. (2012). Anatomy of a meltdown: The risk neutral density for the S&amp;P 500 in the fall of 2008. </w:t>
      </w:r>
      <w:r w:rsidRPr="006C3E84">
        <w:rPr>
          <w:i/>
          <w:iCs/>
        </w:rPr>
        <w:t>Journal of Financial Markets</w:t>
      </w:r>
      <w:r w:rsidRPr="006C3E84">
        <w:t xml:space="preserve">, </w:t>
      </w:r>
      <w:r w:rsidRPr="006C3E84">
        <w:rPr>
          <w:i/>
          <w:iCs/>
        </w:rPr>
        <w:t>15</w:t>
      </w:r>
      <w:r w:rsidRPr="006C3E84">
        <w:t>(2), 151–180. https://doi.org/10.1016/j.finmar.2011.09.001</w:t>
      </w:r>
    </w:p>
    <w:p w14:paraId="0634D1E7" w14:textId="77777777" w:rsidR="006C3E84" w:rsidRPr="006C3E84" w:rsidRDefault="006C3E84" w:rsidP="006C3E84">
      <w:pPr>
        <w:pStyle w:val="afd"/>
        <w:spacing w:before="180" w:after="180"/>
        <w:ind w:left="480" w:hanging="480"/>
      </w:pPr>
      <w:r w:rsidRPr="006C3E84">
        <w:t xml:space="preserve">Breeden, D. T., &amp; Litzenberger, R. H. (1978). Prices of State-Contingent Claims Implicit in Option Prices. </w:t>
      </w:r>
      <w:r w:rsidRPr="006C3E84">
        <w:rPr>
          <w:i/>
          <w:iCs/>
        </w:rPr>
        <w:t>The Journal of Business</w:t>
      </w:r>
      <w:r w:rsidRPr="006C3E84">
        <w:t xml:space="preserve">, </w:t>
      </w:r>
      <w:r w:rsidRPr="006C3E84">
        <w:rPr>
          <w:i/>
          <w:iCs/>
        </w:rPr>
        <w:t>51</w:t>
      </w:r>
      <w:r w:rsidRPr="006C3E84">
        <w:t>(4), 621–651.</w:t>
      </w:r>
    </w:p>
    <w:p w14:paraId="33654FB4" w14:textId="77777777" w:rsidR="006C3E84" w:rsidRPr="006C3E84" w:rsidRDefault="006C3E84" w:rsidP="006C3E84">
      <w:pPr>
        <w:pStyle w:val="afd"/>
        <w:spacing w:before="180" w:after="180"/>
        <w:ind w:left="480" w:hanging="480"/>
      </w:pPr>
      <w:r w:rsidRPr="006C3E84">
        <w:t xml:space="preserve">Chordia, T., Lin, T.-C., &amp; Xiang, V. (2021). Risk-Neutral Skewness, Informed Trading, and the Cross Section of Stock Returns. </w:t>
      </w:r>
      <w:r w:rsidRPr="006C3E84">
        <w:rPr>
          <w:i/>
          <w:iCs/>
        </w:rPr>
        <w:t>Journal of Financial and Quantitative Analysis</w:t>
      </w:r>
      <w:r w:rsidRPr="006C3E84">
        <w:t xml:space="preserve">, </w:t>
      </w:r>
      <w:r w:rsidRPr="006C3E84">
        <w:rPr>
          <w:i/>
          <w:iCs/>
        </w:rPr>
        <w:t>56</w:t>
      </w:r>
      <w:r w:rsidRPr="006C3E84">
        <w:t>(5), 1713–1737. https://doi.org/10.1017/S0022109020000551</w:t>
      </w:r>
    </w:p>
    <w:p w14:paraId="50AF7C7D" w14:textId="77777777" w:rsidR="006C3E84" w:rsidRPr="006C3E84" w:rsidRDefault="006C3E84" w:rsidP="006C3E84">
      <w:pPr>
        <w:pStyle w:val="afd"/>
        <w:spacing w:before="180" w:after="180"/>
        <w:ind w:left="480" w:hanging="480"/>
      </w:pPr>
      <w:r w:rsidRPr="006C3E84">
        <w:t xml:space="preserve">Cujean, J., &amp; Hasler, M. (2017). Why Does Return Predictability Concentrate in Bad Times? </w:t>
      </w:r>
      <w:r w:rsidRPr="006C3E84">
        <w:rPr>
          <w:i/>
          <w:iCs/>
        </w:rPr>
        <w:t>The Journal of Finance</w:t>
      </w:r>
      <w:r w:rsidRPr="006C3E84">
        <w:t xml:space="preserve">, </w:t>
      </w:r>
      <w:r w:rsidRPr="006C3E84">
        <w:rPr>
          <w:i/>
          <w:iCs/>
        </w:rPr>
        <w:t>72</w:t>
      </w:r>
      <w:r w:rsidRPr="006C3E84">
        <w:t>(6), 2717–2758. https://doi.org/10.1111/jofi.12544</w:t>
      </w:r>
    </w:p>
    <w:p w14:paraId="7747A7EA" w14:textId="77777777" w:rsidR="006C3E84" w:rsidRPr="006C3E84" w:rsidRDefault="006C3E84" w:rsidP="006C3E84">
      <w:pPr>
        <w:pStyle w:val="afd"/>
        <w:spacing w:before="180" w:after="180"/>
        <w:ind w:left="480" w:hanging="480"/>
      </w:pPr>
      <w:r w:rsidRPr="006C3E84">
        <w:t xml:space="preserve">Feng, Y., He, M., &amp; Zhang, Y. (2024). Market Skewness and Stock Return Predictability: New Evidence from China. </w:t>
      </w:r>
      <w:r w:rsidRPr="006C3E84">
        <w:rPr>
          <w:i/>
          <w:iCs/>
        </w:rPr>
        <w:t>Emerging Markets Finance and Trade</w:t>
      </w:r>
      <w:r w:rsidRPr="006C3E84">
        <w:t xml:space="preserve">, </w:t>
      </w:r>
      <w:r w:rsidRPr="006C3E84">
        <w:rPr>
          <w:i/>
          <w:iCs/>
        </w:rPr>
        <w:t>60</w:t>
      </w:r>
      <w:r w:rsidRPr="006C3E84">
        <w:t>(2), 233–244. https://doi.org/10.1080/1540496X.2023.2217327</w:t>
      </w:r>
    </w:p>
    <w:p w14:paraId="1301BA6A" w14:textId="77777777" w:rsidR="006C3E84" w:rsidRPr="006C3E84" w:rsidRDefault="006C3E84" w:rsidP="006C3E84">
      <w:pPr>
        <w:pStyle w:val="afd"/>
        <w:spacing w:before="180" w:after="180"/>
        <w:ind w:left="480" w:hanging="480"/>
      </w:pPr>
      <w:r w:rsidRPr="006C3E84">
        <w:t xml:space="preserve">Figlewski, S. (2008). </w:t>
      </w:r>
      <w:r w:rsidRPr="006C3E84">
        <w:rPr>
          <w:i/>
          <w:iCs/>
        </w:rPr>
        <w:t>Estimating the Implied Risk Neutral Density for the U.S. Market Portfolio</w:t>
      </w:r>
      <w:r w:rsidRPr="006C3E84">
        <w:t xml:space="preserve"> (SSRN Scholarly Paper No. 1256783). Social Science Research Network. https://papers.ssrn.com/abstract=1256783</w:t>
      </w:r>
    </w:p>
    <w:p w14:paraId="44593878" w14:textId="77777777" w:rsidR="006C3E84" w:rsidRPr="006C3E84" w:rsidRDefault="006C3E84" w:rsidP="006C3E84">
      <w:pPr>
        <w:pStyle w:val="afd"/>
        <w:spacing w:before="180" w:after="180"/>
        <w:ind w:left="480" w:hanging="480"/>
      </w:pPr>
      <w:r w:rsidRPr="006C3E84">
        <w:t xml:space="preserve">Figlewski, S. (2018). Risk-Neutral Densities: A Review. </w:t>
      </w:r>
      <w:r w:rsidRPr="006C3E84">
        <w:rPr>
          <w:i/>
          <w:iCs/>
        </w:rPr>
        <w:t>Annual Review of Financial Economics</w:t>
      </w:r>
      <w:r w:rsidRPr="006C3E84">
        <w:t xml:space="preserve">, </w:t>
      </w:r>
      <w:r w:rsidRPr="006C3E84">
        <w:rPr>
          <w:i/>
          <w:iCs/>
        </w:rPr>
        <w:t>10</w:t>
      </w:r>
      <w:r w:rsidRPr="006C3E84">
        <w:t>(Volume 10, 2018), 329–359. https://doi.org/10.1146/annurev-financial-110217-022944</w:t>
      </w:r>
    </w:p>
    <w:p w14:paraId="2DD823C5" w14:textId="77777777" w:rsidR="006C3E84" w:rsidRPr="006C3E84" w:rsidRDefault="006C3E84" w:rsidP="006C3E84">
      <w:pPr>
        <w:pStyle w:val="afd"/>
        <w:spacing w:before="180" w:after="180"/>
        <w:ind w:left="480" w:hanging="480"/>
      </w:pPr>
      <w:r w:rsidRPr="006C3E84">
        <w:t xml:space="preserve">He, Y., Peng, L., Zhang, D., &amp; Zhao, Z. (2022). Risk Analysis via Generalized Pareto Distributions. </w:t>
      </w:r>
      <w:r w:rsidRPr="006C3E84">
        <w:rPr>
          <w:i/>
          <w:iCs/>
        </w:rPr>
        <w:t>Journal of Business &amp; Economic Statistics</w:t>
      </w:r>
      <w:r w:rsidRPr="006C3E84">
        <w:t xml:space="preserve">, </w:t>
      </w:r>
      <w:r w:rsidRPr="006C3E84">
        <w:rPr>
          <w:i/>
          <w:iCs/>
        </w:rPr>
        <w:t>40</w:t>
      </w:r>
      <w:r w:rsidRPr="006C3E84">
        <w:t>(2), 852–867. https://doi.org/10.1080/07350015.2021.1874390</w:t>
      </w:r>
    </w:p>
    <w:p w14:paraId="57E0FDAE" w14:textId="77777777" w:rsidR="006C3E84" w:rsidRPr="006C3E84" w:rsidRDefault="006C3E84" w:rsidP="006C3E84">
      <w:pPr>
        <w:pStyle w:val="afd"/>
        <w:spacing w:before="180" w:after="180"/>
        <w:ind w:left="480" w:hanging="480"/>
      </w:pPr>
      <w:r w:rsidRPr="006C3E84">
        <w:t xml:space="preserve">Hosking, J. R. M., &amp; Wallis, J. R. (1987). Parameter and Quantile Estimation for the Generalized Pareto Distribution. </w:t>
      </w:r>
      <w:r w:rsidRPr="006C3E84">
        <w:rPr>
          <w:i/>
          <w:iCs/>
        </w:rPr>
        <w:t>Technometrics</w:t>
      </w:r>
      <w:r w:rsidRPr="006C3E84">
        <w:t xml:space="preserve">, </w:t>
      </w:r>
      <w:r w:rsidRPr="006C3E84">
        <w:rPr>
          <w:i/>
          <w:iCs/>
        </w:rPr>
        <w:t>29</w:t>
      </w:r>
      <w:r w:rsidRPr="006C3E84">
        <w:t>(3), 339–349. https://doi.org/10.2307/1269343</w:t>
      </w:r>
    </w:p>
    <w:p w14:paraId="6D70D021" w14:textId="77777777" w:rsidR="006C3E84" w:rsidRPr="006C3E84" w:rsidRDefault="006C3E84" w:rsidP="006C3E84">
      <w:pPr>
        <w:pStyle w:val="afd"/>
        <w:spacing w:before="180" w:after="180"/>
        <w:ind w:left="480" w:hanging="480"/>
      </w:pPr>
      <w:r w:rsidRPr="006C3E84">
        <w:lastRenderedPageBreak/>
        <w:t xml:space="preserve">Jackwerth, J. (2020). What Do Index Options Teach Us About COVID-19? </w:t>
      </w:r>
      <w:r w:rsidRPr="006C3E84">
        <w:rPr>
          <w:i/>
          <w:iCs/>
        </w:rPr>
        <w:t>The Review of Asset Pricing Studies</w:t>
      </w:r>
      <w:r w:rsidRPr="006C3E84">
        <w:t xml:space="preserve">, </w:t>
      </w:r>
      <w:r w:rsidRPr="006C3E84">
        <w:rPr>
          <w:i/>
          <w:iCs/>
        </w:rPr>
        <w:t>10</w:t>
      </w:r>
      <w:r w:rsidRPr="006C3E84">
        <w:t>(4), 618–634. https://doi.org/10.1093/rapstu/raaa012</w:t>
      </w:r>
    </w:p>
    <w:p w14:paraId="1BED6C9D" w14:textId="77777777" w:rsidR="006C3E84" w:rsidRPr="006C3E84" w:rsidRDefault="006C3E84" w:rsidP="006C3E84">
      <w:pPr>
        <w:pStyle w:val="afd"/>
        <w:spacing w:before="180" w:after="180"/>
        <w:ind w:left="480" w:hanging="480"/>
      </w:pPr>
      <w:r w:rsidRPr="006C3E84">
        <w:t xml:space="preserve">Köse, N., Yildirim, H., Ünal, E., &amp; Lin, B. (2024). The Bitcoin price and Bitcoin price uncertainty: Evidence of Bitcoin price volatility. </w:t>
      </w:r>
      <w:r w:rsidRPr="006C3E84">
        <w:rPr>
          <w:i/>
          <w:iCs/>
        </w:rPr>
        <w:t>Journal of Futures Markets</w:t>
      </w:r>
      <w:r w:rsidRPr="006C3E84">
        <w:t xml:space="preserve">, </w:t>
      </w:r>
      <w:r w:rsidRPr="006C3E84">
        <w:rPr>
          <w:i/>
          <w:iCs/>
        </w:rPr>
        <w:t>44</w:t>
      </w:r>
      <w:r w:rsidRPr="006C3E84">
        <w:t>(4), 673–695. https://doi.org/10.1002/fut.22487</w:t>
      </w:r>
    </w:p>
    <w:p w14:paraId="7E6C88CA" w14:textId="77777777" w:rsidR="006C3E84" w:rsidRPr="006C3E84" w:rsidRDefault="006C3E84" w:rsidP="006C3E84">
      <w:pPr>
        <w:pStyle w:val="afd"/>
        <w:spacing w:before="180" w:after="180"/>
        <w:ind w:left="480" w:hanging="480"/>
      </w:pPr>
      <w:r w:rsidRPr="006C3E84">
        <w:t xml:space="preserve">Li, X., Wu, Z., Zhang, H., &amp; Zhang, L. (2024). Risk-neutral skewness and stock market returns: A time-series analysis. </w:t>
      </w:r>
      <w:r w:rsidRPr="006C3E84">
        <w:rPr>
          <w:i/>
          <w:iCs/>
        </w:rPr>
        <w:t>The North American Journal of Economics and Finance</w:t>
      </w:r>
      <w:r w:rsidRPr="006C3E84">
        <w:t xml:space="preserve">, </w:t>
      </w:r>
      <w:r w:rsidRPr="006C3E84">
        <w:rPr>
          <w:i/>
          <w:iCs/>
        </w:rPr>
        <w:t>70</w:t>
      </w:r>
      <w:r w:rsidRPr="006C3E84">
        <w:t>, 102040. https://doi.org/10.1016/j.najef.2023.102040</w:t>
      </w:r>
    </w:p>
    <w:p w14:paraId="24C8B1B5" w14:textId="77777777" w:rsidR="006C3E84" w:rsidRPr="006C3E84" w:rsidRDefault="006C3E84" w:rsidP="006C3E84">
      <w:pPr>
        <w:pStyle w:val="afd"/>
        <w:spacing w:before="180" w:after="180"/>
        <w:ind w:left="480" w:hanging="480"/>
      </w:pPr>
      <w:r w:rsidRPr="006C3E84">
        <w:t xml:space="preserve">McNeil, A. J., &amp; Frey, R. (2000). Estimation of tail-related risk measures for heteroscedastic financial time series: An extreme value approach. </w:t>
      </w:r>
      <w:r w:rsidRPr="006C3E84">
        <w:rPr>
          <w:i/>
          <w:iCs/>
        </w:rPr>
        <w:t>Journal of Empirical Finance</w:t>
      </w:r>
      <w:r w:rsidRPr="006C3E84">
        <w:t xml:space="preserve">, </w:t>
      </w:r>
      <w:r w:rsidRPr="006C3E84">
        <w:rPr>
          <w:i/>
          <w:iCs/>
        </w:rPr>
        <w:t>7</w:t>
      </w:r>
      <w:r w:rsidRPr="006C3E84">
        <w:t>(3), 271–300. https://doi.org/10.1016/S0927-5398(00)00012-8</w:t>
      </w:r>
    </w:p>
    <w:p w14:paraId="42563E33" w14:textId="77777777" w:rsidR="006C3E84" w:rsidRPr="006C3E84" w:rsidRDefault="006C3E84" w:rsidP="006C3E84">
      <w:pPr>
        <w:pStyle w:val="afd"/>
        <w:spacing w:before="180" w:after="180"/>
        <w:ind w:left="480" w:hanging="480"/>
      </w:pPr>
      <w:r w:rsidRPr="006C3E84">
        <w:t xml:space="preserve">Mohrschladt, H., &amp; Schneider, J. C. (2021). Option-implied skewness: Insights from ITM-options. </w:t>
      </w:r>
      <w:r w:rsidRPr="006C3E84">
        <w:rPr>
          <w:i/>
          <w:iCs/>
        </w:rPr>
        <w:t>Journal of Economic Dynamics and Control</w:t>
      </w:r>
      <w:r w:rsidRPr="006C3E84">
        <w:t xml:space="preserve">, </w:t>
      </w:r>
      <w:r w:rsidRPr="006C3E84">
        <w:rPr>
          <w:i/>
          <w:iCs/>
        </w:rPr>
        <w:t>131</w:t>
      </w:r>
      <w:r w:rsidRPr="006C3E84">
        <w:t>, 104227. https://doi.org/10.1016/j.jedc.2021.104227</w:t>
      </w:r>
    </w:p>
    <w:p w14:paraId="019D1561" w14:textId="77777777" w:rsidR="006C3E84" w:rsidRPr="006C3E84" w:rsidRDefault="006C3E84" w:rsidP="006C3E84">
      <w:pPr>
        <w:pStyle w:val="afd"/>
        <w:spacing w:before="180" w:after="180"/>
        <w:ind w:left="480" w:hanging="480"/>
      </w:pPr>
      <w:r w:rsidRPr="006C3E84">
        <w:t xml:space="preserve">Shimko, D. (1993). Bounds of probability. </w:t>
      </w:r>
      <w:r w:rsidRPr="006C3E84">
        <w:rPr>
          <w:i/>
          <w:iCs/>
        </w:rPr>
        <w:t>Risk</w:t>
      </w:r>
      <w:r w:rsidRPr="006C3E84">
        <w:t xml:space="preserve">, </w:t>
      </w:r>
      <w:r w:rsidRPr="006C3E84">
        <w:rPr>
          <w:i/>
          <w:iCs/>
        </w:rPr>
        <w:t>6</w:t>
      </w:r>
      <w:r w:rsidRPr="006C3E84">
        <w:t>(4), 33–37.</w:t>
      </w:r>
    </w:p>
    <w:p w14:paraId="0249DE78" w14:textId="77777777" w:rsidR="006C3E84" w:rsidRPr="006C3E84" w:rsidRDefault="006C3E84" w:rsidP="006C3E84">
      <w:pPr>
        <w:pStyle w:val="afd"/>
        <w:spacing w:before="180" w:after="180"/>
        <w:ind w:left="480" w:hanging="480"/>
      </w:pPr>
      <w:r w:rsidRPr="006C3E84">
        <w:t xml:space="preserve">Uberti, P. (2023). A theoretical generalization of the Markowitz model incorporating skewness and kurtosis. </w:t>
      </w:r>
      <w:r w:rsidRPr="006C3E84">
        <w:rPr>
          <w:i/>
          <w:iCs/>
        </w:rPr>
        <w:t>Quantitative Finance</w:t>
      </w:r>
      <w:r w:rsidRPr="006C3E84">
        <w:t xml:space="preserve">, </w:t>
      </w:r>
      <w:r w:rsidRPr="006C3E84">
        <w:rPr>
          <w:i/>
          <w:iCs/>
        </w:rPr>
        <w:t>23</w:t>
      </w:r>
      <w:r w:rsidRPr="006C3E84">
        <w:t>(5), 877–886. https://doi.org/10.1080/14697688.2023.2176250</w:t>
      </w:r>
    </w:p>
    <w:p w14:paraId="66E845DC" w14:textId="77777777" w:rsidR="006C3E84" w:rsidRPr="006C3E84" w:rsidRDefault="006C3E84" w:rsidP="006C3E84">
      <w:pPr>
        <w:pStyle w:val="afd"/>
        <w:spacing w:before="180" w:after="180"/>
        <w:ind w:left="480" w:hanging="480"/>
      </w:pPr>
      <w:r w:rsidRPr="006C3E84">
        <w:t xml:space="preserve">Zulfiqar, N., &amp; Gulzar, S. (2021). Implied volatility estimation of bitcoin options and the stylized facts of option pricing. </w:t>
      </w:r>
      <w:r w:rsidRPr="006C3E84">
        <w:rPr>
          <w:i/>
          <w:iCs/>
        </w:rPr>
        <w:t>Financial Innovation</w:t>
      </w:r>
      <w:r w:rsidRPr="006C3E84">
        <w:t xml:space="preserve">, </w:t>
      </w:r>
      <w:r w:rsidRPr="006C3E84">
        <w:rPr>
          <w:i/>
          <w:iCs/>
        </w:rPr>
        <w:t>7</w:t>
      </w:r>
      <w:r w:rsidRPr="006C3E84">
        <w:t>(1), 67. https://doi.org/10.1186/s40854-021-00280-y</w:t>
      </w:r>
    </w:p>
    <w:p w14:paraId="28587081" w14:textId="0B5ECF63" w:rsidR="00025BEA" w:rsidRPr="00025BEA" w:rsidRDefault="00025BEA" w:rsidP="006C3E84">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DCECC" w14:textId="77777777" w:rsidR="004A38D3" w:rsidRDefault="004A38D3" w:rsidP="001C4CCF">
      <w:pPr>
        <w:spacing w:before="120" w:after="120" w:line="240" w:lineRule="auto"/>
        <w:ind w:firstLine="480"/>
      </w:pPr>
      <w:r>
        <w:separator/>
      </w:r>
    </w:p>
  </w:endnote>
  <w:endnote w:type="continuationSeparator" w:id="0">
    <w:p w14:paraId="035BE550" w14:textId="77777777" w:rsidR="004A38D3" w:rsidRDefault="004A38D3"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646D9" w14:textId="77777777" w:rsidR="004A38D3" w:rsidRDefault="004A38D3" w:rsidP="001C4CCF">
      <w:pPr>
        <w:spacing w:before="120" w:after="120" w:line="240" w:lineRule="auto"/>
        <w:ind w:firstLine="480"/>
      </w:pPr>
      <w:r>
        <w:separator/>
      </w:r>
    </w:p>
  </w:footnote>
  <w:footnote w:type="continuationSeparator" w:id="0">
    <w:p w14:paraId="79F7E4C8" w14:textId="77777777" w:rsidR="004A38D3" w:rsidRDefault="004A38D3"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proofErr w:type="spellStart"/>
      <w:r>
        <w:rPr>
          <w:rFonts w:hint="eastAsia"/>
        </w:rPr>
        <w:t>Deribit</w:t>
      </w:r>
      <w:proofErr w:type="spellEnd"/>
      <w:r>
        <w:rPr>
          <w:rFonts w:hint="eastAsia"/>
        </w:rPr>
        <w:t>交易所官方網站：</w:t>
      </w:r>
      <w:r>
        <w:fldChar w:fldCharType="begin"/>
      </w:r>
      <w:r>
        <w:instrText>HYPERLINK "https://www.deribit.com/"</w:instrText>
      </w:r>
      <w:r>
        <w:fldChar w:fldCharType="separate"/>
      </w:r>
      <w:r>
        <w:rPr>
          <w:rStyle w:val="af4"/>
        </w:rPr>
        <w:t>https://www.deribit.com/</w:t>
      </w:r>
      <w:r>
        <w:fldChar w:fldCharType="end"/>
      </w:r>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r>
        <w:fldChar w:fldCharType="begin"/>
      </w:r>
      <w:r>
        <w:instrText>HYPERLINK "https://www.theblock.co/data/crypto-markets/options"</w:instrText>
      </w:r>
      <w:r>
        <w:fldChar w:fldCharType="separate"/>
      </w:r>
      <w:r>
        <w:rPr>
          <w:rStyle w:val="af4"/>
        </w:rPr>
        <w:t>https://www.theblock.co/data/crypto-markets/options</w:t>
      </w:r>
      <w:r>
        <w:fldChar w:fldCharType="end"/>
      </w:r>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w:t>
      </w:r>
      <w:proofErr w:type="spellStart"/>
      <w:r>
        <w:rPr>
          <w:rFonts w:hint="eastAsia"/>
        </w:rPr>
        <w:t>Deribit</w:t>
      </w:r>
      <w:proofErr w:type="spellEnd"/>
      <w:r>
        <w:rPr>
          <w:rFonts w:hint="eastAsia"/>
        </w:rPr>
        <w:t>選擇權合約說明：</w:t>
      </w:r>
      <w:hyperlink r:id="rId1"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F3D"/>
    <w:rsid w:val="00031B9B"/>
    <w:rsid w:val="00032567"/>
    <w:rsid w:val="000371D9"/>
    <w:rsid w:val="00040BE8"/>
    <w:rsid w:val="00044F9A"/>
    <w:rsid w:val="00045C7C"/>
    <w:rsid w:val="00045EF8"/>
    <w:rsid w:val="00046AD7"/>
    <w:rsid w:val="000514EA"/>
    <w:rsid w:val="00052FE1"/>
    <w:rsid w:val="00053374"/>
    <w:rsid w:val="00056AB0"/>
    <w:rsid w:val="0007168F"/>
    <w:rsid w:val="00074155"/>
    <w:rsid w:val="000763A9"/>
    <w:rsid w:val="00080D79"/>
    <w:rsid w:val="0008389B"/>
    <w:rsid w:val="00084FEA"/>
    <w:rsid w:val="0008528A"/>
    <w:rsid w:val="0009304E"/>
    <w:rsid w:val="000A6DD5"/>
    <w:rsid w:val="000B2681"/>
    <w:rsid w:val="000B35CE"/>
    <w:rsid w:val="000B7B11"/>
    <w:rsid w:val="000C2131"/>
    <w:rsid w:val="000C2370"/>
    <w:rsid w:val="000C3055"/>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6108"/>
    <w:rsid w:val="001D79AD"/>
    <w:rsid w:val="001E1E99"/>
    <w:rsid w:val="001F069E"/>
    <w:rsid w:val="001F1765"/>
    <w:rsid w:val="001F3818"/>
    <w:rsid w:val="00205D84"/>
    <w:rsid w:val="00206F16"/>
    <w:rsid w:val="002116B3"/>
    <w:rsid w:val="00213679"/>
    <w:rsid w:val="00213E82"/>
    <w:rsid w:val="00215913"/>
    <w:rsid w:val="00217758"/>
    <w:rsid w:val="00220B8F"/>
    <w:rsid w:val="00221976"/>
    <w:rsid w:val="002241FA"/>
    <w:rsid w:val="00224FF9"/>
    <w:rsid w:val="00225C55"/>
    <w:rsid w:val="00230409"/>
    <w:rsid w:val="00235F9F"/>
    <w:rsid w:val="00236D2C"/>
    <w:rsid w:val="002406B3"/>
    <w:rsid w:val="0024171A"/>
    <w:rsid w:val="002451AB"/>
    <w:rsid w:val="00250604"/>
    <w:rsid w:val="002526C7"/>
    <w:rsid w:val="002549B3"/>
    <w:rsid w:val="00257875"/>
    <w:rsid w:val="0026154C"/>
    <w:rsid w:val="00262DC7"/>
    <w:rsid w:val="0026420B"/>
    <w:rsid w:val="00265CDD"/>
    <w:rsid w:val="0027238B"/>
    <w:rsid w:val="00274E81"/>
    <w:rsid w:val="00275C2A"/>
    <w:rsid w:val="002812B7"/>
    <w:rsid w:val="0028185C"/>
    <w:rsid w:val="00283E30"/>
    <w:rsid w:val="00286AC6"/>
    <w:rsid w:val="00287204"/>
    <w:rsid w:val="00290B69"/>
    <w:rsid w:val="002914A5"/>
    <w:rsid w:val="002A2A2A"/>
    <w:rsid w:val="002A4B81"/>
    <w:rsid w:val="002A67DD"/>
    <w:rsid w:val="002B276B"/>
    <w:rsid w:val="002B3678"/>
    <w:rsid w:val="002C02EC"/>
    <w:rsid w:val="002C32E3"/>
    <w:rsid w:val="002D0497"/>
    <w:rsid w:val="002D0E3A"/>
    <w:rsid w:val="002D2803"/>
    <w:rsid w:val="002D44E0"/>
    <w:rsid w:val="002D4800"/>
    <w:rsid w:val="002D4E7E"/>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73F0C"/>
    <w:rsid w:val="003819B4"/>
    <w:rsid w:val="00382A2D"/>
    <w:rsid w:val="00384265"/>
    <w:rsid w:val="0038596A"/>
    <w:rsid w:val="00387F38"/>
    <w:rsid w:val="0039058D"/>
    <w:rsid w:val="00392A8C"/>
    <w:rsid w:val="00397794"/>
    <w:rsid w:val="003A010D"/>
    <w:rsid w:val="003A2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4CEB"/>
    <w:rsid w:val="00461853"/>
    <w:rsid w:val="00463C12"/>
    <w:rsid w:val="00466389"/>
    <w:rsid w:val="00470204"/>
    <w:rsid w:val="00472B0B"/>
    <w:rsid w:val="00473435"/>
    <w:rsid w:val="00474D4A"/>
    <w:rsid w:val="0048442A"/>
    <w:rsid w:val="00484866"/>
    <w:rsid w:val="00493B38"/>
    <w:rsid w:val="00494A77"/>
    <w:rsid w:val="00496610"/>
    <w:rsid w:val="0049787D"/>
    <w:rsid w:val="004A38D3"/>
    <w:rsid w:val="004A3BE2"/>
    <w:rsid w:val="004A52F2"/>
    <w:rsid w:val="004B43D7"/>
    <w:rsid w:val="004B64B4"/>
    <w:rsid w:val="004C2212"/>
    <w:rsid w:val="004C67FB"/>
    <w:rsid w:val="004D0224"/>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2602"/>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3E84"/>
    <w:rsid w:val="006C5FDE"/>
    <w:rsid w:val="006C70DC"/>
    <w:rsid w:val="006D399C"/>
    <w:rsid w:val="006E13A6"/>
    <w:rsid w:val="006F2A22"/>
    <w:rsid w:val="0070037D"/>
    <w:rsid w:val="00701E33"/>
    <w:rsid w:val="00705918"/>
    <w:rsid w:val="0070684E"/>
    <w:rsid w:val="00710703"/>
    <w:rsid w:val="00715905"/>
    <w:rsid w:val="00716605"/>
    <w:rsid w:val="00716965"/>
    <w:rsid w:val="00717A90"/>
    <w:rsid w:val="00717F46"/>
    <w:rsid w:val="00720E4C"/>
    <w:rsid w:val="00722E5C"/>
    <w:rsid w:val="00727C07"/>
    <w:rsid w:val="00730202"/>
    <w:rsid w:val="00731282"/>
    <w:rsid w:val="00734D49"/>
    <w:rsid w:val="0073610D"/>
    <w:rsid w:val="007452DC"/>
    <w:rsid w:val="0074744B"/>
    <w:rsid w:val="00750A47"/>
    <w:rsid w:val="007637A9"/>
    <w:rsid w:val="00764F78"/>
    <w:rsid w:val="00765613"/>
    <w:rsid w:val="00767608"/>
    <w:rsid w:val="0077361A"/>
    <w:rsid w:val="007749D3"/>
    <w:rsid w:val="00775E82"/>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41C11"/>
    <w:rsid w:val="008503EB"/>
    <w:rsid w:val="00850A16"/>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6DD"/>
    <w:rsid w:val="00896866"/>
    <w:rsid w:val="008A2FD0"/>
    <w:rsid w:val="008A610B"/>
    <w:rsid w:val="008B3FDC"/>
    <w:rsid w:val="008B468E"/>
    <w:rsid w:val="008C1437"/>
    <w:rsid w:val="008C22C0"/>
    <w:rsid w:val="008C28A6"/>
    <w:rsid w:val="008C4933"/>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6725B"/>
    <w:rsid w:val="00A70A1B"/>
    <w:rsid w:val="00A70ECC"/>
    <w:rsid w:val="00A710BF"/>
    <w:rsid w:val="00A71B02"/>
    <w:rsid w:val="00A77526"/>
    <w:rsid w:val="00A8621D"/>
    <w:rsid w:val="00A9266B"/>
    <w:rsid w:val="00A92DEA"/>
    <w:rsid w:val="00A934BB"/>
    <w:rsid w:val="00A93720"/>
    <w:rsid w:val="00A96F87"/>
    <w:rsid w:val="00AB133B"/>
    <w:rsid w:val="00AB2758"/>
    <w:rsid w:val="00AB3ACB"/>
    <w:rsid w:val="00AB64D2"/>
    <w:rsid w:val="00AC00D6"/>
    <w:rsid w:val="00AC1094"/>
    <w:rsid w:val="00AC1297"/>
    <w:rsid w:val="00AC23C0"/>
    <w:rsid w:val="00AC75BE"/>
    <w:rsid w:val="00AD284F"/>
    <w:rsid w:val="00AD2D43"/>
    <w:rsid w:val="00AD704C"/>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378B"/>
    <w:rsid w:val="00BD04B9"/>
    <w:rsid w:val="00BD06D2"/>
    <w:rsid w:val="00BD071F"/>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64AC6"/>
    <w:rsid w:val="00C7394B"/>
    <w:rsid w:val="00C7484F"/>
    <w:rsid w:val="00C849DF"/>
    <w:rsid w:val="00C84D8E"/>
    <w:rsid w:val="00C84F89"/>
    <w:rsid w:val="00C8694C"/>
    <w:rsid w:val="00C86AA3"/>
    <w:rsid w:val="00C873F8"/>
    <w:rsid w:val="00C96DE9"/>
    <w:rsid w:val="00C96EDE"/>
    <w:rsid w:val="00CA36F0"/>
    <w:rsid w:val="00CA3B35"/>
    <w:rsid w:val="00CA4918"/>
    <w:rsid w:val="00CB09F9"/>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303DE"/>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4B"/>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7014"/>
    <w:rsid w:val="00E01870"/>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3B4D"/>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3043"/>
    <w:rsid w:val="00EA543E"/>
    <w:rsid w:val="00EA6491"/>
    <w:rsid w:val="00EB225D"/>
    <w:rsid w:val="00EB5CE1"/>
    <w:rsid w:val="00EC48E7"/>
    <w:rsid w:val="00EC4CA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54A2B"/>
    <w:rsid w:val="00F564B1"/>
    <w:rsid w:val="00F66567"/>
    <w:rsid w:val="00F67FB5"/>
    <w:rsid w:val="00F7013E"/>
    <w:rsid w:val="00F70BCC"/>
    <w:rsid w:val="00F74D45"/>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1" Type="http://schemas.openxmlformats.org/officeDocument/2006/relationships/hyperlink" Target="https://www.deribit.com/kb/option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58</Pages>
  <Words>15217</Words>
  <Characters>86742</Characters>
  <Application>Microsoft Office Word</Application>
  <DocSecurity>0</DocSecurity>
  <Lines>722</Lines>
  <Paragraphs>203</Paragraphs>
  <ScaleCrop>false</ScaleCrop>
  <Company/>
  <LinksUpToDate>false</LinksUpToDate>
  <CharactersWithSpaces>101756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18</cp:revision>
  <cp:lastPrinted>2025-02-11T01:26:00Z</cp:lastPrinted>
  <dcterms:created xsi:type="dcterms:W3CDTF">2025-02-10T18:45:00Z</dcterms:created>
  <dcterms:modified xsi:type="dcterms:W3CDTF">2025-02-11T01:42:00Z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id="tHBRhJ4j"/&gt;&lt;style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