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之平滑尾部導取</w:t>
      </w:r>
      <w:commentRangeEnd w:id="0"/>
      <w:r w:rsidR="00664423">
        <w:rPr>
          <w:rStyle w:val="afe"/>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3"/>
          <w:headerReference w:type="default" r:id="rId14"/>
          <w:footerReference w:type="even" r:id="rId15"/>
          <w:footerReference w:type="default" r:id="rId16"/>
          <w:headerReference w:type="first" r:id="rId17"/>
          <w:footerReference w:type="first" r:id="rId18"/>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1" w:name="_Toc190531558"/>
      <w:bookmarkStart w:id="2" w:name="_Toc190982003"/>
      <w:bookmarkStart w:id="3" w:name="_Toc19232405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4" w:name="_Toc190531559"/>
      <w:bookmarkStart w:id="5" w:name="_Toc190982004"/>
      <w:bookmarkStart w:id="6" w:name="_Toc192324055"/>
      <w:r>
        <w:rPr>
          <w:rFonts w:hint="eastAsia"/>
        </w:rPr>
        <w:lastRenderedPageBreak/>
        <w:t>A</w:t>
      </w:r>
      <w:r>
        <w:t>bstract</w:t>
      </w:r>
      <w:bookmarkEnd w:id="4"/>
      <w:bookmarkEnd w:id="5"/>
      <w:bookmarkEnd w:id="6"/>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The primary contribution of this research lies in the development of the single-point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7" w:name="_Toc190531560"/>
      <w:bookmarkStart w:id="8" w:name="_Toc190982005"/>
      <w:bookmarkStart w:id="9" w:name="_Toc192324056"/>
      <w:r>
        <w:rPr>
          <w:rFonts w:hint="eastAsia"/>
        </w:rPr>
        <w:lastRenderedPageBreak/>
        <w:t>誌謝</w:t>
      </w:r>
      <w:bookmarkEnd w:id="7"/>
      <w:bookmarkEnd w:id="8"/>
      <w:bookmarkEnd w:id="9"/>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10" w:name="_Toc190531561"/>
      <w:bookmarkStart w:id="11" w:name="_Toc190982006"/>
      <w:bookmarkStart w:id="12" w:name="_Toc192324057"/>
      <w:r>
        <w:rPr>
          <w:rFonts w:hint="eastAsia"/>
        </w:rPr>
        <w:lastRenderedPageBreak/>
        <w:t>目錄</w:t>
      </w:r>
      <w:bookmarkEnd w:id="10"/>
      <w:bookmarkEnd w:id="11"/>
      <w:bookmarkEnd w:id="12"/>
    </w:p>
    <w:p w14:paraId="7CCCA352" w14:textId="7B98C76F"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E7115B">
          <w:rPr>
            <w:noProof/>
            <w:webHidden/>
          </w:rPr>
          <w:t>I</w:t>
        </w:r>
        <w:r w:rsidR="00E32166">
          <w:rPr>
            <w:noProof/>
            <w:webHidden/>
          </w:rPr>
          <w:fldChar w:fldCharType="end"/>
        </w:r>
      </w:hyperlink>
    </w:p>
    <w:p w14:paraId="51A28B41" w14:textId="18918212"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E7115B">
          <w:rPr>
            <w:noProof/>
            <w:webHidden/>
          </w:rPr>
          <w:t>II</w:t>
        </w:r>
        <w:r>
          <w:rPr>
            <w:noProof/>
            <w:webHidden/>
          </w:rPr>
          <w:fldChar w:fldCharType="end"/>
        </w:r>
      </w:hyperlink>
    </w:p>
    <w:p w14:paraId="63C5303A" w14:textId="7253B265"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E7115B">
          <w:rPr>
            <w:noProof/>
            <w:webHidden/>
          </w:rPr>
          <w:t>IV</w:t>
        </w:r>
        <w:r>
          <w:rPr>
            <w:noProof/>
            <w:webHidden/>
          </w:rPr>
          <w:fldChar w:fldCharType="end"/>
        </w:r>
      </w:hyperlink>
    </w:p>
    <w:p w14:paraId="1ED80554" w14:textId="7A3FF551"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E7115B">
          <w:rPr>
            <w:noProof/>
            <w:webHidden/>
          </w:rPr>
          <w:t>V</w:t>
        </w:r>
        <w:r>
          <w:rPr>
            <w:noProof/>
            <w:webHidden/>
          </w:rPr>
          <w:fldChar w:fldCharType="end"/>
        </w:r>
      </w:hyperlink>
    </w:p>
    <w:p w14:paraId="60511C57" w14:textId="2E34DECA"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E7115B">
          <w:rPr>
            <w:noProof/>
            <w:webHidden/>
          </w:rPr>
          <w:t>VIII</w:t>
        </w:r>
        <w:r>
          <w:rPr>
            <w:noProof/>
            <w:webHidden/>
          </w:rPr>
          <w:fldChar w:fldCharType="end"/>
        </w:r>
      </w:hyperlink>
    </w:p>
    <w:p w14:paraId="22B9119F" w14:textId="50FBAD4E"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E7115B">
          <w:rPr>
            <w:noProof/>
            <w:webHidden/>
          </w:rPr>
          <w:t>IX</w:t>
        </w:r>
        <w:r>
          <w:rPr>
            <w:noProof/>
            <w:webHidden/>
          </w:rPr>
          <w:fldChar w:fldCharType="end"/>
        </w:r>
      </w:hyperlink>
    </w:p>
    <w:p w14:paraId="30E5B656" w14:textId="0FBEFC29"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E7115B">
          <w:rPr>
            <w:noProof/>
            <w:webHidden/>
          </w:rPr>
          <w:t>11</w:t>
        </w:r>
        <w:r>
          <w:rPr>
            <w:noProof/>
            <w:webHidden/>
          </w:rPr>
          <w:fldChar w:fldCharType="end"/>
        </w:r>
      </w:hyperlink>
    </w:p>
    <w:p w14:paraId="7790D635" w14:textId="1DCFA484"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E7115B">
          <w:rPr>
            <w:noProof/>
            <w:webHidden/>
          </w:rPr>
          <w:t>11</w:t>
        </w:r>
        <w:r>
          <w:rPr>
            <w:noProof/>
            <w:webHidden/>
          </w:rPr>
          <w:fldChar w:fldCharType="end"/>
        </w:r>
      </w:hyperlink>
    </w:p>
    <w:p w14:paraId="0A76AEB6" w14:textId="57D4C5C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E7115B">
          <w:rPr>
            <w:noProof/>
            <w:webHidden/>
          </w:rPr>
          <w:t>17</w:t>
        </w:r>
        <w:r>
          <w:rPr>
            <w:noProof/>
            <w:webHidden/>
          </w:rPr>
          <w:fldChar w:fldCharType="end"/>
        </w:r>
      </w:hyperlink>
    </w:p>
    <w:p w14:paraId="06192E8C" w14:textId="7F7BF0A2"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E7115B">
          <w:rPr>
            <w:noProof/>
            <w:webHidden/>
          </w:rPr>
          <w:t>18</w:t>
        </w:r>
        <w:r>
          <w:rPr>
            <w:noProof/>
            <w:webHidden/>
          </w:rPr>
          <w:fldChar w:fldCharType="end"/>
        </w:r>
      </w:hyperlink>
    </w:p>
    <w:p w14:paraId="0F1B6DB4" w14:textId="2A6391A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E7115B">
          <w:rPr>
            <w:noProof/>
            <w:webHidden/>
          </w:rPr>
          <w:t>18</w:t>
        </w:r>
        <w:r>
          <w:rPr>
            <w:noProof/>
            <w:webHidden/>
          </w:rPr>
          <w:fldChar w:fldCharType="end"/>
        </w:r>
      </w:hyperlink>
    </w:p>
    <w:p w14:paraId="2A4C58C0" w14:textId="187AC866"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E7115B">
          <w:rPr>
            <w:noProof/>
            <w:webHidden/>
          </w:rPr>
          <w:t>18</w:t>
        </w:r>
        <w:r>
          <w:rPr>
            <w:noProof/>
            <w:webHidden/>
          </w:rPr>
          <w:fldChar w:fldCharType="end"/>
        </w:r>
      </w:hyperlink>
    </w:p>
    <w:p w14:paraId="4DF586BB" w14:textId="339D11B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E7115B">
          <w:rPr>
            <w:noProof/>
            <w:webHidden/>
          </w:rPr>
          <w:t>19</w:t>
        </w:r>
        <w:r>
          <w:rPr>
            <w:noProof/>
            <w:webHidden/>
          </w:rPr>
          <w:fldChar w:fldCharType="end"/>
        </w:r>
      </w:hyperlink>
    </w:p>
    <w:p w14:paraId="5F3E8AA0" w14:textId="420063B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E7115B">
          <w:rPr>
            <w:noProof/>
            <w:webHidden/>
          </w:rPr>
          <w:t>19</w:t>
        </w:r>
        <w:r>
          <w:rPr>
            <w:noProof/>
            <w:webHidden/>
          </w:rPr>
          <w:fldChar w:fldCharType="end"/>
        </w:r>
      </w:hyperlink>
    </w:p>
    <w:p w14:paraId="7D58FC08" w14:textId="688F467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E7115B">
          <w:rPr>
            <w:noProof/>
            <w:webHidden/>
          </w:rPr>
          <w:t>20</w:t>
        </w:r>
        <w:r>
          <w:rPr>
            <w:noProof/>
            <w:webHidden/>
          </w:rPr>
          <w:fldChar w:fldCharType="end"/>
        </w:r>
      </w:hyperlink>
    </w:p>
    <w:p w14:paraId="59C9ABED" w14:textId="293C18E0"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E7115B">
          <w:rPr>
            <w:noProof/>
            <w:webHidden/>
          </w:rPr>
          <w:t>21</w:t>
        </w:r>
        <w:r>
          <w:rPr>
            <w:noProof/>
            <w:webHidden/>
          </w:rPr>
          <w:fldChar w:fldCharType="end"/>
        </w:r>
      </w:hyperlink>
    </w:p>
    <w:p w14:paraId="28D58807" w14:textId="0370358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E7115B">
          <w:rPr>
            <w:noProof/>
            <w:webHidden/>
          </w:rPr>
          <w:t>21</w:t>
        </w:r>
        <w:r>
          <w:rPr>
            <w:noProof/>
            <w:webHidden/>
          </w:rPr>
          <w:fldChar w:fldCharType="end"/>
        </w:r>
      </w:hyperlink>
    </w:p>
    <w:p w14:paraId="22D041B9" w14:textId="709CE7D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E7115B">
          <w:rPr>
            <w:noProof/>
            <w:webHidden/>
          </w:rPr>
          <w:t>22</w:t>
        </w:r>
        <w:r>
          <w:rPr>
            <w:noProof/>
            <w:webHidden/>
          </w:rPr>
          <w:fldChar w:fldCharType="end"/>
        </w:r>
      </w:hyperlink>
    </w:p>
    <w:p w14:paraId="2A760D22" w14:textId="59361349"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E7115B">
          <w:rPr>
            <w:noProof/>
            <w:webHidden/>
          </w:rPr>
          <w:t>24</w:t>
        </w:r>
        <w:r>
          <w:rPr>
            <w:noProof/>
            <w:webHidden/>
          </w:rPr>
          <w:fldChar w:fldCharType="end"/>
        </w:r>
      </w:hyperlink>
    </w:p>
    <w:p w14:paraId="0DE28A4D" w14:textId="23B1D47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E7115B">
          <w:rPr>
            <w:noProof/>
            <w:webHidden/>
          </w:rPr>
          <w:t>24</w:t>
        </w:r>
        <w:r>
          <w:rPr>
            <w:noProof/>
            <w:webHidden/>
          </w:rPr>
          <w:fldChar w:fldCharType="end"/>
        </w:r>
      </w:hyperlink>
    </w:p>
    <w:p w14:paraId="46E0613F" w14:textId="284B934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E7115B">
          <w:rPr>
            <w:noProof/>
            <w:webHidden/>
          </w:rPr>
          <w:t>25</w:t>
        </w:r>
        <w:r>
          <w:rPr>
            <w:noProof/>
            <w:webHidden/>
          </w:rPr>
          <w:fldChar w:fldCharType="end"/>
        </w:r>
      </w:hyperlink>
    </w:p>
    <w:p w14:paraId="28FF8D59" w14:textId="2DA2DEB8"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E7115B">
          <w:rPr>
            <w:noProof/>
            <w:webHidden/>
          </w:rPr>
          <w:t>29</w:t>
        </w:r>
        <w:r>
          <w:rPr>
            <w:noProof/>
            <w:webHidden/>
          </w:rPr>
          <w:fldChar w:fldCharType="end"/>
        </w:r>
      </w:hyperlink>
    </w:p>
    <w:p w14:paraId="6EDE528A" w14:textId="2B20B23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E7115B">
          <w:rPr>
            <w:noProof/>
            <w:webHidden/>
          </w:rPr>
          <w:t>29</w:t>
        </w:r>
        <w:r>
          <w:rPr>
            <w:noProof/>
            <w:webHidden/>
          </w:rPr>
          <w:fldChar w:fldCharType="end"/>
        </w:r>
      </w:hyperlink>
    </w:p>
    <w:p w14:paraId="621175B6" w14:textId="61A0239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E7115B">
          <w:rPr>
            <w:noProof/>
            <w:webHidden/>
          </w:rPr>
          <w:t>31</w:t>
        </w:r>
        <w:r>
          <w:rPr>
            <w:noProof/>
            <w:webHidden/>
          </w:rPr>
          <w:fldChar w:fldCharType="end"/>
        </w:r>
      </w:hyperlink>
    </w:p>
    <w:p w14:paraId="52DDB171" w14:textId="455839F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E7115B">
          <w:rPr>
            <w:noProof/>
            <w:webHidden/>
          </w:rPr>
          <w:t>31</w:t>
        </w:r>
        <w:r>
          <w:rPr>
            <w:noProof/>
            <w:webHidden/>
          </w:rPr>
          <w:fldChar w:fldCharType="end"/>
        </w:r>
      </w:hyperlink>
    </w:p>
    <w:p w14:paraId="1DED0C3A" w14:textId="0B5167F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E7115B">
          <w:rPr>
            <w:noProof/>
            <w:webHidden/>
          </w:rPr>
          <w:t>32</w:t>
        </w:r>
        <w:r>
          <w:rPr>
            <w:noProof/>
            <w:webHidden/>
          </w:rPr>
          <w:fldChar w:fldCharType="end"/>
        </w:r>
      </w:hyperlink>
    </w:p>
    <w:p w14:paraId="29FACE2F" w14:textId="575C71A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E7115B">
          <w:rPr>
            <w:noProof/>
            <w:webHidden/>
          </w:rPr>
          <w:t>35</w:t>
        </w:r>
        <w:r>
          <w:rPr>
            <w:noProof/>
            <w:webHidden/>
          </w:rPr>
          <w:fldChar w:fldCharType="end"/>
        </w:r>
      </w:hyperlink>
    </w:p>
    <w:p w14:paraId="15C4B4FF" w14:textId="20C76C9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E7115B">
          <w:rPr>
            <w:noProof/>
            <w:webHidden/>
          </w:rPr>
          <w:t>37</w:t>
        </w:r>
        <w:r>
          <w:rPr>
            <w:noProof/>
            <w:webHidden/>
          </w:rPr>
          <w:fldChar w:fldCharType="end"/>
        </w:r>
      </w:hyperlink>
    </w:p>
    <w:p w14:paraId="36605EE6" w14:textId="31660EF4"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E7115B">
          <w:rPr>
            <w:noProof/>
            <w:webHidden/>
          </w:rPr>
          <w:t>40</w:t>
        </w:r>
        <w:r>
          <w:rPr>
            <w:noProof/>
            <w:webHidden/>
          </w:rPr>
          <w:fldChar w:fldCharType="end"/>
        </w:r>
      </w:hyperlink>
    </w:p>
    <w:p w14:paraId="2A25633D" w14:textId="627720A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E7115B">
          <w:rPr>
            <w:noProof/>
            <w:webHidden/>
          </w:rPr>
          <w:t>40</w:t>
        </w:r>
        <w:r>
          <w:rPr>
            <w:noProof/>
            <w:webHidden/>
          </w:rPr>
          <w:fldChar w:fldCharType="end"/>
        </w:r>
      </w:hyperlink>
    </w:p>
    <w:p w14:paraId="775CF226" w14:textId="6C22834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E7115B">
          <w:rPr>
            <w:noProof/>
            <w:webHidden/>
          </w:rPr>
          <w:t>40</w:t>
        </w:r>
        <w:r>
          <w:rPr>
            <w:noProof/>
            <w:webHidden/>
          </w:rPr>
          <w:fldChar w:fldCharType="end"/>
        </w:r>
      </w:hyperlink>
    </w:p>
    <w:p w14:paraId="43C29796" w14:textId="3F61E45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E7115B">
          <w:rPr>
            <w:noProof/>
            <w:webHidden/>
          </w:rPr>
          <w:t>42</w:t>
        </w:r>
        <w:r>
          <w:rPr>
            <w:noProof/>
            <w:webHidden/>
          </w:rPr>
          <w:fldChar w:fldCharType="end"/>
        </w:r>
      </w:hyperlink>
    </w:p>
    <w:p w14:paraId="1B3E3208" w14:textId="71504E9C"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E7115B">
          <w:rPr>
            <w:noProof/>
            <w:webHidden/>
          </w:rPr>
          <w:t>44</w:t>
        </w:r>
        <w:r>
          <w:rPr>
            <w:noProof/>
            <w:webHidden/>
          </w:rPr>
          <w:fldChar w:fldCharType="end"/>
        </w:r>
      </w:hyperlink>
    </w:p>
    <w:p w14:paraId="3C121CE5" w14:textId="51933DC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E7115B">
          <w:rPr>
            <w:noProof/>
            <w:webHidden/>
          </w:rPr>
          <w:t>46</w:t>
        </w:r>
        <w:r>
          <w:rPr>
            <w:noProof/>
            <w:webHidden/>
          </w:rPr>
          <w:fldChar w:fldCharType="end"/>
        </w:r>
      </w:hyperlink>
    </w:p>
    <w:p w14:paraId="1DEB5BAE" w14:textId="782A5D2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E7115B">
          <w:rPr>
            <w:noProof/>
            <w:webHidden/>
          </w:rPr>
          <w:t>47</w:t>
        </w:r>
        <w:r>
          <w:rPr>
            <w:noProof/>
            <w:webHidden/>
          </w:rPr>
          <w:fldChar w:fldCharType="end"/>
        </w:r>
      </w:hyperlink>
    </w:p>
    <w:p w14:paraId="6928D78F" w14:textId="24A9657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E7115B">
          <w:rPr>
            <w:noProof/>
            <w:webHidden/>
          </w:rPr>
          <w:t>47</w:t>
        </w:r>
        <w:r>
          <w:rPr>
            <w:noProof/>
            <w:webHidden/>
          </w:rPr>
          <w:fldChar w:fldCharType="end"/>
        </w:r>
      </w:hyperlink>
    </w:p>
    <w:p w14:paraId="5EE26F60" w14:textId="385B71B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E7115B">
          <w:rPr>
            <w:noProof/>
            <w:webHidden/>
          </w:rPr>
          <w:t>49</w:t>
        </w:r>
        <w:r>
          <w:rPr>
            <w:noProof/>
            <w:webHidden/>
          </w:rPr>
          <w:fldChar w:fldCharType="end"/>
        </w:r>
      </w:hyperlink>
    </w:p>
    <w:p w14:paraId="2FD79B54" w14:textId="07F1F8F3"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E7115B">
          <w:rPr>
            <w:noProof/>
            <w:webHidden/>
          </w:rPr>
          <w:t>49</w:t>
        </w:r>
        <w:r>
          <w:rPr>
            <w:noProof/>
            <w:webHidden/>
          </w:rPr>
          <w:fldChar w:fldCharType="end"/>
        </w:r>
      </w:hyperlink>
    </w:p>
    <w:p w14:paraId="7D6EBD1A" w14:textId="324B7D4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E7115B">
          <w:rPr>
            <w:noProof/>
            <w:webHidden/>
          </w:rPr>
          <w:t>49</w:t>
        </w:r>
        <w:r>
          <w:rPr>
            <w:noProof/>
            <w:webHidden/>
          </w:rPr>
          <w:fldChar w:fldCharType="end"/>
        </w:r>
      </w:hyperlink>
    </w:p>
    <w:p w14:paraId="1C599B9D" w14:textId="7CFD34E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E7115B">
          <w:rPr>
            <w:noProof/>
            <w:webHidden/>
          </w:rPr>
          <w:t>51</w:t>
        </w:r>
        <w:r>
          <w:rPr>
            <w:noProof/>
            <w:webHidden/>
          </w:rPr>
          <w:fldChar w:fldCharType="end"/>
        </w:r>
      </w:hyperlink>
    </w:p>
    <w:p w14:paraId="34B3919B" w14:textId="4D73259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E7115B">
          <w:rPr>
            <w:noProof/>
            <w:webHidden/>
          </w:rPr>
          <w:t>53</w:t>
        </w:r>
        <w:r>
          <w:rPr>
            <w:noProof/>
            <w:webHidden/>
          </w:rPr>
          <w:fldChar w:fldCharType="end"/>
        </w:r>
      </w:hyperlink>
    </w:p>
    <w:p w14:paraId="67E5AA4B" w14:textId="347BEC1B"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E7115B">
          <w:rPr>
            <w:noProof/>
            <w:webHidden/>
          </w:rPr>
          <w:t>55</w:t>
        </w:r>
        <w:r>
          <w:rPr>
            <w:noProof/>
            <w:webHidden/>
          </w:rPr>
          <w:fldChar w:fldCharType="end"/>
        </w:r>
      </w:hyperlink>
    </w:p>
    <w:p w14:paraId="70C2E7EB" w14:textId="3517B9C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E7115B">
          <w:rPr>
            <w:noProof/>
            <w:webHidden/>
          </w:rPr>
          <w:t>55</w:t>
        </w:r>
        <w:r>
          <w:rPr>
            <w:noProof/>
            <w:webHidden/>
          </w:rPr>
          <w:fldChar w:fldCharType="end"/>
        </w:r>
      </w:hyperlink>
    </w:p>
    <w:p w14:paraId="00481910" w14:textId="123160B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E7115B">
          <w:rPr>
            <w:noProof/>
            <w:webHidden/>
          </w:rPr>
          <w:t>55</w:t>
        </w:r>
        <w:r>
          <w:rPr>
            <w:noProof/>
            <w:webHidden/>
          </w:rPr>
          <w:fldChar w:fldCharType="end"/>
        </w:r>
      </w:hyperlink>
    </w:p>
    <w:p w14:paraId="68F6237F" w14:textId="611C01A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E7115B">
          <w:rPr>
            <w:noProof/>
            <w:webHidden/>
          </w:rPr>
          <w:t>57</w:t>
        </w:r>
        <w:r>
          <w:rPr>
            <w:noProof/>
            <w:webHidden/>
          </w:rPr>
          <w:fldChar w:fldCharType="end"/>
        </w:r>
      </w:hyperlink>
    </w:p>
    <w:p w14:paraId="45BCB12E" w14:textId="41FC147A"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E7115B">
          <w:rPr>
            <w:noProof/>
            <w:webHidden/>
          </w:rPr>
          <w:t>59</w:t>
        </w:r>
        <w:r>
          <w:rPr>
            <w:noProof/>
            <w:webHidden/>
          </w:rPr>
          <w:fldChar w:fldCharType="end"/>
        </w:r>
      </w:hyperlink>
    </w:p>
    <w:p w14:paraId="72E6051A" w14:textId="6901715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E7115B">
          <w:rPr>
            <w:noProof/>
            <w:webHidden/>
          </w:rPr>
          <w:t>59</w:t>
        </w:r>
        <w:r>
          <w:rPr>
            <w:noProof/>
            <w:webHidden/>
          </w:rPr>
          <w:fldChar w:fldCharType="end"/>
        </w:r>
      </w:hyperlink>
    </w:p>
    <w:p w14:paraId="7D5EBD03" w14:textId="489C1E3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E7115B">
          <w:rPr>
            <w:noProof/>
            <w:webHidden/>
          </w:rPr>
          <w:t>61</w:t>
        </w:r>
        <w:r>
          <w:rPr>
            <w:noProof/>
            <w:webHidden/>
          </w:rPr>
          <w:fldChar w:fldCharType="end"/>
        </w:r>
      </w:hyperlink>
    </w:p>
    <w:p w14:paraId="368624FC" w14:textId="20C6D52C"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E7115B">
          <w:rPr>
            <w:noProof/>
            <w:webHidden/>
          </w:rPr>
          <w:t>63</w:t>
        </w:r>
        <w:r>
          <w:rPr>
            <w:noProof/>
            <w:webHidden/>
          </w:rPr>
          <w:fldChar w:fldCharType="end"/>
        </w:r>
      </w:hyperlink>
    </w:p>
    <w:p w14:paraId="5345ABFD" w14:textId="40E039B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E7115B">
          <w:rPr>
            <w:noProof/>
            <w:webHidden/>
          </w:rPr>
          <w:t>65</w:t>
        </w:r>
        <w:r>
          <w:rPr>
            <w:noProof/>
            <w:webHidden/>
          </w:rPr>
          <w:fldChar w:fldCharType="end"/>
        </w:r>
      </w:hyperlink>
    </w:p>
    <w:p w14:paraId="32E3FDF3" w14:textId="5559AE5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E7115B">
          <w:rPr>
            <w:noProof/>
            <w:webHidden/>
          </w:rPr>
          <w:t>65</w:t>
        </w:r>
        <w:r>
          <w:rPr>
            <w:noProof/>
            <w:webHidden/>
          </w:rPr>
          <w:fldChar w:fldCharType="end"/>
        </w:r>
      </w:hyperlink>
    </w:p>
    <w:p w14:paraId="6F922279" w14:textId="7C21C5E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E7115B">
          <w:rPr>
            <w:noProof/>
            <w:webHidden/>
          </w:rPr>
          <w:t>67</w:t>
        </w:r>
        <w:r>
          <w:rPr>
            <w:noProof/>
            <w:webHidden/>
          </w:rPr>
          <w:fldChar w:fldCharType="end"/>
        </w:r>
      </w:hyperlink>
    </w:p>
    <w:p w14:paraId="54417BEF" w14:textId="0F89F99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E7115B">
          <w:rPr>
            <w:noProof/>
            <w:webHidden/>
          </w:rPr>
          <w:t>68</w:t>
        </w:r>
        <w:r>
          <w:rPr>
            <w:noProof/>
            <w:webHidden/>
          </w:rPr>
          <w:fldChar w:fldCharType="end"/>
        </w:r>
      </w:hyperlink>
    </w:p>
    <w:p w14:paraId="6F3C62F4" w14:textId="3835BCD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E7115B">
          <w:rPr>
            <w:noProof/>
            <w:webHidden/>
          </w:rPr>
          <w:t>70</w:t>
        </w:r>
        <w:r>
          <w:rPr>
            <w:noProof/>
            <w:webHidden/>
          </w:rPr>
          <w:fldChar w:fldCharType="end"/>
        </w:r>
      </w:hyperlink>
    </w:p>
    <w:p w14:paraId="7AAD1064" w14:textId="5C585669"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E7115B">
          <w:rPr>
            <w:noProof/>
            <w:webHidden/>
          </w:rPr>
          <w:t>72</w:t>
        </w:r>
        <w:r>
          <w:rPr>
            <w:noProof/>
            <w:webHidden/>
          </w:rPr>
          <w:fldChar w:fldCharType="end"/>
        </w:r>
      </w:hyperlink>
    </w:p>
    <w:p w14:paraId="5C5ABFF1" w14:textId="1A40B17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E7115B">
          <w:rPr>
            <w:noProof/>
            <w:webHidden/>
          </w:rPr>
          <w:t>72</w:t>
        </w:r>
        <w:r>
          <w:rPr>
            <w:noProof/>
            <w:webHidden/>
          </w:rPr>
          <w:fldChar w:fldCharType="end"/>
        </w:r>
      </w:hyperlink>
    </w:p>
    <w:p w14:paraId="208264E2" w14:textId="1E51CDC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E7115B">
          <w:rPr>
            <w:noProof/>
            <w:webHidden/>
          </w:rPr>
          <w:t>73</w:t>
        </w:r>
        <w:r>
          <w:rPr>
            <w:noProof/>
            <w:webHidden/>
          </w:rPr>
          <w:fldChar w:fldCharType="end"/>
        </w:r>
      </w:hyperlink>
    </w:p>
    <w:p w14:paraId="4564EDE5" w14:textId="50407E8E"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E7115B">
          <w:rPr>
            <w:noProof/>
            <w:webHidden/>
          </w:rPr>
          <w:t>75</w:t>
        </w:r>
        <w:r>
          <w:rPr>
            <w:noProof/>
            <w:webHidden/>
          </w:rPr>
          <w:fldChar w:fldCharType="end"/>
        </w:r>
      </w:hyperlink>
    </w:p>
    <w:p w14:paraId="4C074215" w14:textId="2BBE337E"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E7115B">
          <w:rPr>
            <w:noProof/>
            <w:webHidden/>
          </w:rPr>
          <w:t>79</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3" w:name="_Toc190531562"/>
      <w:r>
        <w:br w:type="page"/>
      </w:r>
    </w:p>
    <w:p w14:paraId="523B889E" w14:textId="6A8D8BAE" w:rsidR="00FF4476" w:rsidRPr="00427613" w:rsidRDefault="00FF4476" w:rsidP="005568D9">
      <w:pPr>
        <w:pStyle w:val="1"/>
        <w:spacing w:before="180" w:after="180"/>
      </w:pPr>
      <w:bookmarkStart w:id="14" w:name="_Toc190982007"/>
      <w:bookmarkStart w:id="15" w:name="_Toc192324058"/>
      <w:r w:rsidRPr="00427613">
        <w:rPr>
          <w:rFonts w:hint="eastAsia"/>
        </w:rPr>
        <w:lastRenderedPageBreak/>
        <w:t>圖目錄</w:t>
      </w:r>
      <w:bookmarkEnd w:id="13"/>
      <w:bookmarkEnd w:id="14"/>
      <w:bookmarkEnd w:id="15"/>
    </w:p>
    <w:p w14:paraId="03CF0490" w14:textId="2F45F9F0"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E7115B">
          <w:rPr>
            <w:noProof/>
            <w:webHidden/>
          </w:rPr>
          <w:t>24</w:t>
        </w:r>
        <w:r w:rsidR="00E32166">
          <w:rPr>
            <w:noProof/>
            <w:webHidden/>
          </w:rPr>
          <w:fldChar w:fldCharType="end"/>
        </w:r>
      </w:hyperlink>
    </w:p>
    <w:p w14:paraId="37EEAA7B" w14:textId="4716FD6A"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E7115B">
          <w:rPr>
            <w:noProof/>
            <w:webHidden/>
          </w:rPr>
          <w:t>26</w:t>
        </w:r>
        <w:r>
          <w:rPr>
            <w:noProof/>
            <w:webHidden/>
          </w:rPr>
          <w:fldChar w:fldCharType="end"/>
        </w:r>
      </w:hyperlink>
    </w:p>
    <w:p w14:paraId="5A0F03ED" w14:textId="46DD66C5"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E7115B">
          <w:rPr>
            <w:noProof/>
            <w:webHidden/>
          </w:rPr>
          <w:t>26</w:t>
        </w:r>
        <w:r>
          <w:rPr>
            <w:noProof/>
            <w:webHidden/>
          </w:rPr>
          <w:fldChar w:fldCharType="end"/>
        </w:r>
      </w:hyperlink>
    </w:p>
    <w:p w14:paraId="0D1693BC" w14:textId="74D52AED"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E7115B">
          <w:rPr>
            <w:noProof/>
            <w:webHidden/>
          </w:rPr>
          <w:t>27</w:t>
        </w:r>
        <w:r>
          <w:rPr>
            <w:noProof/>
            <w:webHidden/>
          </w:rPr>
          <w:fldChar w:fldCharType="end"/>
        </w:r>
      </w:hyperlink>
    </w:p>
    <w:p w14:paraId="362E57B5" w14:textId="1EE73E36"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E7115B">
          <w:rPr>
            <w:noProof/>
            <w:webHidden/>
          </w:rPr>
          <w:t>28</w:t>
        </w:r>
        <w:r>
          <w:rPr>
            <w:noProof/>
            <w:webHidden/>
          </w:rPr>
          <w:fldChar w:fldCharType="end"/>
        </w:r>
      </w:hyperlink>
    </w:p>
    <w:p w14:paraId="3DD01BB4" w14:textId="467A72DD"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E7115B">
          <w:rPr>
            <w:noProof/>
            <w:webHidden/>
          </w:rPr>
          <w:t>34</w:t>
        </w:r>
        <w:r w:rsidR="002803B3">
          <w:rPr>
            <w:noProof/>
            <w:webHidden/>
          </w:rPr>
          <w:fldChar w:fldCharType="end"/>
        </w:r>
      </w:hyperlink>
    </w:p>
    <w:p w14:paraId="73C38BD3" w14:textId="1932882B"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E7115B">
          <w:rPr>
            <w:noProof/>
            <w:webHidden/>
          </w:rPr>
          <w:t>34</w:t>
        </w:r>
        <w:r>
          <w:rPr>
            <w:noProof/>
            <w:webHidden/>
          </w:rPr>
          <w:fldChar w:fldCharType="end"/>
        </w:r>
      </w:hyperlink>
    </w:p>
    <w:p w14:paraId="2FD809C6" w14:textId="5A01CDF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E7115B">
          <w:rPr>
            <w:noProof/>
            <w:webHidden/>
          </w:rPr>
          <w:t>35</w:t>
        </w:r>
        <w:r>
          <w:rPr>
            <w:noProof/>
            <w:webHidden/>
          </w:rPr>
          <w:fldChar w:fldCharType="end"/>
        </w:r>
      </w:hyperlink>
    </w:p>
    <w:p w14:paraId="0DFBCEF8" w14:textId="3E33E0AF"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E7115B">
          <w:rPr>
            <w:noProof/>
            <w:webHidden/>
          </w:rPr>
          <w:t>37</w:t>
        </w:r>
        <w:r>
          <w:rPr>
            <w:noProof/>
            <w:webHidden/>
          </w:rPr>
          <w:fldChar w:fldCharType="end"/>
        </w:r>
      </w:hyperlink>
    </w:p>
    <w:p w14:paraId="103FB200" w14:textId="07A3220A"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E7115B">
          <w:rPr>
            <w:noProof/>
            <w:webHidden/>
          </w:rPr>
          <w:t>37</w:t>
        </w:r>
        <w:r>
          <w:rPr>
            <w:noProof/>
            <w:webHidden/>
          </w:rPr>
          <w:fldChar w:fldCharType="end"/>
        </w:r>
      </w:hyperlink>
    </w:p>
    <w:p w14:paraId="769C5C6C" w14:textId="5626B1EC"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E7115B">
          <w:rPr>
            <w:noProof/>
            <w:webHidden/>
          </w:rPr>
          <w:t>39</w:t>
        </w:r>
        <w:r>
          <w:rPr>
            <w:noProof/>
            <w:webHidden/>
          </w:rPr>
          <w:fldChar w:fldCharType="end"/>
        </w:r>
      </w:hyperlink>
    </w:p>
    <w:p w14:paraId="6792A4CD" w14:textId="6ABBCC18"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E7115B">
          <w:rPr>
            <w:noProof/>
            <w:webHidden/>
          </w:rPr>
          <w:t>39</w:t>
        </w:r>
        <w:r>
          <w:rPr>
            <w:noProof/>
            <w:webHidden/>
          </w:rPr>
          <w:fldChar w:fldCharType="end"/>
        </w:r>
      </w:hyperlink>
    </w:p>
    <w:p w14:paraId="7FC93931" w14:textId="0B838E2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E7115B">
          <w:rPr>
            <w:noProof/>
            <w:webHidden/>
          </w:rPr>
          <w:t>43</w:t>
        </w:r>
        <w:r>
          <w:rPr>
            <w:noProof/>
            <w:webHidden/>
          </w:rPr>
          <w:fldChar w:fldCharType="end"/>
        </w:r>
      </w:hyperlink>
    </w:p>
    <w:p w14:paraId="65A3FC24" w14:textId="772D4A3C"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E7115B">
          <w:rPr>
            <w:noProof/>
            <w:webHidden/>
          </w:rPr>
          <w:t>44</w:t>
        </w:r>
        <w:r>
          <w:rPr>
            <w:noProof/>
            <w:webHidden/>
          </w:rPr>
          <w:fldChar w:fldCharType="end"/>
        </w:r>
      </w:hyperlink>
    </w:p>
    <w:p w14:paraId="5F0CEE48" w14:textId="6BD5A9DA"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E7115B">
          <w:rPr>
            <w:noProof/>
            <w:webHidden/>
          </w:rPr>
          <w:t>46</w:t>
        </w:r>
        <w:r>
          <w:rPr>
            <w:noProof/>
            <w:webHidden/>
          </w:rPr>
          <w:fldChar w:fldCharType="end"/>
        </w:r>
      </w:hyperlink>
    </w:p>
    <w:p w14:paraId="0E1E2E01" w14:textId="420C05D5"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E7115B">
          <w:rPr>
            <w:noProof/>
            <w:webHidden/>
          </w:rPr>
          <w:t>46</w:t>
        </w:r>
        <w:r>
          <w:rPr>
            <w:noProof/>
            <w:webHidden/>
          </w:rPr>
          <w:fldChar w:fldCharType="end"/>
        </w:r>
      </w:hyperlink>
    </w:p>
    <w:p w14:paraId="68810F4A" w14:textId="16A92928"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E7115B">
          <w:rPr>
            <w:noProof/>
            <w:webHidden/>
          </w:rPr>
          <w:t>56</w:t>
        </w:r>
        <w:r w:rsidR="00E32166">
          <w:rPr>
            <w:noProof/>
            <w:webHidden/>
          </w:rPr>
          <w:fldChar w:fldCharType="end"/>
        </w:r>
      </w:hyperlink>
    </w:p>
    <w:p w14:paraId="3A3480A5" w14:textId="7C263BB9"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E7115B">
          <w:rPr>
            <w:noProof/>
            <w:webHidden/>
          </w:rPr>
          <w:t>56</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6" w:name="_Toc190531563"/>
      <w:bookmarkStart w:id="17" w:name="_Toc190982008"/>
      <w:bookmarkStart w:id="18" w:name="_Toc192324059"/>
      <w:r w:rsidRPr="000B7B11">
        <w:rPr>
          <w:rFonts w:hint="eastAsia"/>
        </w:rPr>
        <w:lastRenderedPageBreak/>
        <w:t>表目錄</w:t>
      </w:r>
      <w:bookmarkEnd w:id="16"/>
      <w:bookmarkEnd w:id="17"/>
      <w:bookmarkEnd w:id="18"/>
    </w:p>
    <w:p w14:paraId="40383318" w14:textId="3C7E1B11"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E7115B">
          <w:rPr>
            <w:noProof/>
            <w:webHidden/>
          </w:rPr>
          <w:t>58</w:t>
        </w:r>
        <w:r w:rsidR="00FF1781">
          <w:rPr>
            <w:noProof/>
            <w:webHidden/>
          </w:rPr>
          <w:fldChar w:fldCharType="end"/>
        </w:r>
      </w:hyperlink>
    </w:p>
    <w:p w14:paraId="470CF13E" w14:textId="73AAEF6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E7115B">
          <w:rPr>
            <w:noProof/>
            <w:webHidden/>
          </w:rPr>
          <w:t>59</w:t>
        </w:r>
        <w:r>
          <w:rPr>
            <w:noProof/>
            <w:webHidden/>
          </w:rPr>
          <w:fldChar w:fldCharType="end"/>
        </w:r>
      </w:hyperlink>
    </w:p>
    <w:p w14:paraId="568FA2FA" w14:textId="25E8DD5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E7115B">
          <w:rPr>
            <w:noProof/>
            <w:webHidden/>
          </w:rPr>
          <w:t>60</w:t>
        </w:r>
        <w:r>
          <w:rPr>
            <w:noProof/>
            <w:webHidden/>
          </w:rPr>
          <w:fldChar w:fldCharType="end"/>
        </w:r>
      </w:hyperlink>
    </w:p>
    <w:p w14:paraId="5F6C2749" w14:textId="4476801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E7115B">
          <w:rPr>
            <w:noProof/>
            <w:webHidden/>
          </w:rPr>
          <w:t>60</w:t>
        </w:r>
        <w:r>
          <w:rPr>
            <w:noProof/>
            <w:webHidden/>
          </w:rPr>
          <w:fldChar w:fldCharType="end"/>
        </w:r>
      </w:hyperlink>
    </w:p>
    <w:p w14:paraId="532C0CE3" w14:textId="45606AA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E7115B">
          <w:rPr>
            <w:noProof/>
            <w:webHidden/>
          </w:rPr>
          <w:t>61</w:t>
        </w:r>
        <w:r>
          <w:rPr>
            <w:noProof/>
            <w:webHidden/>
          </w:rPr>
          <w:fldChar w:fldCharType="end"/>
        </w:r>
      </w:hyperlink>
    </w:p>
    <w:p w14:paraId="5BF7337C" w14:textId="6F556D2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E7115B">
          <w:rPr>
            <w:noProof/>
            <w:webHidden/>
          </w:rPr>
          <w:t>61</w:t>
        </w:r>
        <w:r>
          <w:rPr>
            <w:noProof/>
            <w:webHidden/>
          </w:rPr>
          <w:fldChar w:fldCharType="end"/>
        </w:r>
      </w:hyperlink>
    </w:p>
    <w:p w14:paraId="357EFFC7" w14:textId="0802C42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E7115B">
          <w:rPr>
            <w:noProof/>
            <w:webHidden/>
          </w:rPr>
          <w:t>62</w:t>
        </w:r>
        <w:r>
          <w:rPr>
            <w:noProof/>
            <w:webHidden/>
          </w:rPr>
          <w:fldChar w:fldCharType="end"/>
        </w:r>
      </w:hyperlink>
    </w:p>
    <w:p w14:paraId="64274610" w14:textId="208F144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E7115B">
          <w:rPr>
            <w:noProof/>
            <w:webHidden/>
          </w:rPr>
          <w:t>62</w:t>
        </w:r>
        <w:r>
          <w:rPr>
            <w:noProof/>
            <w:webHidden/>
          </w:rPr>
          <w:fldChar w:fldCharType="end"/>
        </w:r>
      </w:hyperlink>
    </w:p>
    <w:p w14:paraId="51B7CCAC" w14:textId="0596CEC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E7115B">
          <w:rPr>
            <w:noProof/>
            <w:webHidden/>
          </w:rPr>
          <w:t>63</w:t>
        </w:r>
        <w:r>
          <w:rPr>
            <w:noProof/>
            <w:webHidden/>
          </w:rPr>
          <w:fldChar w:fldCharType="end"/>
        </w:r>
      </w:hyperlink>
    </w:p>
    <w:p w14:paraId="1333BBCD" w14:textId="1E7A67D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E7115B">
          <w:rPr>
            <w:noProof/>
            <w:webHidden/>
          </w:rPr>
          <w:t>64</w:t>
        </w:r>
        <w:r>
          <w:rPr>
            <w:noProof/>
            <w:webHidden/>
          </w:rPr>
          <w:fldChar w:fldCharType="end"/>
        </w:r>
      </w:hyperlink>
    </w:p>
    <w:p w14:paraId="42B86EBB" w14:textId="6712DA8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E7115B">
          <w:rPr>
            <w:noProof/>
            <w:webHidden/>
          </w:rPr>
          <w:t>65</w:t>
        </w:r>
        <w:r>
          <w:rPr>
            <w:noProof/>
            <w:webHidden/>
          </w:rPr>
          <w:fldChar w:fldCharType="end"/>
        </w:r>
      </w:hyperlink>
    </w:p>
    <w:p w14:paraId="387CCBCF" w14:textId="6C3DF8C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E7115B">
          <w:rPr>
            <w:noProof/>
            <w:webHidden/>
          </w:rPr>
          <w:t>66</w:t>
        </w:r>
        <w:r>
          <w:rPr>
            <w:noProof/>
            <w:webHidden/>
          </w:rPr>
          <w:fldChar w:fldCharType="end"/>
        </w:r>
      </w:hyperlink>
    </w:p>
    <w:p w14:paraId="26A38FCE" w14:textId="70E2F0D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E7115B">
          <w:rPr>
            <w:noProof/>
            <w:webHidden/>
          </w:rPr>
          <w:t>66</w:t>
        </w:r>
        <w:r>
          <w:rPr>
            <w:noProof/>
            <w:webHidden/>
          </w:rPr>
          <w:fldChar w:fldCharType="end"/>
        </w:r>
      </w:hyperlink>
    </w:p>
    <w:p w14:paraId="6BD08FE0" w14:textId="49E172B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E7115B">
          <w:rPr>
            <w:noProof/>
            <w:webHidden/>
          </w:rPr>
          <w:t>67</w:t>
        </w:r>
        <w:r>
          <w:rPr>
            <w:noProof/>
            <w:webHidden/>
          </w:rPr>
          <w:fldChar w:fldCharType="end"/>
        </w:r>
      </w:hyperlink>
    </w:p>
    <w:p w14:paraId="3B2C6D80" w14:textId="19A67D3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E7115B">
          <w:rPr>
            <w:noProof/>
            <w:webHidden/>
          </w:rPr>
          <w:t>67</w:t>
        </w:r>
        <w:r>
          <w:rPr>
            <w:noProof/>
            <w:webHidden/>
          </w:rPr>
          <w:fldChar w:fldCharType="end"/>
        </w:r>
      </w:hyperlink>
    </w:p>
    <w:p w14:paraId="32719B59" w14:textId="452F0FC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E7115B">
          <w:rPr>
            <w:noProof/>
            <w:webHidden/>
          </w:rPr>
          <w:t>68</w:t>
        </w:r>
        <w:r>
          <w:rPr>
            <w:noProof/>
            <w:webHidden/>
          </w:rPr>
          <w:fldChar w:fldCharType="end"/>
        </w:r>
      </w:hyperlink>
    </w:p>
    <w:p w14:paraId="4B61629F" w14:textId="39A8EEA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E7115B">
          <w:rPr>
            <w:noProof/>
            <w:webHidden/>
          </w:rPr>
          <w:t>69</w:t>
        </w:r>
        <w:r>
          <w:rPr>
            <w:noProof/>
            <w:webHidden/>
          </w:rPr>
          <w:fldChar w:fldCharType="end"/>
        </w:r>
      </w:hyperlink>
    </w:p>
    <w:p w14:paraId="39024597" w14:textId="1EA2454D"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E7115B">
          <w:rPr>
            <w:noProof/>
            <w:webHidden/>
          </w:rPr>
          <w:t>75</w:t>
        </w:r>
        <w:r w:rsidR="00FF1781">
          <w:rPr>
            <w:noProof/>
            <w:webHidden/>
          </w:rPr>
          <w:fldChar w:fldCharType="end"/>
        </w:r>
      </w:hyperlink>
    </w:p>
    <w:p w14:paraId="27347EF5" w14:textId="61C37E6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E7115B">
          <w:rPr>
            <w:noProof/>
            <w:webHidden/>
          </w:rPr>
          <w:t>75</w:t>
        </w:r>
        <w:r>
          <w:rPr>
            <w:noProof/>
            <w:webHidden/>
          </w:rPr>
          <w:fldChar w:fldCharType="end"/>
        </w:r>
      </w:hyperlink>
    </w:p>
    <w:p w14:paraId="23F75353" w14:textId="444ED3C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E7115B">
          <w:rPr>
            <w:noProof/>
            <w:webHidden/>
          </w:rPr>
          <w:t>75</w:t>
        </w:r>
        <w:r>
          <w:rPr>
            <w:noProof/>
            <w:webHidden/>
          </w:rPr>
          <w:fldChar w:fldCharType="end"/>
        </w:r>
      </w:hyperlink>
    </w:p>
    <w:p w14:paraId="62445438" w14:textId="6D943AD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E7115B">
          <w:rPr>
            <w:noProof/>
            <w:webHidden/>
          </w:rPr>
          <w:t>76</w:t>
        </w:r>
        <w:r>
          <w:rPr>
            <w:noProof/>
            <w:webHidden/>
          </w:rPr>
          <w:fldChar w:fldCharType="end"/>
        </w:r>
      </w:hyperlink>
    </w:p>
    <w:p w14:paraId="725FC39B" w14:textId="4D0C71D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E7115B">
          <w:rPr>
            <w:noProof/>
            <w:webHidden/>
          </w:rPr>
          <w:t>76</w:t>
        </w:r>
        <w:r>
          <w:rPr>
            <w:noProof/>
            <w:webHidden/>
          </w:rPr>
          <w:fldChar w:fldCharType="end"/>
        </w:r>
      </w:hyperlink>
    </w:p>
    <w:p w14:paraId="5EDFF44A" w14:textId="292B115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E7115B">
          <w:rPr>
            <w:noProof/>
            <w:webHidden/>
          </w:rPr>
          <w:t>76</w:t>
        </w:r>
        <w:r>
          <w:rPr>
            <w:noProof/>
            <w:webHidden/>
          </w:rPr>
          <w:fldChar w:fldCharType="end"/>
        </w:r>
      </w:hyperlink>
    </w:p>
    <w:p w14:paraId="50AB92C6" w14:textId="43B8863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E7115B">
          <w:rPr>
            <w:noProof/>
            <w:webHidden/>
          </w:rPr>
          <w:t>77</w:t>
        </w:r>
        <w:r>
          <w:rPr>
            <w:noProof/>
            <w:webHidden/>
          </w:rPr>
          <w:fldChar w:fldCharType="end"/>
        </w:r>
      </w:hyperlink>
    </w:p>
    <w:p w14:paraId="612A923D" w14:textId="75A148D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E7115B">
          <w:rPr>
            <w:noProof/>
            <w:webHidden/>
          </w:rPr>
          <w:t>77</w:t>
        </w:r>
        <w:r>
          <w:rPr>
            <w:noProof/>
            <w:webHidden/>
          </w:rPr>
          <w:fldChar w:fldCharType="end"/>
        </w:r>
      </w:hyperlink>
    </w:p>
    <w:p w14:paraId="393925F9" w14:textId="6794052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E7115B">
          <w:rPr>
            <w:noProof/>
            <w:webHidden/>
          </w:rPr>
          <w:t>77</w:t>
        </w:r>
        <w:r>
          <w:rPr>
            <w:noProof/>
            <w:webHidden/>
          </w:rPr>
          <w:fldChar w:fldCharType="end"/>
        </w:r>
      </w:hyperlink>
    </w:p>
    <w:p w14:paraId="607285F1" w14:textId="1E35513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E7115B">
          <w:rPr>
            <w:noProof/>
            <w:webHidden/>
          </w:rPr>
          <w:t>78</w:t>
        </w:r>
        <w:r>
          <w:rPr>
            <w:noProof/>
            <w:webHidden/>
          </w:rPr>
          <w:fldChar w:fldCharType="end"/>
        </w:r>
      </w:hyperlink>
    </w:p>
    <w:p w14:paraId="24894924" w14:textId="11549E3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E7115B">
          <w:rPr>
            <w:noProof/>
            <w:webHidden/>
          </w:rPr>
          <w:t>78</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9" w:name="_Toc182815169"/>
      <w:bookmarkStart w:id="20" w:name="_Toc190531564"/>
      <w:bookmarkStart w:id="21" w:name="_Toc190982009"/>
      <w:bookmarkStart w:id="22" w:name="_Toc192324060"/>
      <w:r>
        <w:rPr>
          <w:rFonts w:hint="eastAsia"/>
        </w:rPr>
        <w:lastRenderedPageBreak/>
        <w:t>第</w:t>
      </w:r>
      <w:r w:rsidR="00E74967">
        <w:rPr>
          <w:rFonts w:hint="eastAsia"/>
        </w:rPr>
        <w:t>一章、緒論</w:t>
      </w:r>
      <w:bookmarkEnd w:id="19"/>
      <w:bookmarkEnd w:id="20"/>
      <w:bookmarkEnd w:id="21"/>
      <w:bookmarkEnd w:id="22"/>
    </w:p>
    <w:p w14:paraId="3D503B14" w14:textId="1498DB3A" w:rsidR="00F940B9" w:rsidRDefault="00F940B9" w:rsidP="00F940B9">
      <w:pPr>
        <w:pStyle w:val="2"/>
      </w:pPr>
      <w:bookmarkStart w:id="23" w:name="_Toc190531565"/>
      <w:bookmarkStart w:id="24" w:name="_Toc190982010"/>
      <w:bookmarkStart w:id="25" w:name="_Toc192324061"/>
      <w:r>
        <w:rPr>
          <w:rFonts w:hint="eastAsia"/>
        </w:rPr>
        <w:t>1.1</w:t>
      </w:r>
      <w:r>
        <w:rPr>
          <w:rFonts w:hint="eastAsia"/>
        </w:rPr>
        <w:t>研究背景與動機</w:t>
      </w:r>
      <w:bookmarkEnd w:id="23"/>
      <w:bookmarkEnd w:id="24"/>
      <w:bookmarkEnd w:id="25"/>
    </w:p>
    <w:p w14:paraId="0E8BE25E" w14:textId="1D88C500" w:rsidR="002B172E" w:rsidRDefault="002B172E" w:rsidP="001C2E61">
      <w:pPr>
        <w:spacing w:before="180" w:after="180"/>
        <w:ind w:firstLine="480"/>
      </w:pPr>
      <w:r w:rsidRPr="002B172E">
        <w:t>金融市場風險評估工具的演進，一直是金融研究的核心課題之一。近年來，隨著加密貨幣生態系統的快速擴張，比特幣作為市值最大的加密資產，其衍生性商品市場亦呈現爆發性成長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年比特幣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加密貨幣市場具有顯著不同於傳統金融市場的特性：全天候交易、極高波動性、去中心化結構及特殊的投資者組成。特別是在波動性方面，比特幣的歷史年化波動率經常超過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sidRPr="002B172E">
        <w:t>。這種極端波動特性使得風險管理在此市場中尤為重要，也為選擇權價格中隱含資訊的解讀帶來獨特挑戰。</w:t>
      </w:r>
    </w:p>
    <w:p w14:paraId="5A0CBD63" w14:textId="2851458A" w:rsidR="002B172E" w:rsidRPr="002B172E" w:rsidRDefault="002C258D" w:rsidP="002C258D">
      <w:pPr>
        <w:spacing w:before="180" w:after="180"/>
        <w:ind w:firstLine="480"/>
      </w:pPr>
      <w:r w:rsidRPr="002C258D">
        <w:t>選擇權作為一種衍生性金融商品，其價格蘊含了豐富的市場資訊。買權（</w:t>
      </w:r>
      <w:r w:rsidRPr="002C258D">
        <w:t>Call Option</w:t>
      </w:r>
      <w:r w:rsidRPr="002C258D">
        <w:t>）賦予持有人在未來特定時點，以約定價格買入標的資產的權利；賣權（</w:t>
      </w:r>
      <w:r w:rsidRPr="002C258D">
        <w:t>Put Option</w:t>
      </w:r>
      <w:r w:rsidRPr="002C258D">
        <w:t>）則賦予持有人在未來特定時點，以約定價格賣出標的資產的權利。由於選擇權的損益結構非線性，其價格不僅反映了市場對標的資產未來走勢的預期，更隱含了市場參與者對波動風險的評估</w:t>
      </w:r>
      <w:r>
        <w:rPr>
          <w:rFonts w:hint="eastAsia"/>
        </w:rPr>
        <w:t xml:space="preserve"> </w:t>
      </w:r>
      <w:r>
        <w:fldChar w:fldCharType="begin"/>
      </w:r>
      <w:r>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fldChar w:fldCharType="separate"/>
      </w:r>
      <w:r w:rsidRPr="002C258D">
        <w:t>(Hull, 2021)</w:t>
      </w:r>
      <w:r>
        <w:fldChar w:fldCharType="end"/>
      </w:r>
      <w:r w:rsidRPr="002C258D">
        <w:t>。</w:t>
      </w:r>
      <w:r w:rsidR="002B172E"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002B172E" w:rsidRPr="002B172E">
        <w:t>。傳統的</w:t>
      </w:r>
      <w:r w:rsidR="002B172E" w:rsidRPr="002B172E">
        <w:t>Black-Scholes</w:t>
      </w:r>
      <w:r w:rsidR="002B172E"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002B172E"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2B172E" w:rsidRPr="002B172E">
        <w:t>。</w:t>
      </w:r>
    </w:p>
    <w:p w14:paraId="08643ABC" w14:textId="0C485407" w:rsidR="002C258D" w:rsidRDefault="002C258D" w:rsidP="00747B0B">
      <w:pPr>
        <w:spacing w:before="180" w:after="180"/>
        <w:ind w:firstLine="480"/>
      </w:pPr>
      <w:r w:rsidRPr="002C258D">
        <w:lastRenderedPageBreak/>
        <w:t>在選擇權定價理論中，</w:t>
      </w:r>
      <w:r w:rsidRPr="002C258D">
        <w:t>Black-Scholes</w:t>
      </w:r>
      <w:r w:rsidRPr="002C258D">
        <w:t>模型</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2C258D">
        <w:t>為現代選擇權定價奠定了重要基礎</w:t>
      </w:r>
      <w:r w:rsidR="00747B0B">
        <w:rPr>
          <w:rFonts w:hint="eastAsia"/>
        </w:rPr>
        <w:t>，</w:t>
      </w:r>
      <w:r w:rsidRPr="002C258D">
        <w:t>該模型假設標的資產價格遵循幾何布朗運動，並引入無套利原理，推導出選擇權的理論價格。</w:t>
      </w:r>
      <w:r w:rsidR="00747B0B" w:rsidRPr="00747B0B">
        <w:t>然而，實務上觀察到的選擇權價格往往偏離理論值，這種偏離反映了市場對未來風險的真實評估。特別是，透過反求</w:t>
      </w:r>
      <w:r w:rsidR="00747B0B" w:rsidRPr="00747B0B">
        <w:t>Black-Scholes</w:t>
      </w:r>
      <w:r w:rsidR="00747B0B" w:rsidRPr="00747B0B">
        <w:t>模型所得到的隱含波動率（</w:t>
      </w:r>
      <w:r w:rsidR="00747B0B" w:rsidRPr="00747B0B">
        <w:t>Implied Volatility</w:t>
      </w:r>
      <w:r w:rsidR="00747B0B" w:rsidRPr="00747B0B">
        <w:t>），在不同履約價格的選擇權上呈現系統性差異，形成所謂的「波動率微笑」（</w:t>
      </w:r>
      <w:r w:rsidR="00747B0B" w:rsidRPr="00747B0B">
        <w:t>Volatility Smile</w:t>
      </w:r>
      <w:r w:rsidR="00747B0B" w:rsidRPr="00747B0B">
        <w:t>）或「波動率歪斜」（</w:t>
      </w:r>
      <w:r w:rsidR="00747B0B" w:rsidRPr="00747B0B">
        <w:t>Volatility Skew</w:t>
      </w:r>
      <w:r w:rsidR="00747B0B" w:rsidRPr="00747B0B">
        <w:t>）現象</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747B0B" w:rsidRPr="00747B0B">
        <w:t>。這種現象表明，市場對標的資產未來價格分布的預期並非如</w:t>
      </w:r>
      <w:r w:rsidR="00747B0B" w:rsidRPr="00747B0B">
        <w:t>Black-Scholes</w:t>
      </w:r>
      <w:r w:rsidR="00747B0B" w:rsidRPr="00747B0B">
        <w:t>模型假設的對數常態分布，而是具有更複雜的形態，特別是在尾部區域。</w:t>
      </w:r>
    </w:p>
    <w:p w14:paraId="14A36491" w14:textId="27652374" w:rsidR="002F53CE" w:rsidRDefault="002B172E" w:rsidP="00BD45DC">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w:t>
      </w:r>
      <w:r w:rsidR="008D3D68" w:rsidRPr="008D3D68">
        <w:rPr>
          <w:rFonts w:hint="eastAsia"/>
        </w:rPr>
        <w:t>依據</w:t>
      </w:r>
      <w:commentRangeStart w:id="26"/>
      <w:r w:rsidRPr="002B172E">
        <w:t>Breeden</w:t>
      </w:r>
      <w:commentRangeEnd w:id="26"/>
      <w:r w:rsidR="00AE33F7">
        <w:rPr>
          <w:rStyle w:val="afe"/>
        </w:rPr>
        <w:commentReference w:id="26"/>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D477A3">
        <w:rPr>
          <w:rFonts w:hint="eastAsia"/>
        </w:rPr>
        <w:t>，自</w:t>
      </w:r>
      <w:commentRangeStart w:id="27"/>
      <w:r w:rsidR="0092177F">
        <w:rPr>
          <w:rFonts w:hint="eastAsia"/>
        </w:rPr>
        <w:t>選擇權價格導出</w:t>
      </w:r>
      <w:commentRangeEnd w:id="27"/>
      <w:r w:rsidR="00AE33F7">
        <w:rPr>
          <w:rStyle w:val="afe"/>
        </w:rPr>
        <w:commentReference w:id="27"/>
      </w:r>
      <w:r w:rsidR="0092177F">
        <w:rPr>
          <w:rFonts w:hint="eastAsia"/>
        </w:rPr>
        <w:t>RND</w:t>
      </w:r>
      <w:r w:rsidR="0092177F">
        <w:rPr>
          <w:rFonts w:hint="eastAsia"/>
        </w:rPr>
        <w:t>主要分為三步驟，首先，</w:t>
      </w:r>
      <w:r w:rsidR="0092177F" w:rsidRPr="0092177F">
        <w:t>利用市場觀察到的選擇權價格，</w:t>
      </w:r>
      <w:r w:rsidR="0092177F">
        <w:rPr>
          <w:rFonts w:hint="eastAsia"/>
        </w:rPr>
        <w:t>透過</w:t>
      </w:r>
      <w:r w:rsidR="0092177F" w:rsidRPr="0092177F">
        <w:t>Black-Scholes</w:t>
      </w:r>
      <w:r w:rsidR="0092177F" w:rsidRPr="0092177F">
        <w:t>模型</w:t>
      </w:r>
      <w:r w:rsidR="0092177F">
        <w:rPr>
          <w:rFonts w:hint="eastAsia"/>
        </w:rPr>
        <w:t>反求</w:t>
      </w:r>
      <w:r w:rsidR="0092177F" w:rsidRPr="0092177F">
        <w:t>隱含波動率</w:t>
      </w:r>
      <w:r w:rsidR="0092177F">
        <w:rPr>
          <w:rFonts w:hint="eastAsia"/>
        </w:rPr>
        <w:t>，</w:t>
      </w:r>
      <w:r w:rsidR="0092177F" w:rsidRPr="0092177F">
        <w:t>每個履約價格的選擇權，</w:t>
      </w:r>
      <w:r w:rsidR="0092177F">
        <w:rPr>
          <w:rFonts w:hint="eastAsia"/>
        </w:rPr>
        <w:t>皆可</w:t>
      </w:r>
      <w:r w:rsidR="0092177F" w:rsidRPr="0092177F">
        <w:t>對應</w:t>
      </w:r>
      <w:r w:rsidR="0092177F">
        <w:rPr>
          <w:rFonts w:hint="eastAsia"/>
        </w:rPr>
        <w:t>一個</w:t>
      </w:r>
      <w:r w:rsidR="0092177F" w:rsidRPr="0092177F">
        <w:t>隱含波動率</w:t>
      </w:r>
      <w:r w:rsidR="0092177F">
        <w:rPr>
          <w:rFonts w:hint="eastAsia"/>
        </w:rPr>
        <w:t>值；</w:t>
      </w:r>
      <w:r w:rsidR="002F53CE">
        <w:rPr>
          <w:rFonts w:hint="eastAsia"/>
        </w:rPr>
        <w:t>然而，</w:t>
      </w:r>
      <w:r w:rsidR="002F53CE" w:rsidRPr="002F53CE">
        <w:t>由於市場上只</w:t>
      </w:r>
      <w:r w:rsidR="002F53CE">
        <w:rPr>
          <w:rFonts w:hint="eastAsia"/>
        </w:rPr>
        <w:t>存在</w:t>
      </w:r>
      <w:r w:rsidR="002F53CE" w:rsidRPr="002F53CE">
        <w:t>有限數量的履約價格，需要通過適當的模型對不同履約價格的隱含波動率進行擬合，建立完整的隱含波動率曲線</w:t>
      </w:r>
      <w:r w:rsidR="00DB6B6A">
        <w:rPr>
          <w:rFonts w:hint="eastAsia"/>
        </w:rPr>
        <w:t>。</w:t>
      </w:r>
      <w:r w:rsidR="009359B2" w:rsidRPr="00C104A9">
        <w:t>Bliss &amp; Panigirtzoglou</w:t>
      </w:r>
      <w:r w:rsidR="007D452F">
        <w:rPr>
          <w:rFonts w:hint="eastAsia"/>
        </w:rPr>
        <w:t xml:space="preserve"> </w:t>
      </w:r>
      <w:r w:rsidR="002C25E5">
        <w:fldChar w:fldCharType="begin"/>
      </w:r>
      <w:r w:rsidR="002C25E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fldChar w:fldCharType="separate"/>
      </w:r>
      <w:r w:rsidR="002C25E5" w:rsidRPr="002C25E5">
        <w:t>(2004)</w:t>
      </w:r>
      <w:r w:rsidR="002C25E5">
        <w:fldChar w:fldCharType="end"/>
      </w:r>
      <w:r w:rsidR="007D452F">
        <w:rPr>
          <w:rFonts w:hint="eastAsia"/>
        </w:rPr>
        <w:t>、</w:t>
      </w:r>
      <w:r w:rsidR="009359B2" w:rsidRPr="00C104A9">
        <w:t>Figlewski</w:t>
      </w:r>
      <w:r w:rsidR="007D452F">
        <w:rPr>
          <w:rFonts w:hint="eastAsia"/>
        </w:rPr>
        <w:t xml:space="preserve"> </w:t>
      </w:r>
      <w:r w:rsidR="007D452F">
        <w:fldChar w:fldCharType="begin"/>
      </w:r>
      <w:r w:rsidR="007D452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fldChar w:fldCharType="separate"/>
      </w:r>
      <w:r w:rsidR="007D452F" w:rsidRPr="007D452F">
        <w:t>(2008)</w:t>
      </w:r>
      <w:r w:rsidR="007D452F">
        <w:fldChar w:fldCharType="end"/>
      </w:r>
      <w:r w:rsidR="007D452F">
        <w:rPr>
          <w:rFonts w:hint="eastAsia"/>
        </w:rPr>
        <w:t xml:space="preserve"> </w:t>
      </w:r>
      <w:r w:rsidR="007D452F">
        <w:rPr>
          <w:rFonts w:hint="eastAsia"/>
        </w:rPr>
        <w:t>及</w:t>
      </w:r>
      <w:r w:rsidR="009359B2" w:rsidRPr="00C104A9">
        <w:t>Monteiro et al</w:t>
      </w:r>
      <w:r w:rsidR="009359B2">
        <w:rPr>
          <w:rFonts w:hint="eastAsia"/>
        </w:rPr>
        <w:t xml:space="preserve"> </w:t>
      </w:r>
      <w:r w:rsidR="009359B2">
        <w:fldChar w:fldCharType="begin"/>
      </w:r>
      <w:r w:rsidR="007D452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fldChar w:fldCharType="separate"/>
      </w:r>
      <w:r w:rsidR="007D452F" w:rsidRPr="007D452F">
        <w:t>(2008)</w:t>
      </w:r>
      <w:r w:rsidR="009359B2">
        <w:fldChar w:fldCharType="end"/>
      </w:r>
      <w:r w:rsidR="007D452F">
        <w:rPr>
          <w:rFonts w:hint="eastAsia"/>
        </w:rPr>
        <w:t xml:space="preserve"> </w:t>
      </w:r>
      <w:r w:rsidR="007D452F">
        <w:rPr>
          <w:rFonts w:hint="eastAsia"/>
        </w:rPr>
        <w:t>之研究使用三階樣條函數（</w:t>
      </w:r>
      <w:r w:rsidR="007D452F">
        <w:rPr>
          <w:rFonts w:hint="eastAsia"/>
        </w:rPr>
        <w:t>cubic splines</w:t>
      </w:r>
      <w:r w:rsidR="007D452F">
        <w:rPr>
          <w:rFonts w:hint="eastAsia"/>
        </w:rPr>
        <w:t>）</w:t>
      </w:r>
      <w:r w:rsidR="00DB6B6A">
        <w:rPr>
          <w:rFonts w:hint="eastAsia"/>
        </w:rPr>
        <w:t>對隱含波動率進行插值，</w:t>
      </w:r>
      <w:r w:rsidR="00DB6B6A" w:rsidRPr="00DB6B6A">
        <w:t>三</w:t>
      </w:r>
      <w:r w:rsidR="00DB6B6A">
        <w:rPr>
          <w:rFonts w:hint="eastAsia"/>
        </w:rPr>
        <w:t>階</w:t>
      </w:r>
      <w:r w:rsidR="00DB6B6A" w:rsidRPr="00DB6B6A">
        <w:t>樣條函數方法具有計算效率高且實作相對簡單的優點，在大多數市場條件下能提供合理的擬合結果，然而，三</w:t>
      </w:r>
      <w:r w:rsidR="00DB6B6A">
        <w:rPr>
          <w:rFonts w:hint="eastAsia"/>
        </w:rPr>
        <w:t>階</w:t>
      </w:r>
      <w:r w:rsidR="00DB6B6A" w:rsidRPr="00DB6B6A">
        <w:t>樣條函數</w:t>
      </w:r>
      <w:r w:rsidR="00DB6B6A">
        <w:rPr>
          <w:rFonts w:hint="eastAsia"/>
        </w:rPr>
        <w:t>僅</w:t>
      </w:r>
      <w:r w:rsidR="00DB6B6A" w:rsidRPr="00DB6B6A">
        <w:t>保證一階導數的連續性，二階導數可能在節點處不連續，</w:t>
      </w:r>
      <w:r w:rsidR="00DB6B6A">
        <w:rPr>
          <w:rFonts w:hint="eastAsia"/>
        </w:rPr>
        <w:t>於</w:t>
      </w:r>
      <w:r w:rsidR="00DB6B6A" w:rsidRPr="00DB6B6A">
        <w:t>處理極端</w:t>
      </w:r>
      <w:r w:rsidR="00DB6B6A">
        <w:rPr>
          <w:rFonts w:hint="eastAsia"/>
        </w:rPr>
        <w:t>情形</w:t>
      </w:r>
      <w:r w:rsidR="00DB6B6A" w:rsidRPr="00DB6B6A">
        <w:t>的波動率</w:t>
      </w:r>
      <w:r w:rsidR="00DB6B6A">
        <w:rPr>
          <w:rFonts w:hint="eastAsia"/>
        </w:rPr>
        <w:t>時</w:t>
      </w:r>
      <w:r w:rsidR="00DB6B6A" w:rsidRPr="00DB6B6A">
        <w:t>，擬合效果可能不夠理想。此外，</w:t>
      </w:r>
      <w:r w:rsidR="00DB6B6A">
        <w:rPr>
          <w:rFonts w:hint="eastAsia"/>
        </w:rPr>
        <w:t>於</w:t>
      </w:r>
      <w:r w:rsidR="00DB6B6A" w:rsidRPr="00DB6B6A">
        <w:t>提取</w:t>
      </w:r>
      <w:r w:rsidR="00DB6B6A">
        <w:rPr>
          <w:rFonts w:hint="eastAsia"/>
        </w:rPr>
        <w:t>RND</w:t>
      </w:r>
      <w:r w:rsidR="00DB6B6A" w:rsidRPr="00DB6B6A">
        <w:t>時，由於需要計算二階導數，三</w:t>
      </w:r>
      <w:r w:rsidR="00DB6B6A">
        <w:rPr>
          <w:rFonts w:hint="eastAsia"/>
        </w:rPr>
        <w:t>階</w:t>
      </w:r>
      <w:r w:rsidR="00DB6B6A" w:rsidRPr="00DB6B6A">
        <w:t>樣條可能導致密度函數不夠平滑。</w:t>
      </w:r>
      <w:r w:rsidR="00DB6B6A">
        <w:rPr>
          <w:rFonts w:hint="eastAsia"/>
        </w:rPr>
        <w:t>因此，</w:t>
      </w:r>
      <w:r w:rsidR="002F53CE" w:rsidRPr="002F53CE">
        <w:t>本研究</w:t>
      </w:r>
      <w:r w:rsidR="00BD45DC">
        <w:rPr>
          <w:rFonts w:hint="eastAsia"/>
        </w:rPr>
        <w:t>參考</w:t>
      </w:r>
      <w:r w:rsidR="00BD45DC">
        <w:rPr>
          <w:rFonts w:hint="eastAsia"/>
        </w:rPr>
        <w:t xml:space="preserve">Reinke </w:t>
      </w:r>
      <w:r w:rsidR="00BD45DC">
        <w:fldChar w:fldCharType="begin"/>
      </w:r>
      <w:r w:rsidR="00BD45DC">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BD45DC">
        <w:fldChar w:fldCharType="separate"/>
      </w:r>
      <w:r w:rsidR="00BD45DC" w:rsidRPr="00BD45DC">
        <w:t>(2020)</w:t>
      </w:r>
      <w:r w:rsidR="00BD45DC">
        <w:fldChar w:fldCharType="end"/>
      </w:r>
      <w:r w:rsidR="00BD45DC">
        <w:rPr>
          <w:rFonts w:hint="eastAsia"/>
        </w:rPr>
        <w:t xml:space="preserve"> </w:t>
      </w:r>
      <w:r w:rsidR="00BD45DC">
        <w:rPr>
          <w:rFonts w:hint="eastAsia"/>
        </w:rPr>
        <w:t>之研究方法，</w:t>
      </w:r>
      <w:r w:rsidR="00F21167">
        <w:rPr>
          <w:rFonts w:hint="eastAsia"/>
        </w:rPr>
        <w:t>採用</w:t>
      </w:r>
      <w:r w:rsidR="002F53CE" w:rsidRPr="002F53CE">
        <w:t>四階樣條函數（</w:t>
      </w:r>
      <w:r w:rsidR="002F53CE" w:rsidRPr="002F53CE">
        <w:t>quartic splines</w:t>
      </w:r>
      <w:r w:rsidR="002F53CE" w:rsidRPr="002F53CE">
        <w:t>）</w:t>
      </w:r>
      <w:r w:rsidR="002F53CE">
        <w:rPr>
          <w:rFonts w:hint="eastAsia"/>
        </w:rPr>
        <w:t>搭配單一節點（</w:t>
      </w:r>
      <w:r w:rsidR="002F53CE">
        <w:rPr>
          <w:rFonts w:hint="eastAsia"/>
        </w:rPr>
        <w:t>knot</w:t>
      </w:r>
      <w:r w:rsidR="002F53CE">
        <w:rPr>
          <w:rFonts w:hint="eastAsia"/>
        </w:rPr>
        <w:t>）</w:t>
      </w:r>
      <w:r w:rsidR="002F53CE" w:rsidRPr="002F53CE">
        <w:t>進行隱含波動率曲線擬合，此方法相較於三</w:t>
      </w:r>
      <w:r w:rsidR="00C74A05">
        <w:rPr>
          <w:rFonts w:hint="eastAsia"/>
        </w:rPr>
        <w:t>階</w:t>
      </w:r>
      <w:r w:rsidR="002F53CE" w:rsidRPr="002F53CE">
        <w:t>樣條函數（</w:t>
      </w:r>
      <w:r w:rsidR="002F53CE" w:rsidRPr="002F53CE">
        <w:t>cubic splines</w:t>
      </w:r>
      <w:r w:rsidR="002F53CE" w:rsidRPr="002F53CE">
        <w:t>）具有更高的平滑度，能夠在保證一階與二階導數連續性的同時，提供更為精確的波動率曲線估計</w:t>
      </w:r>
      <w:r w:rsidR="00BD45DC">
        <w:rPr>
          <w:rFonts w:hint="eastAsia"/>
        </w:rPr>
        <w:t>，以建構更準確之</w:t>
      </w:r>
      <w:r w:rsidR="00BD45DC">
        <w:rPr>
          <w:rFonts w:hint="eastAsia"/>
        </w:rPr>
        <w:t>RND</w:t>
      </w:r>
      <w:r w:rsidR="00BD45DC">
        <w:rPr>
          <w:rFonts w:hint="eastAsia"/>
        </w:rPr>
        <w:t>曲線</w:t>
      </w:r>
      <w:r w:rsidR="002F53CE">
        <w:rPr>
          <w:rFonts w:hint="eastAsia"/>
        </w:rPr>
        <w:t>；最後</w:t>
      </w:r>
      <w:r w:rsidR="002F53CE" w:rsidRPr="002F53CE">
        <w:t>根據</w:t>
      </w:r>
      <w:r w:rsidR="002F53CE" w:rsidRPr="002F53CE">
        <w:t>Breeden</w:t>
      </w:r>
      <w:r w:rsidR="002F53CE" w:rsidRPr="002F53CE">
        <w:t>與</w:t>
      </w:r>
      <w:r w:rsidR="002F53CE" w:rsidRPr="002F53CE">
        <w:t>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002F53CE">
        <w:rPr>
          <w:rFonts w:hint="eastAsia"/>
        </w:rPr>
        <w:t xml:space="preserve"> </w:t>
      </w:r>
      <w:r w:rsidR="002F53CE" w:rsidRPr="002F53CE">
        <w:lastRenderedPageBreak/>
        <w:t>提出的理論，</w:t>
      </w:r>
      <w:r w:rsidR="002F53CE">
        <w:rPr>
          <w:rFonts w:hint="eastAsia"/>
        </w:rPr>
        <w:t>將</w:t>
      </w:r>
      <w:r w:rsidR="002F53CE" w:rsidRPr="002F53CE">
        <w:t>歐式買權價格對履約價格</w:t>
      </w:r>
      <w:r w:rsidR="002F53CE">
        <w:rPr>
          <w:rFonts w:hint="eastAsia"/>
        </w:rPr>
        <w:t>做二次微分，導出</w:t>
      </w:r>
      <w:r w:rsidR="002F53CE">
        <w:rPr>
          <w:rFonts w:hint="eastAsia"/>
        </w:rPr>
        <w:t>RND</w:t>
      </w:r>
      <w:r w:rsidR="002F53CE">
        <w:rPr>
          <w:rFonts w:hint="eastAsia"/>
        </w:rPr>
        <w:t>。</w:t>
      </w:r>
      <w:r w:rsidR="002F53CE" w:rsidRPr="002F53CE">
        <w:t>這種從選擇權價格提取</w:t>
      </w:r>
      <w:r w:rsidR="002F53CE" w:rsidRPr="002F53CE">
        <w:t>RND</w:t>
      </w:r>
      <w:r w:rsidR="002F53CE" w:rsidRPr="002F53CE">
        <w:t>的方法，被稱為</w:t>
      </w:r>
      <w:r w:rsidR="002F53CE" w:rsidRPr="002F53CE">
        <w:t>Model-free Approach</w:t>
      </w:r>
      <w:r w:rsidR="002F53CE" w:rsidRPr="002F53CE">
        <w:t>，因為不依賴於對標的資產價格動態的特定假設，而是直接從市場價格中提取</w:t>
      </w:r>
      <w:r w:rsidR="002F53CE">
        <w:rPr>
          <w:rFonts w:hint="eastAsia"/>
        </w:rPr>
        <w:t>RND</w:t>
      </w:r>
      <w:r w:rsidR="002F53CE">
        <w:rPr>
          <w:rFonts w:hint="eastAsia"/>
        </w:rPr>
        <w:t>，此</w:t>
      </w:r>
      <w:r w:rsidR="002F53CE" w:rsidRPr="002F53CE">
        <w:t>方法的優勢在於能夠完整捕捉市場對未來價格分布的預期，包括偏態、峰態等高階</w:t>
      </w:r>
      <w:r w:rsidR="002F53CE">
        <w:rPr>
          <w:rFonts w:hint="eastAsia"/>
        </w:rPr>
        <w:t>動差</w:t>
      </w:r>
      <w:r w:rsidR="002F53CE" w:rsidRPr="002F53CE">
        <w:t>特徵。</w:t>
      </w:r>
    </w:p>
    <w:p w14:paraId="673A869B" w14:textId="465D96FD" w:rsidR="00D7448A" w:rsidRPr="002B172E" w:rsidRDefault="00D7448A" w:rsidP="008E4558">
      <w:pPr>
        <w:spacing w:before="180" w:after="180"/>
        <w:ind w:firstLine="480"/>
      </w:pPr>
      <w:r w:rsidRPr="00D7448A">
        <w:t>然而，由於選擇權市場的流動性限制，特別是在深度價外區域，直接從市場價格提取的</w:t>
      </w:r>
      <w:r w:rsidRPr="00D7448A">
        <w:t>RND</w:t>
      </w:r>
      <w:r w:rsidRPr="00D7448A">
        <w:t>往往在尾部區域缺乏足夠的資訊。為</w:t>
      </w:r>
      <w:r w:rsidR="00114843">
        <w:rPr>
          <w:rFonts w:hint="eastAsia"/>
        </w:rPr>
        <w:t>建構完整</w:t>
      </w:r>
      <w:r w:rsidR="00114843">
        <w:rPr>
          <w:rFonts w:hint="eastAsia"/>
        </w:rPr>
        <w:t>RND</w:t>
      </w:r>
      <w:r w:rsidR="00114843">
        <w:rPr>
          <w:rFonts w:hint="eastAsia"/>
        </w:rPr>
        <w:t>，過往研究發展出</w:t>
      </w:r>
      <w:r w:rsidR="009370B0">
        <w:rPr>
          <w:rFonts w:hint="eastAsia"/>
        </w:rPr>
        <w:t>非</w:t>
      </w:r>
      <w:r w:rsidR="00114843">
        <w:rPr>
          <w:rFonts w:hint="eastAsia"/>
        </w:rPr>
        <w:t>參數法與參數法兩大類</w:t>
      </w:r>
      <w:r w:rsidR="00114843">
        <w:rPr>
          <w:rFonts w:hint="eastAsia"/>
        </w:rPr>
        <w:t>RND</w:t>
      </w:r>
      <w:r w:rsidR="00114843">
        <w:rPr>
          <w:rFonts w:hint="eastAsia"/>
        </w:rPr>
        <w:t>尾部配適方法，</w:t>
      </w:r>
      <w:r w:rsidR="009370B0" w:rsidRPr="006D6B65">
        <w:t xml:space="preserve">Dong et al. </w:t>
      </w:r>
      <w:r w:rsidR="009370B0">
        <w:fldChar w:fldCharType="begin"/>
      </w:r>
      <w:r w:rsidR="009370B0">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9370B0">
        <w:fldChar w:fldCharType="separate"/>
      </w:r>
      <w:r w:rsidR="009370B0" w:rsidRPr="0013340A">
        <w:t>(2024)</w:t>
      </w:r>
      <w:r w:rsidR="009370B0">
        <w:fldChar w:fldCharType="end"/>
      </w:r>
      <w:r w:rsidR="009370B0" w:rsidRPr="006D6B65">
        <w:t xml:space="preserve"> </w:t>
      </w:r>
      <w:r w:rsidR="009370B0" w:rsidRPr="006D6B65">
        <w:t>提出創新的</w:t>
      </w:r>
      <w:r w:rsidR="009370B0" w:rsidRPr="006D6B65">
        <w:t>Implied Willow Tree (IWT)</w:t>
      </w:r>
      <w:r w:rsidR="009370B0" w:rsidRPr="006D6B65">
        <w:t>方法，該研究直接從跨到期日的市場選擇權價格資料重建完整的風險中立過程，無需依賴任何預設參數模型</w:t>
      </w:r>
      <w:r w:rsidR="009370B0">
        <w:rPr>
          <w:rFonts w:hint="eastAsia"/>
        </w:rPr>
        <w:t>；參數法主要使用</w:t>
      </w:r>
      <w:r w:rsidRPr="00D7448A">
        <w:t>極值理論方法</w:t>
      </w:r>
      <w:r>
        <w:rPr>
          <w:rFonts w:hint="eastAsia"/>
        </w:rPr>
        <w:t>（</w:t>
      </w:r>
      <w:r>
        <w:rPr>
          <w:rFonts w:hint="eastAsia"/>
        </w:rPr>
        <w:t>Extreme Value Theory, EVT</w:t>
      </w:r>
      <w:r>
        <w:rPr>
          <w:rFonts w:hint="eastAsia"/>
        </w:rPr>
        <w:t>）為</w:t>
      </w:r>
      <w:r w:rsidRPr="00D7448A">
        <w:t>重要途徑，利用極值理論中的分布函數對</w:t>
      </w:r>
      <w:r w:rsidRPr="00D7448A">
        <w:t>RND</w:t>
      </w:r>
      <w:r w:rsidRPr="00D7448A">
        <w:t>尾部進行延伸</w:t>
      </w:r>
      <w:r w:rsidR="009370B0">
        <w:rPr>
          <w:rFonts w:hint="eastAsia"/>
        </w:rPr>
        <w:t>，</w:t>
      </w:r>
      <w:r w:rsidR="00865434" w:rsidRPr="006D6B65">
        <w:t>McNeil</w:t>
      </w:r>
      <w:r w:rsidR="00865434" w:rsidRPr="006D6B65">
        <w:t>和</w:t>
      </w:r>
      <w:r w:rsidR="00865434" w:rsidRPr="006D6B65">
        <w:t xml:space="preserve">Frey </w:t>
      </w:r>
      <w:r w:rsidR="00865434">
        <w:fldChar w:fldCharType="begin"/>
      </w:r>
      <w:r w:rsidR="00865434">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865434">
        <w:fldChar w:fldCharType="separate"/>
      </w:r>
      <w:r w:rsidR="00865434" w:rsidRPr="0013340A">
        <w:t>(2000)</w:t>
      </w:r>
      <w:r w:rsidR="00865434">
        <w:fldChar w:fldCharType="end"/>
      </w:r>
      <w:r w:rsidR="00865434" w:rsidRPr="006D6B65">
        <w:t xml:space="preserve"> </w:t>
      </w:r>
      <w:r w:rsidR="00865434" w:rsidRPr="006D6B65">
        <w:t>提出結合</w:t>
      </w:r>
      <w:r w:rsidR="00865434" w:rsidRPr="006D6B65">
        <w:t>GARCH</w:t>
      </w:r>
      <w:r w:rsidR="00865434" w:rsidRPr="006D6B65">
        <w:t>模型與極值理論（</w:t>
      </w:r>
      <w:r w:rsidR="00865434" w:rsidRPr="006D6B65">
        <w:t>EVT</w:t>
      </w:r>
      <w:r w:rsidR="00865434" w:rsidRPr="006D6B65">
        <w:t>）</w:t>
      </w:r>
      <w:r w:rsidR="00865434">
        <w:rPr>
          <w:rFonts w:hint="eastAsia"/>
        </w:rPr>
        <w:t>的</w:t>
      </w:r>
      <w:r w:rsidR="00865434" w:rsidRPr="006D6B65">
        <w:t>方法，用以估計金融時間序列的尾部風險</w:t>
      </w:r>
      <w:r w:rsidR="00865434">
        <w:rPr>
          <w:rFonts w:hint="eastAsia"/>
        </w:rPr>
        <w:t>，</w:t>
      </w:r>
      <w:r w:rsidRPr="00D7448A">
        <w:t>Figlewski</w:t>
      </w:r>
      <w:r>
        <w:rPr>
          <w:rFonts w:hint="eastAsia"/>
        </w:rPr>
        <w:t xml:space="preserve"> </w:t>
      </w:r>
      <w:r>
        <w:fldChar w:fldCharType="begin"/>
      </w:r>
      <w:r>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fldChar w:fldCharType="separate"/>
      </w:r>
      <w:r w:rsidRPr="00D7448A">
        <w:t>(2008)</w:t>
      </w:r>
      <w:r>
        <w:fldChar w:fldCharType="end"/>
      </w:r>
      <w:r>
        <w:rPr>
          <w:rFonts w:hint="eastAsia"/>
        </w:rPr>
        <w:t xml:space="preserve"> </w:t>
      </w:r>
      <w:r w:rsidRPr="00D7448A">
        <w:t>首次提出使用廣義極值分布（</w:t>
      </w:r>
      <w:r w:rsidRPr="00D7448A">
        <w:t>Generalized Extreme Value Distribution, GEV</w:t>
      </w:r>
      <w:r w:rsidRPr="00D7448A">
        <w:t>）進行雙點配適，在左右尾部各選擇兩個接合點，要求在這些點上滿足密度函數值與</w:t>
      </w:r>
      <w:r>
        <w:rPr>
          <w:rFonts w:hint="eastAsia"/>
        </w:rPr>
        <w:t>累積密度值</w:t>
      </w:r>
      <w:r w:rsidRPr="00D7448A">
        <w:t>的連續性條件。</w:t>
      </w:r>
      <w:r w:rsidRPr="00D7448A">
        <w:t>Birru</w:t>
      </w:r>
      <w:r w:rsidRPr="00D7448A">
        <w:t>與</w:t>
      </w:r>
      <w:r w:rsidRPr="00D7448A">
        <w:t>Figlewski</w:t>
      </w:r>
      <w:r>
        <w:rPr>
          <w:rFonts w:hint="eastAsia"/>
        </w:rPr>
        <w:t xml:space="preserve"> </w:t>
      </w:r>
      <w:r>
        <w:fldChar w:fldCharType="begin"/>
      </w:r>
      <w:r>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D7448A">
        <w:t>(2012)</w:t>
      </w:r>
      <w:r>
        <w:fldChar w:fldCharType="end"/>
      </w:r>
      <w:r>
        <w:rPr>
          <w:rFonts w:hint="eastAsia"/>
        </w:rPr>
        <w:t xml:space="preserve"> </w:t>
      </w:r>
      <w:r w:rsidRPr="00D7448A">
        <w:t>進一步改進此方法，使用廣義柏拉圖分布（</w:t>
      </w:r>
      <w:r w:rsidRPr="00D7448A">
        <w:t>Generalized Pareto Distribution, GPD</w:t>
      </w:r>
      <w:r w:rsidRPr="00D7448A">
        <w:t>）替代</w:t>
      </w:r>
      <w:r w:rsidRPr="00D7448A">
        <w:t>GEV</w:t>
      </w:r>
      <w:r w:rsidRPr="00D7448A">
        <w:t>，並證明其在尾部風險估計上的優越性。另一種常見方法是混合分布法，將</w:t>
      </w:r>
      <w:r w:rsidRPr="00D7448A">
        <w:t>RND</w:t>
      </w:r>
      <w:r w:rsidRPr="00D7448A">
        <w:t>分解為核心部分與尾部部分，分別使用不同的分布函數進行擬合。</w:t>
      </w:r>
      <w:r w:rsidRPr="00D7448A">
        <w:t>Glatzer</w:t>
      </w:r>
      <w:r w:rsidRPr="00D7448A">
        <w:t>與</w:t>
      </w:r>
      <w:r w:rsidRPr="00D7448A">
        <w:t>Scheicher</w:t>
      </w:r>
      <w:r>
        <w:rPr>
          <w:rFonts w:hint="eastAsia"/>
        </w:rPr>
        <w:t xml:space="preserve"> </w:t>
      </w:r>
      <w:r>
        <w:fldChar w:fldCharType="begin"/>
      </w:r>
      <w:r>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fldChar w:fldCharType="separate"/>
      </w:r>
      <w:r w:rsidRPr="00D7448A">
        <w:t>(2005)</w:t>
      </w:r>
      <w:r>
        <w:fldChar w:fldCharType="end"/>
      </w:r>
      <w:r>
        <w:rPr>
          <w:rFonts w:hint="eastAsia"/>
        </w:rPr>
        <w:t xml:space="preserve"> </w:t>
      </w:r>
      <w:r w:rsidRPr="00D7448A">
        <w:t>提出使用核心部分的混合對數常態分布與尾部的</w:t>
      </w:r>
      <w:r>
        <w:rPr>
          <w:rFonts w:hint="eastAsia"/>
        </w:rPr>
        <w:t>GPD</w:t>
      </w:r>
      <w:r w:rsidRPr="00D7448A">
        <w:t>分布相結合的方法，此方法在歐元區債券市場的應用中表現良好。</w:t>
      </w:r>
      <w:r w:rsidRPr="00D7448A">
        <w:t>Markose</w:t>
      </w:r>
      <w:r w:rsidRPr="00D7448A">
        <w:t>與</w:t>
      </w:r>
      <w:r w:rsidRPr="00D7448A">
        <w:t>Alentorn</w:t>
      </w:r>
      <w:r>
        <w:rPr>
          <w:rFonts w:hint="eastAsia"/>
        </w:rPr>
        <w:t xml:space="preserve"> </w:t>
      </w:r>
      <w:r>
        <w:fldChar w:fldCharType="begin"/>
      </w:r>
      <w:r>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fldChar w:fldCharType="separate"/>
      </w:r>
      <w:r w:rsidRPr="00D7448A">
        <w:t>(2011)</w:t>
      </w:r>
      <w:r>
        <w:fldChar w:fldCharType="end"/>
      </w:r>
      <w:r>
        <w:rPr>
          <w:rFonts w:hint="eastAsia"/>
        </w:rPr>
        <w:t xml:space="preserve"> </w:t>
      </w:r>
      <w:r w:rsidRPr="00D7448A">
        <w:t>則提出使用廣義極值分布族（</w:t>
      </w:r>
      <w:r w:rsidRPr="00D7448A">
        <w:t>Generalized Extreme Value Family</w:t>
      </w:r>
      <w:r w:rsidRPr="00D7448A">
        <w:t>）對</w:t>
      </w:r>
      <w:r w:rsidRPr="00D7448A">
        <w:t>RND</w:t>
      </w:r>
      <w:r w:rsidRPr="00D7448A">
        <w:t>尾部進行參數化，該方法能夠有效捕捉市場對極端事件的預期。第三種方法為密度函數外推法，基於已知部分的</w:t>
      </w:r>
      <w:r w:rsidRPr="00D7448A">
        <w:t>RND</w:t>
      </w:r>
      <w:r w:rsidRPr="00D7448A">
        <w:t>形態，通過適當的函數形式對尾部進行外推。</w:t>
      </w:r>
      <w:r w:rsidRPr="00D7448A">
        <w:t>Monteiro</w:t>
      </w:r>
      <w:r w:rsidRPr="00D7448A">
        <w:t>等人</w:t>
      </w:r>
      <w:r>
        <w:rPr>
          <w:rFonts w:hint="eastAsia"/>
        </w:rPr>
        <w:t xml:space="preserve"> </w:t>
      </w:r>
      <w:r>
        <w:fldChar w:fldCharType="begin"/>
      </w:r>
      <w:r>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fldChar w:fldCharType="separate"/>
      </w:r>
      <w:r w:rsidRPr="00D7448A">
        <w:t>(2008)</w:t>
      </w:r>
      <w:r>
        <w:fldChar w:fldCharType="end"/>
      </w:r>
      <w:r>
        <w:rPr>
          <w:rFonts w:hint="eastAsia"/>
        </w:rPr>
        <w:t xml:space="preserve"> </w:t>
      </w:r>
      <w:r w:rsidRPr="00D7448A">
        <w:t>提出使用三次樣條函數</w:t>
      </w:r>
      <w:r>
        <w:rPr>
          <w:rFonts w:hint="eastAsia"/>
        </w:rPr>
        <w:t>（</w:t>
      </w:r>
      <w:r w:rsidRPr="00D7448A">
        <w:t>cubic splines</w:t>
      </w:r>
      <w:r>
        <w:rPr>
          <w:rFonts w:hint="eastAsia"/>
        </w:rPr>
        <w:t>）</w:t>
      </w:r>
      <w:r w:rsidRPr="00D7448A">
        <w:t>結合非負性約束從選擇權價格中提取風險中立機率密度，並在處理</w:t>
      </w:r>
      <w:r w:rsidRPr="00D7448A">
        <w:t>RND</w:t>
      </w:r>
      <w:r w:rsidRPr="00D7448A">
        <w:t>尾部時採用指數函數進行外推，此方法計算簡便，但可能無法充分捕捉複雜的尾部特徵。</w:t>
      </w:r>
      <w:r w:rsidR="00865434">
        <w:rPr>
          <w:rFonts w:hint="eastAsia"/>
        </w:rPr>
        <w:t>近</w:t>
      </w:r>
      <w:r w:rsidR="00865434">
        <w:rPr>
          <w:rFonts w:hint="eastAsia"/>
        </w:rPr>
        <w:lastRenderedPageBreak/>
        <w:t>期，</w:t>
      </w:r>
      <w:r w:rsidR="00865434" w:rsidRPr="006D6B65">
        <w:t xml:space="preserve">Orosi </w:t>
      </w:r>
      <w:r w:rsidR="00865434">
        <w:fldChar w:fldCharType="begin"/>
      </w:r>
      <w:r w:rsidR="00865434">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865434">
        <w:fldChar w:fldCharType="separate"/>
      </w:r>
      <w:r w:rsidR="00865434" w:rsidRPr="0013340A">
        <w:t>(2015)</w:t>
      </w:r>
      <w:r w:rsidR="00865434">
        <w:fldChar w:fldCharType="end"/>
      </w:r>
      <w:r w:rsidR="00865434" w:rsidRPr="006D6B65">
        <w:t xml:space="preserve"> </w:t>
      </w:r>
      <w:r w:rsidR="00865434" w:rsidRPr="006D6B65">
        <w:t>提出一種新穎的參數法來估計風險中立機率密度函數，該方法透過設定適當的函數形式，並對模型參數施加限制條件，能夠產生具良好性質的風險中立密度估計</w:t>
      </w:r>
      <w:r w:rsidR="00865434">
        <w:rPr>
          <w:rFonts w:hint="eastAsia"/>
        </w:rPr>
        <w:t>，</w:t>
      </w:r>
      <w:r w:rsidR="00865434" w:rsidRPr="006D6B65">
        <w:t xml:space="preserve">Uberti </w:t>
      </w:r>
      <w:r w:rsidR="00865434">
        <w:fldChar w:fldCharType="begin"/>
      </w:r>
      <w:r w:rsidR="00865434">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865434">
        <w:fldChar w:fldCharType="separate"/>
      </w:r>
      <w:r w:rsidR="00865434" w:rsidRPr="0013340A">
        <w:t>(2023)</w:t>
      </w:r>
      <w:r w:rsidR="00865434">
        <w:fldChar w:fldCharType="end"/>
      </w:r>
      <w:r w:rsidR="00865434" w:rsidRPr="006D6B65">
        <w:t xml:space="preserve"> </w:t>
      </w:r>
      <w:r w:rsidR="00865434" w:rsidRPr="006D6B65">
        <w:t>提出了一種新的半參數估計方法，結合了參數法的穩定性和非參數法的靈活性，</w:t>
      </w:r>
      <w:r w:rsidR="008E4558" w:rsidRPr="008E4558">
        <w:t>Y. Li et al.</w:t>
      </w:r>
      <w:r w:rsidR="008E4558">
        <w:rPr>
          <w:rFonts w:hint="eastAsia"/>
        </w:rPr>
        <w:t xml:space="preserve"> </w:t>
      </w:r>
      <w:r w:rsidR="008E4558">
        <w:fldChar w:fldCharType="begin"/>
      </w:r>
      <w:r w:rsidR="008E455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8E4558">
        <w:fldChar w:fldCharType="separate"/>
      </w:r>
      <w:r w:rsidR="008E4558" w:rsidRPr="008E4558">
        <w:t>(2024)</w:t>
      </w:r>
      <w:r w:rsidR="008E4558">
        <w:fldChar w:fldCharType="end"/>
      </w:r>
      <w:r w:rsidR="008E4558">
        <w:rPr>
          <w:rFonts w:hint="eastAsia"/>
        </w:rPr>
        <w:t xml:space="preserve"> </w:t>
      </w:r>
      <w:r w:rsidR="008E4558" w:rsidRPr="008E4558">
        <w:rPr>
          <w:rFonts w:hint="eastAsia"/>
        </w:rPr>
        <w:t>提出</w:t>
      </w:r>
      <w:r w:rsidR="008E4558">
        <w:rPr>
          <w:rFonts w:hint="eastAsia"/>
        </w:rPr>
        <w:t>新型</w:t>
      </w:r>
      <w:r w:rsidR="008E4558" w:rsidRPr="008E4558">
        <w:rPr>
          <w:rFonts w:hint="eastAsia"/>
        </w:rPr>
        <w:t>參數化估計方法</w:t>
      </w:r>
      <w:r w:rsidR="008E4558">
        <w:rPr>
          <w:rFonts w:hint="eastAsia"/>
        </w:rPr>
        <w:t>，使用</w:t>
      </w:r>
      <w:r w:rsidR="008E4558">
        <w:rPr>
          <w:rFonts w:hint="eastAsia"/>
        </w:rPr>
        <w:t>Lognormal-Weibull</w:t>
      </w:r>
      <w:r w:rsidR="008E4558">
        <w:rPr>
          <w:rFonts w:hint="eastAsia"/>
        </w:rPr>
        <w:t>混合模型，</w:t>
      </w:r>
      <w:r w:rsidR="0095418D">
        <w:rPr>
          <w:rFonts w:hint="eastAsia"/>
        </w:rPr>
        <w:t>於衡量</w:t>
      </w:r>
      <w:r w:rsidR="008E4558">
        <w:rPr>
          <w:rFonts w:hint="eastAsia"/>
        </w:rPr>
        <w:t>偏度與</w:t>
      </w:r>
      <w:r w:rsidR="0095418D">
        <w:rPr>
          <w:rFonts w:hint="eastAsia"/>
        </w:rPr>
        <w:t>分析具有</w:t>
      </w:r>
      <w:r w:rsidR="008E4558">
        <w:rPr>
          <w:rFonts w:hint="eastAsia"/>
        </w:rPr>
        <w:t>多</w:t>
      </w:r>
      <w:r w:rsidR="0095418D">
        <w:rPr>
          <w:rFonts w:hint="eastAsia"/>
        </w:rPr>
        <w:t>峰值</w:t>
      </w:r>
      <w:r w:rsidR="008E4558">
        <w:rPr>
          <w:rFonts w:hint="eastAsia"/>
        </w:rPr>
        <w:t>的</w:t>
      </w:r>
      <w:r w:rsidR="008E4558">
        <w:rPr>
          <w:rFonts w:hint="eastAsia"/>
        </w:rPr>
        <w:t>RND</w:t>
      </w:r>
      <w:r w:rsidR="0095418D">
        <w:rPr>
          <w:rFonts w:hint="eastAsia"/>
        </w:rPr>
        <w:t>時，具有更精準的預測表現，</w:t>
      </w:r>
      <w:r w:rsidR="00865434" w:rsidRPr="006D6B65">
        <w:t>為</w:t>
      </w:r>
      <w:r w:rsidR="00865434" w:rsidRPr="006D6B65">
        <w:t>RND</w:t>
      </w:r>
      <w:r w:rsidR="00865434" w:rsidRPr="006D6B65">
        <w:t>估計提供了新的研究方向，顯示出風險中立密度估計方法論不斷精進的趨勢。</w:t>
      </w:r>
    </w:p>
    <w:p w14:paraId="31138D9C" w14:textId="127C87FB" w:rsidR="002B172E" w:rsidRPr="002B172E" w:rsidRDefault="00865434" w:rsidP="008D3D68">
      <w:pPr>
        <w:spacing w:before="180" w:after="180"/>
        <w:ind w:firstLine="480"/>
      </w:pPr>
      <w:r>
        <w:rPr>
          <w:rFonts w:hint="eastAsia"/>
        </w:rPr>
        <w:t>本研究選擇使用參數法估計</w:t>
      </w:r>
      <w:r>
        <w:rPr>
          <w:rFonts w:hint="eastAsia"/>
        </w:rPr>
        <w:t>RND</w:t>
      </w:r>
      <w:r>
        <w:rPr>
          <w:rFonts w:hint="eastAsia"/>
        </w:rPr>
        <w:t>尾部，以建構</w:t>
      </w:r>
      <w:r w:rsidR="00DE0C3B">
        <w:rPr>
          <w:rFonts w:hint="eastAsia"/>
        </w:rPr>
        <w:t>完整</w:t>
      </w:r>
      <w:r>
        <w:rPr>
          <w:rFonts w:hint="eastAsia"/>
        </w:rPr>
        <w:t>RND</w:t>
      </w:r>
      <w:r>
        <w:rPr>
          <w:rFonts w:hint="eastAsia"/>
        </w:rPr>
        <w:t>曲線，</w:t>
      </w:r>
      <w:commentRangeStart w:id="28"/>
      <w:r w:rsidR="002B172E" w:rsidRPr="002B172E">
        <w:t>現有文獻</w:t>
      </w:r>
      <w:r w:rsidR="00D477A3">
        <w:rPr>
          <w:rFonts w:hint="eastAsia"/>
        </w:rPr>
        <w:t xml:space="preserve"> </w:t>
      </w:r>
      <w:r w:rsidR="00D477A3">
        <w:fldChar w:fldCharType="begin"/>
      </w:r>
      <w:r w:rsidR="00D477A3">
        <w:instrText xml:space="preserve"> ADDIN ZOTERO_ITEM CSL_CITATION {"citationID":"72XKoi1c","properties":{"formattedCitation":"(Birru &amp; Figlewski, 2012; Figlewski, 2008)","plainCitation":"(Birru &amp; Figlewski, 2012; Figlewski, 2008)","noteIndex":0},"citationItems":[{"id":13,"uris":["http://zotero.org/users/16294904/items/U3I3QZ5W"],"itemData":{"id":13,"type":"article-journal","abstract":"We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D477A3">
        <w:fldChar w:fldCharType="separate"/>
      </w:r>
      <w:r w:rsidR="00D477A3" w:rsidRPr="007E1CB6">
        <w:t>(Birru &amp; Figlewski, 2012; Figlewski, 2008)</w:t>
      </w:r>
      <w:r w:rsidR="00D477A3">
        <w:fldChar w:fldCharType="end"/>
      </w:r>
      <w:r w:rsidR="00D477A3">
        <w:rPr>
          <w:rFonts w:hint="eastAsia"/>
        </w:rPr>
        <w:t xml:space="preserve"> </w:t>
      </w:r>
      <w:r w:rsidR="002B172E" w:rsidRPr="002B172E">
        <w:t>在處理</w:t>
      </w:r>
      <w:commentRangeEnd w:id="28"/>
      <w:r w:rsidR="006F498D">
        <w:rPr>
          <w:rStyle w:val="afe"/>
        </w:rPr>
        <w:commentReference w:id="28"/>
      </w:r>
      <w:r w:rsidR="002B172E" w:rsidRPr="002B172E">
        <w:t>RND</w:t>
      </w:r>
      <w:r w:rsidR="002B172E" w:rsidRPr="002B172E">
        <w:t>尾部配適問題時，採用雙點配適法結合廣義極值分配（</w:t>
      </w:r>
      <w:r w:rsidR="002B172E" w:rsidRPr="002B172E">
        <w:t>GEV</w:t>
      </w:r>
      <w:r w:rsidR="002B172E" w:rsidRPr="002B172E">
        <w:t>）或廣義柏拉圖分配（</w:t>
      </w:r>
      <w:r w:rsidR="002B172E" w:rsidRPr="002B172E">
        <w:t>GPD</w:t>
      </w:r>
      <w:r w:rsidR="002B172E" w:rsidRPr="002B172E">
        <w:t>）進行估計。然而，我們注意到這種方法存在顯著局限性，尤其在應用於高波動性的加密貨幣市場時：首先，雙點配適法要求同時滿足兩個接合點的連續性條件，不僅增加了計算複雜度，也可能影響估計結果的穩定性，造成擬合時出現曲折（</w:t>
      </w:r>
      <w:r w:rsidR="002B172E" w:rsidRPr="002B172E">
        <w:t>kinks</w:t>
      </w:r>
      <w:r w:rsidR="002B172E" w:rsidRPr="002B172E">
        <w:t>）現象；其次，在加密貨幣市場中，</w:t>
      </w:r>
      <w:r w:rsidR="008D3D68" w:rsidRPr="00D477A3">
        <w:t>RND</w:t>
      </w:r>
      <w:r w:rsidR="008D3D68" w:rsidRPr="00D477A3">
        <w:t>的應用仍處於初步階段，</w:t>
      </w:r>
      <w:r w:rsidR="008D3D68" w:rsidRPr="00D477A3">
        <w:rPr>
          <w:rFonts w:hint="eastAsia"/>
        </w:rPr>
        <w:t>其價格波動劇烈之特性、</w:t>
      </w:r>
      <w:r w:rsidR="008D3D68" w:rsidRPr="00D477A3">
        <w:t>投資者</w:t>
      </w:r>
      <w:r w:rsidR="008D3D68" w:rsidRPr="00D477A3">
        <w:rPr>
          <w:rFonts w:hint="eastAsia"/>
        </w:rPr>
        <w:t>之</w:t>
      </w:r>
      <w:r w:rsidR="008D3D68" w:rsidRPr="00D477A3">
        <w:t>組成</w:t>
      </w:r>
      <w:r w:rsidR="008D3D68" w:rsidRPr="00D477A3">
        <w:rPr>
          <w:rFonts w:hint="eastAsia"/>
        </w:rPr>
        <w:t>及</w:t>
      </w:r>
      <w:r w:rsidR="008D3D68" w:rsidRPr="00D477A3">
        <w:t>行為模式使傳統</w:t>
      </w:r>
      <w:r w:rsidR="008D3D68" w:rsidRPr="00D477A3">
        <w:t>RND</w:t>
      </w:r>
      <w:r w:rsidR="008D3D68" w:rsidRPr="00D477A3">
        <w:t>估計方法</w:t>
      </w:r>
      <w:r w:rsidR="008D3D68" w:rsidRPr="00D477A3">
        <w:rPr>
          <w:rFonts w:hint="eastAsia"/>
        </w:rPr>
        <w:t>面臨</w:t>
      </w:r>
      <w:r w:rsidR="008D3D68" w:rsidRPr="00D477A3">
        <w:t>挑戰</w:t>
      </w:r>
      <w:r w:rsidR="008D3D68" w:rsidRPr="00D477A3">
        <w:rPr>
          <w:rFonts w:hint="eastAsia"/>
        </w:rPr>
        <w:t xml:space="preserve"> </w:t>
      </w:r>
      <w:r w:rsidR="008D3D68" w:rsidRPr="00D477A3">
        <w:fldChar w:fldCharType="begin"/>
      </w:r>
      <w:r w:rsidR="008D3D68" w:rsidRPr="00D477A3">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8D3D68" w:rsidRPr="00D477A3">
        <w:fldChar w:fldCharType="separate"/>
      </w:r>
      <w:r w:rsidR="008D3D68" w:rsidRPr="00D477A3">
        <w:rPr>
          <w:kern w:val="0"/>
        </w:rPr>
        <w:t>(López-Cabarcos et al., 2021)</w:t>
      </w:r>
      <w:r w:rsidR="008D3D68" w:rsidRPr="00D477A3">
        <w:fldChar w:fldCharType="end"/>
      </w:r>
      <w:r w:rsidR="002B172E" w:rsidRPr="002B172E">
        <w:t>；再者，現有研究較少探討</w:t>
      </w:r>
      <w:r w:rsidR="002B172E" w:rsidRPr="002B172E">
        <w:t>RND</w:t>
      </w:r>
      <w:r w:rsidR="002B172E" w:rsidRPr="002B172E">
        <w:t>特徵在不同預測期間的表現差異。</w:t>
      </w:r>
    </w:p>
    <w:p w14:paraId="095ACEA2" w14:textId="7039F293" w:rsidR="00D7448A" w:rsidRDefault="00D7448A" w:rsidP="0076512C">
      <w:pPr>
        <w:spacing w:before="180" w:after="180"/>
        <w:ind w:firstLine="480"/>
      </w:pPr>
      <w:r w:rsidRPr="00D7448A">
        <w:rPr>
          <w:rFonts w:hint="eastAsia"/>
        </w:rPr>
        <w:t>基於上述研究缺口，本研究提出創新的單點加斜率配適法，要求在單一接合點同時滿足累積分布函數值與密度函數斜率的連續性條件</w:t>
      </w:r>
      <w:r w:rsidR="00744DF9">
        <w:rPr>
          <w:rFonts w:hint="eastAsia"/>
        </w:rPr>
        <w:t>，使用</w:t>
      </w:r>
      <w:r w:rsidR="00744DF9">
        <w:rPr>
          <w:rFonts w:hint="eastAsia"/>
        </w:rPr>
        <w:t xml:space="preserve">GPD </w:t>
      </w:r>
      <w:r w:rsidR="00744DF9">
        <w:fldChar w:fldCharType="begin"/>
      </w:r>
      <w:r w:rsidR="0076512C">
        <w:instrText xml:space="preserve"> ADDIN ZOTERO_ITEM CSL_CITATION {"citationID":"Qwifghv9","properties":{"formattedCitation":"(Birru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00744DF9">
        <w:fldChar w:fldCharType="separate"/>
      </w:r>
      <w:r w:rsidR="0076512C" w:rsidRPr="0076512C">
        <w:t>(Birru &amp; Figlewski, 2012; Y. He et al., 2022)</w:t>
      </w:r>
      <w:r w:rsidR="00744DF9">
        <w:fldChar w:fldCharType="end"/>
      </w:r>
      <w:r w:rsidR="00744DF9">
        <w:rPr>
          <w:rFonts w:hint="eastAsia"/>
        </w:rPr>
        <w:t xml:space="preserve"> </w:t>
      </w:r>
      <w:r w:rsidR="00744DF9">
        <w:rPr>
          <w:rFonts w:hint="eastAsia"/>
        </w:rPr>
        <w:t>進行擬合</w:t>
      </w:r>
      <w:r w:rsidRPr="00D7448A">
        <w:rPr>
          <w:rFonts w:hint="eastAsia"/>
        </w:rPr>
        <w:t>。與雙點配適法相比，我們的方法具有以下優勢：首先，減少了配適條件的限制，提高了方法在極端市場情況下的適用性；其次，簡化了計算過程，提升了估計效率；再者，通過保留密度函數斜率的連續性，確保了配適結果的平滑性，避免了在接合點處出現不自然的曲折。</w:t>
      </w:r>
    </w:p>
    <w:p w14:paraId="1BD83858" w14:textId="25183BE3" w:rsidR="00C3674E" w:rsidRPr="00C3674E" w:rsidRDefault="00C3674E" w:rsidP="00C3674E">
      <w:pPr>
        <w:spacing w:before="180" w:after="180"/>
        <w:ind w:firstLine="480"/>
      </w:pPr>
      <w:r w:rsidRPr="00C3674E">
        <w:t>為驗證所提出方法</w:t>
      </w:r>
      <w:r>
        <w:rPr>
          <w:rFonts w:hint="eastAsia"/>
        </w:rPr>
        <w:t>之</w:t>
      </w:r>
      <w:r w:rsidRPr="00C3674E">
        <w:t>有效性，本研究使用</w:t>
      </w:r>
      <w:r w:rsidRPr="00C3674E">
        <w:t>Deribit</w:t>
      </w:r>
      <w:r w:rsidRPr="00C3674E">
        <w:t>平台</w:t>
      </w:r>
      <w:commentRangeStart w:id="29"/>
      <w:r w:rsidRPr="00C3674E">
        <w:t>202</w:t>
      </w:r>
      <w:commentRangeEnd w:id="29"/>
      <w:r w:rsidR="009A0544">
        <w:rPr>
          <w:rFonts w:hint="eastAsia"/>
        </w:rPr>
        <w:t>0</w:t>
      </w:r>
      <w:r w:rsidR="006F498D">
        <w:rPr>
          <w:rStyle w:val="afe"/>
        </w:rPr>
        <w:commentReference w:id="29"/>
      </w:r>
      <w:r w:rsidRPr="00C3674E">
        <w:t>年</w:t>
      </w:r>
      <w:r w:rsidR="009A0544">
        <w:rPr>
          <w:rFonts w:hint="eastAsia"/>
        </w:rPr>
        <w:t>1</w:t>
      </w:r>
      <w:r w:rsidR="009A0544">
        <w:rPr>
          <w:rFonts w:hint="eastAsia"/>
        </w:rPr>
        <w:t>月</w:t>
      </w:r>
      <w:r w:rsidRPr="00C3674E">
        <w:t>至</w:t>
      </w:r>
      <w:r w:rsidRPr="00C3674E">
        <w:t>2024</w:t>
      </w:r>
      <w:r w:rsidRPr="00C3674E">
        <w:t>年</w:t>
      </w:r>
      <w:r w:rsidR="009A0544">
        <w:rPr>
          <w:rFonts w:hint="eastAsia"/>
        </w:rPr>
        <w:t>4</w:t>
      </w:r>
      <w:r w:rsidR="009A0544">
        <w:rPr>
          <w:rFonts w:hint="eastAsia"/>
        </w:rPr>
        <w:t>月</w:t>
      </w:r>
      <w:r w:rsidRPr="00C3674E">
        <w:t>的比特幣選擇權交易數據，分別檢視距到期日一天與七天之選擇權樣本。實證分析主要聚焦於</w:t>
      </w:r>
      <w:r w:rsidRPr="00C3674E">
        <w:t>RND</w:t>
      </w:r>
      <w:r w:rsidRPr="00C3674E">
        <w:t>統計特徵（如偏態、超額峰態等）對比特幣報酬率的預測能</w:t>
      </w:r>
      <w:r w:rsidRPr="00C3674E">
        <w:lastRenderedPageBreak/>
        <w:t>力，並將單點加斜率配適法與傳統雙點配適法的結果進行比較。</w:t>
      </w:r>
    </w:p>
    <w:p w14:paraId="50F63872" w14:textId="14C22B32" w:rsidR="00C3674E" w:rsidRPr="00C3674E" w:rsidRDefault="00C3674E" w:rsidP="00C3674E">
      <w:pPr>
        <w:spacing w:before="180" w:after="180"/>
        <w:ind w:firstLine="480"/>
      </w:pPr>
      <w:r w:rsidRPr="00C3674E">
        <w:t>在日報酬率預測方面，我們發現單點加斜率配適法建構的模型以偏態（</w:t>
      </w:r>
      <w:r w:rsidRPr="00C3674E">
        <w:t>Skewness</w:t>
      </w:r>
      <w:r w:rsidRPr="00C3674E">
        <w:t>）、中位數（</w:t>
      </w:r>
      <w:r w:rsidRPr="00C3674E">
        <w:t>Median</w:t>
      </w:r>
      <w:r w:rsidRPr="00C3674E">
        <w:t>）及前期報酬率為顯著預測變數，解釋能力（</w:t>
      </w:r>
      <w:r w:rsidRPr="00C3674E">
        <w:t>R-squared = 0.0130</w:t>
      </w:r>
      <w:r w:rsidRPr="00C3674E">
        <w:t>）優於雙點配適法（</w:t>
      </w:r>
      <w:r w:rsidRPr="00C3674E">
        <w:t>R-squared = 0.0098</w:t>
      </w:r>
      <w:r w:rsidRPr="00C3674E">
        <w:t>）。其中，偏態係數與報酬</w:t>
      </w:r>
      <w:r>
        <w:rPr>
          <w:rFonts w:hint="eastAsia"/>
        </w:rPr>
        <w:t>率</w:t>
      </w:r>
      <w:r w:rsidRPr="00C3674E">
        <w:t>呈現負相關關係，此結果與</w:t>
      </w:r>
      <w:r w:rsidRPr="00C3674E">
        <w:t>Conrad</w:t>
      </w:r>
      <w:r w:rsidRPr="00C3674E">
        <w:t>等人</w:t>
      </w:r>
      <w:r>
        <w:rPr>
          <w:rFonts w:hint="eastAsia"/>
        </w:rPr>
        <w:t xml:space="preserve"> </w:t>
      </w:r>
      <w:r>
        <w:fldChar w:fldCharType="begin"/>
      </w:r>
      <w:r>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C3674E">
        <w:t>(2013)</w:t>
      </w:r>
      <w:r>
        <w:fldChar w:fldCharType="end"/>
      </w:r>
      <w:r>
        <w:rPr>
          <w:rFonts w:hint="eastAsia"/>
        </w:rPr>
        <w:t xml:space="preserve"> </w:t>
      </w:r>
      <w:r w:rsidRPr="00C3674E">
        <w:t>在股票市場的發現一致，表明市場對負向風險的定價高於正向風險。前期報酬率的顯著預測力則支持了</w:t>
      </w:r>
      <w:r w:rsidRPr="00C3674E">
        <w:t>Liu</w:t>
      </w:r>
      <w:r w:rsidRPr="00C3674E">
        <w:t>與</w:t>
      </w:r>
      <w:r w:rsidRPr="00C3674E">
        <w:t>Tsyvinski</w:t>
      </w:r>
      <w:r>
        <w:rPr>
          <w:rFonts w:hint="eastAsia"/>
        </w:rPr>
        <w:t xml:space="preserve"> </w:t>
      </w:r>
      <w:r>
        <w:fldChar w:fldCharType="begin"/>
      </w:r>
      <w:r>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C3674E">
        <w:t>(2021)</w:t>
      </w:r>
      <w:r>
        <w:fldChar w:fldCharType="end"/>
      </w:r>
      <w:r>
        <w:rPr>
          <w:rFonts w:hint="eastAsia"/>
        </w:rPr>
        <w:t xml:space="preserve"> </w:t>
      </w:r>
      <w:r w:rsidRPr="00C3674E">
        <w:t>關於加密貨幣市場存在動量效應的論點。</w:t>
      </w:r>
    </w:p>
    <w:p w14:paraId="10E05B43" w14:textId="1D9022C9" w:rsidR="00C3674E" w:rsidRPr="00C3674E" w:rsidRDefault="00C3674E" w:rsidP="00C3674E">
      <w:pPr>
        <w:spacing w:before="180" w:after="180"/>
        <w:ind w:firstLine="480"/>
      </w:pPr>
      <w:r w:rsidRPr="00C3674E">
        <w:t>在週報酬率預測方面，兩種方法的表現趨於一致，最佳預測變數組合為超額峰態（</w:t>
      </w:r>
      <w:r w:rsidRPr="00C3674E">
        <w:t>Excess Kurtosis</w:t>
      </w:r>
      <w:r w:rsidRPr="00C3674E">
        <w:t>）、中位數（</w:t>
      </w:r>
      <w:r w:rsidRPr="00C3674E">
        <w:t>Median</w:t>
      </w:r>
      <w:r w:rsidRPr="00C3674E">
        <w:t>）及加密貨幣恐懼與貪婪指數（</w:t>
      </w:r>
      <w:r w:rsidRPr="00C3674E">
        <w:t>Fear and Greed Index</w:t>
      </w:r>
      <w:r w:rsidRPr="00C3674E">
        <w:t>）。超額峰態與報酬</w:t>
      </w:r>
      <w:r>
        <w:rPr>
          <w:rFonts w:hint="eastAsia"/>
        </w:rPr>
        <w:t>率</w:t>
      </w:r>
      <w:r w:rsidRPr="00C3674E">
        <w:t>呈現正相關關係，此結果與</w:t>
      </w:r>
      <w:r w:rsidRPr="00C3674E">
        <w:t>Amaya</w:t>
      </w:r>
      <w:r w:rsidRPr="00C3674E">
        <w:t>等人</w:t>
      </w:r>
      <w:r>
        <w:rPr>
          <w:rFonts w:hint="eastAsia"/>
        </w:rPr>
        <w:t xml:space="preserve"> </w:t>
      </w:r>
      <w:r>
        <w:fldChar w:fldCharType="begin"/>
      </w:r>
      <w:r>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3674E">
        <w:t>(2015)</w:t>
      </w:r>
      <w:r>
        <w:fldChar w:fldCharType="end"/>
      </w:r>
      <w:r>
        <w:rPr>
          <w:rFonts w:hint="eastAsia"/>
        </w:rPr>
        <w:t xml:space="preserve"> </w:t>
      </w:r>
      <w:r w:rsidRPr="00C3674E">
        <w:t>的研究發現相符，表明市場對極端風險的定價會反映在未來報酬中。加密貨幣恐懼與貪婪指數的顯著影響則與</w:t>
      </w:r>
      <w:r w:rsidRPr="00C3674E">
        <w:t>He</w:t>
      </w:r>
      <w:r w:rsidRPr="00C3674E">
        <w:t>等人</w:t>
      </w:r>
      <w:r>
        <w:rPr>
          <w:rFonts w:hint="eastAsia"/>
        </w:rPr>
        <w:t xml:space="preserve"> </w:t>
      </w:r>
      <w:r>
        <w:fldChar w:fldCharType="begin"/>
      </w:r>
      <w:r>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C3674E">
        <w:t>(2023)</w:t>
      </w:r>
      <w:r>
        <w:fldChar w:fldCharType="end"/>
      </w:r>
      <w:r>
        <w:rPr>
          <w:rFonts w:hint="eastAsia"/>
        </w:rPr>
        <w:t xml:space="preserve"> </w:t>
      </w:r>
      <w:r w:rsidRPr="00C3674E">
        <w:t>的研究一致，證實了市場情緒在加密貨幣價格形成過程中的重要作用。</w:t>
      </w:r>
    </w:p>
    <w:p w14:paraId="065B4A27" w14:textId="342563D6" w:rsidR="00C3674E" w:rsidRPr="00C3674E" w:rsidRDefault="00C3674E" w:rsidP="00C3674E">
      <w:pPr>
        <w:spacing w:before="180" w:after="180"/>
        <w:ind w:firstLine="480"/>
      </w:pPr>
      <w:r w:rsidRPr="00C3674E">
        <w:t>為檢驗預測模型的穩健性，我們進行了樣本外（</w:t>
      </w:r>
      <w:r w:rsidRPr="00C3674E">
        <w:t>Out-of-sample</w:t>
      </w:r>
      <w:r w:rsidRPr="00C3674E">
        <w:t>）預測測試，採用滾動窗口法（</w:t>
      </w:r>
      <w:r w:rsidRPr="00C3674E">
        <w:t>Rolling Window</w:t>
      </w:r>
      <w:r w:rsidRPr="00C3674E">
        <w:t>）進行參數估計與預測，此方法在財務預測研究中被廣泛採用</w:t>
      </w:r>
      <w:r>
        <w:rPr>
          <w:rFonts w:hint="eastAsia"/>
        </w:rPr>
        <w:t xml:space="preserve"> </w:t>
      </w:r>
      <w:r>
        <w:fldChar w:fldCharType="begin"/>
      </w:r>
      <w:r>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fldChar w:fldCharType="separate"/>
      </w:r>
      <w:r w:rsidRPr="00C3674E">
        <w:t>(Campbell &amp; Thompson, 2008; Welch &amp; Goyal, 2008)</w:t>
      </w:r>
      <w:r>
        <w:fldChar w:fldCharType="end"/>
      </w:r>
      <w:r w:rsidRPr="00C3674E">
        <w:t>。結果顯示，無論在日報酬率或週報酬率預測中，兩種方法均產生正值的樣本外</w:t>
      </w:r>
      <w:r w:rsidRPr="00C3674E">
        <w:t>R</w:t>
      </w:r>
      <w:r w:rsidRPr="00C3674E">
        <w:t>平方，且單點加斜率配適法表現優於雙點配適法。根據</w:t>
      </w:r>
      <w:r w:rsidRPr="00C3674E">
        <w:t>Campbell</w:t>
      </w:r>
      <w:r w:rsidRPr="00C3674E">
        <w:t>與</w:t>
      </w:r>
      <w:r w:rsidRPr="00C3674E">
        <w:t>Thompson</w:t>
      </w:r>
      <w:r>
        <w:rPr>
          <w:rFonts w:hint="eastAsia"/>
        </w:rPr>
        <w:t xml:space="preserve"> </w:t>
      </w:r>
      <w:r>
        <w:fldChar w:fldCharType="begin"/>
      </w:r>
      <w:r>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C3674E">
        <w:t>(2008)</w:t>
      </w:r>
      <w:r>
        <w:fldChar w:fldCharType="end"/>
      </w:r>
      <w:r>
        <w:rPr>
          <w:rFonts w:hint="eastAsia"/>
        </w:rPr>
        <w:t xml:space="preserve"> </w:t>
      </w:r>
      <w:r w:rsidRPr="00C3674E">
        <w:t>的研究，正值的樣本外</w:t>
      </w:r>
      <w:r w:rsidRPr="00C3674E">
        <w:t>R</w:t>
      </w:r>
      <w:r w:rsidRPr="00C3674E">
        <w:t>平方表明預測模型具有實質的經濟價值，能夠為投資決策提供有用的參考資訊。</w:t>
      </w:r>
    </w:p>
    <w:p w14:paraId="209F42E1" w14:textId="7AC597BB" w:rsidR="002B172E" w:rsidRPr="002B172E" w:rsidRDefault="002B172E" w:rsidP="00D7448A">
      <w:pPr>
        <w:spacing w:before="180" w:after="180"/>
        <w:ind w:firstLine="480"/>
      </w:pPr>
      <w:r w:rsidRPr="002B172E">
        <w:t>本研究的方法論創新不僅僅是為了提升運算效率。更重要的是，我們的單點加斜率配適法能更準確捕捉比特幣選擇權市場隱含的極端風險特徵，為投資者提供更可靠的風險評估工具。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w:t>
      </w:r>
      <w:r w:rsidRPr="002B172E">
        <w:lastRenderedPageBreak/>
        <w:t>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r w:rsidRPr="002B172E">
        <w:t>此外，加密貨幣市場有著獨特的投資者組成與行為模式。研究表明，相較於傳統金融市場，加密貨幣投資者更容易受到情緒和非理性因素影響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特徵預測模型，可能揭示傳統金融理論難以解釋的市場動態。</w:t>
      </w:r>
    </w:p>
    <w:p w14:paraId="4F228EEF" w14:textId="77777777" w:rsidR="002B172E" w:rsidRPr="002B172E" w:rsidRDefault="002B172E" w:rsidP="002B172E">
      <w:pPr>
        <w:spacing w:before="180" w:after="180"/>
        <w:ind w:firstLine="480"/>
      </w:pPr>
      <w:r w:rsidRPr="002B172E">
        <w:t>本研究的主要貢獻可分為三個層面：</w:t>
      </w:r>
    </w:p>
    <w:p w14:paraId="5238D777" w14:textId="5324793D" w:rsidR="002B172E" w:rsidRDefault="002B172E" w:rsidP="002B172E">
      <w:pPr>
        <w:pStyle w:val="a5"/>
        <w:numPr>
          <w:ilvl w:val="0"/>
          <w:numId w:val="41"/>
        </w:numPr>
        <w:spacing w:before="180" w:after="180"/>
        <w:ind w:leftChars="0" w:firstLineChars="0"/>
      </w:pPr>
      <w:r w:rsidRPr="002B172E">
        <w:t>方法論突破：我們提出的單點加斜率配適法，</w:t>
      </w:r>
      <w:r w:rsidR="006D457C">
        <w:rPr>
          <w:rFonts w:hint="eastAsia"/>
        </w:rPr>
        <w:t>相較於</w:t>
      </w:r>
      <w:r w:rsidRPr="002B172E">
        <w:t>傳統雙點配適法</w:t>
      </w:r>
      <w:r w:rsidR="006D457C">
        <w:rPr>
          <w:rFonts w:hint="eastAsia"/>
        </w:rPr>
        <w:t>減少了接合參照點的計算，且藉由一階微分的連續性條件確保了尾部配適之平滑性，</w:t>
      </w:r>
      <w:r w:rsidRPr="002B172E">
        <w:t>在保持理論一致性的同時，顯著提升了尾部配適的穩定性與效率。實證結果顯示，此方法不僅運算速度較傳統方法平均提升</w:t>
      </w:r>
      <w:r w:rsidRPr="002B172E">
        <w:t>10.95%</w:t>
      </w:r>
      <w:r w:rsidRPr="002B172E">
        <w:t>，</w:t>
      </w:r>
      <w:r w:rsidR="006D457C">
        <w:rPr>
          <w:rFonts w:hint="eastAsia"/>
        </w:rPr>
        <w:t>更</w:t>
      </w:r>
      <w:commentRangeStart w:id="30"/>
      <w:r w:rsidRPr="002B172E">
        <w:t>減少</w:t>
      </w:r>
      <w:r w:rsidR="006D457C">
        <w:rPr>
          <w:rFonts w:hint="eastAsia"/>
        </w:rPr>
        <w:t>尾部</w:t>
      </w:r>
      <w:r w:rsidRPr="002B172E">
        <w:t>配適</w:t>
      </w:r>
      <w:r w:rsidR="006D457C">
        <w:rPr>
          <w:rFonts w:hint="eastAsia"/>
        </w:rPr>
        <w:t>時產生曲折</w:t>
      </w:r>
      <w:r w:rsidRPr="002B172E">
        <w:t>的</w:t>
      </w:r>
      <w:commentRangeEnd w:id="30"/>
      <w:r w:rsidR="006D457C">
        <w:rPr>
          <w:rFonts w:hint="eastAsia"/>
        </w:rPr>
        <w:t>機率</w:t>
      </w:r>
      <w:r w:rsidR="006F498D">
        <w:rPr>
          <w:rStyle w:val="afe"/>
        </w:rPr>
        <w:commentReference w:id="30"/>
      </w:r>
      <w:r w:rsidRPr="002B172E">
        <w:t>。</w:t>
      </w:r>
    </w:p>
    <w:p w14:paraId="7B0AC5D8" w14:textId="1E6E986F" w:rsidR="002B172E" w:rsidRDefault="002B172E" w:rsidP="007445AF">
      <w:pPr>
        <w:pStyle w:val="a5"/>
        <w:numPr>
          <w:ilvl w:val="0"/>
          <w:numId w:val="41"/>
        </w:numPr>
        <w:spacing w:before="180" w:after="180"/>
        <w:ind w:leftChars="0" w:firstLineChars="0"/>
      </w:pPr>
      <w:r w:rsidRPr="002B172E">
        <w:t>多</w:t>
      </w:r>
      <w:r>
        <w:rPr>
          <w:rFonts w:hint="eastAsia"/>
        </w:rPr>
        <w:t>種</w:t>
      </w:r>
      <w:r w:rsidRPr="002B172E">
        <w:t>時間尺度預測框架：通過比較日報酬率與週報酬率預測模型，本研究揭示了</w:t>
      </w:r>
      <w:r w:rsidRPr="002B172E">
        <w:t>RND</w:t>
      </w:r>
      <w:r w:rsidRPr="002B172E">
        <w:t>特徵在不同時間尺度下的差異性預測能力。我們發現在日報酬率預測中，偏態（</w:t>
      </w:r>
      <w:r w:rsidRPr="002B172E">
        <w:t>Skewness</w:t>
      </w:r>
      <w:r w:rsidRPr="002B172E">
        <w:t>）</w:t>
      </w:r>
      <w:r w:rsidR="007445AF">
        <w:fldChar w:fldCharType="begin"/>
      </w:r>
      <w:r w:rsidR="007445A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fldChar w:fldCharType="separate"/>
      </w:r>
      <w:r w:rsidR="007445AF" w:rsidRPr="007445AF">
        <w:t>(Conrad et al., 2013)</w:t>
      </w:r>
      <w:r w:rsidR="007445AF">
        <w:fldChar w:fldCharType="end"/>
      </w:r>
      <w:r w:rsidRPr="002B172E">
        <w:t>、中位數（</w:t>
      </w:r>
      <w:r w:rsidRPr="002B172E">
        <w:t>Median</w:t>
      </w:r>
      <w:r w:rsidRPr="002B172E">
        <w:t>）及前期報酬率</w:t>
      </w:r>
      <w:r w:rsidR="007445AF">
        <w:rPr>
          <w:rFonts w:hint="eastAsia"/>
        </w:rPr>
        <w:t xml:space="preserve"> </w:t>
      </w:r>
      <w:r w:rsidR="007445AF">
        <w:fldChar w:fldCharType="begin"/>
      </w:r>
      <w:r w:rsidR="007445A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fldChar w:fldCharType="separate"/>
      </w:r>
      <w:r w:rsidR="007445AF" w:rsidRPr="007445AF">
        <w:t>(Liu &amp; Tsyvinski, 2021)</w:t>
      </w:r>
      <w:r w:rsidR="007445AF">
        <w:fldChar w:fldCharType="end"/>
      </w:r>
      <w:r w:rsidR="007445AF">
        <w:rPr>
          <w:rFonts w:hint="eastAsia"/>
        </w:rPr>
        <w:t xml:space="preserve"> </w:t>
      </w:r>
      <w:r w:rsidRPr="002B172E">
        <w:t>具有顯著預測力；而在週報酬率預測中，超額峰態（</w:t>
      </w:r>
      <w:r w:rsidRPr="002B172E">
        <w:t>Excess Kurtosis</w:t>
      </w:r>
      <w:r w:rsidRPr="002B172E">
        <w:t>）</w:t>
      </w:r>
      <w:r w:rsidR="007445AF">
        <w:fldChar w:fldCharType="begin"/>
      </w:r>
      <w:r w:rsidR="007445A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Pr>
          <w:rtl/>
          <w:lang w:bidi="he-IL"/>
        </w:rPr>
        <w:instrText>׳</w:instrText>
      </w:r>
      <w:r w:rsidR="007445AF">
        <w:instrText>s stock returns is positive but not always significant. We do not find a strong relation between realized volatility and next week</w:instrText>
      </w:r>
      <w:r w:rsidR="007445AF">
        <w:rPr>
          <w:rtl/>
          <w:lang w:bidi="he-IL"/>
        </w:rPr>
        <w:instrText>׳</w:instrText>
      </w:r>
      <w:r w:rsidR="007445A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fldChar w:fldCharType="separate"/>
      </w:r>
      <w:r w:rsidR="007445AF" w:rsidRPr="007445AF">
        <w:t>(Amaya et al., 2015)</w:t>
      </w:r>
      <w:r w:rsidR="007445AF">
        <w:fldChar w:fldCharType="end"/>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007445AF">
        <w:fldChar w:fldCharType="begin"/>
      </w:r>
      <w:r w:rsidR="007445A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fldChar w:fldCharType="separate"/>
      </w:r>
      <w:r w:rsidR="007445AF" w:rsidRPr="007445AF">
        <w:t>(M. He et al., 2023)</w:t>
      </w:r>
      <w:r w:rsidR="007445AF">
        <w:fldChar w:fldCharType="end"/>
      </w:r>
      <w:r w:rsidR="007445AF">
        <w:rPr>
          <w:rFonts w:hint="eastAsia"/>
        </w:rPr>
        <w:t xml:space="preserve"> </w:t>
      </w:r>
      <w:r w:rsidRPr="002B172E">
        <w:t>則成為關鍵預測因子。</w:t>
      </w:r>
      <w:r w:rsidR="007445AF">
        <w:rPr>
          <w:rFonts w:hint="eastAsia"/>
        </w:rPr>
        <w:t>本研究之</w:t>
      </w:r>
      <w:r w:rsidRPr="002B172E">
        <w:t>發現填補了現有文獻</w:t>
      </w:r>
      <w:r w:rsidR="007445AF">
        <w:rPr>
          <w:rFonts w:hint="eastAsia"/>
        </w:rPr>
        <w:t>對於加密貨幣領域不同時間尺度之報酬率預測</w:t>
      </w:r>
      <w:r w:rsidRPr="002B172E">
        <w:t>的研究缺口。</w:t>
      </w:r>
    </w:p>
    <w:p w14:paraId="70259F1A" w14:textId="2492AE77" w:rsidR="0073610D" w:rsidRDefault="002B172E" w:rsidP="007E1CB6">
      <w:pPr>
        <w:pStyle w:val="a5"/>
        <w:numPr>
          <w:ilvl w:val="0"/>
          <w:numId w:val="41"/>
        </w:numPr>
        <w:spacing w:before="180" w:after="180"/>
        <w:ind w:leftChars="0" w:firstLineChars="0"/>
      </w:pPr>
      <w:r w:rsidRPr="002B172E">
        <w:t>市場微觀結構洞見：通過深入分析比特幣選擇權市場</w:t>
      </w:r>
      <w:r w:rsidRPr="002B172E">
        <w:t>RND</w:t>
      </w:r>
      <w:r w:rsidRPr="002B172E">
        <w:t>特徵與市場報酬的關聯性，本研究為理解加密貨幣市場的微觀結構與價格發現機制提供了新視角。特別是，我們發現加密貨幣市場的風險偏好與傳統金融市場存在顯著差異，對偏態風險的定價模式也有所不同</w:t>
      </w:r>
      <w:r w:rsidR="007E1CB6">
        <w:rPr>
          <w:rFonts w:hint="eastAsia"/>
        </w:rPr>
        <w:t xml:space="preserve"> </w:t>
      </w:r>
      <w:r w:rsidR="007E1CB6">
        <w:fldChar w:fldCharType="begin"/>
      </w:r>
      <w:r w:rsidR="007E1CB6">
        <w:instrText xml:space="preserve"> ADDIN ZOTERO_ITEM CSL_CITATION {"citationID":"jDsX7V5n","properties":{"formattedCitation":"(Akyildirim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7E1CB6">
        <w:fldChar w:fldCharType="separate"/>
      </w:r>
      <w:r w:rsidR="007E1CB6" w:rsidRPr="007E1CB6">
        <w:t>(Akyildirim et al., 2020)</w:t>
      </w:r>
      <w:r w:rsidR="007E1CB6">
        <w:fldChar w:fldCharType="end"/>
      </w:r>
      <w:r w:rsidRPr="002B172E">
        <w:t>。</w:t>
      </w:r>
    </w:p>
    <w:p w14:paraId="0DA0019D" w14:textId="02CD54CD" w:rsidR="00C3674E" w:rsidRPr="002B172E" w:rsidRDefault="00C3674E" w:rsidP="00C3674E">
      <w:pPr>
        <w:spacing w:before="180" w:after="180"/>
        <w:ind w:firstLine="480"/>
      </w:pPr>
      <w:r w:rsidRPr="00C3674E">
        <w:rPr>
          <w:rFonts w:hint="eastAsia"/>
        </w:rPr>
        <w:lastRenderedPageBreak/>
        <w:t>隨著機構投資者持續進入加密貨幣市場，對專業風險管理工具的需求將不斷增長。本研究不僅回應了這一市場需求，更為加密貨幣衍生品市場的學術研究開闢了新的方向。透過建立更穩健的</w:t>
      </w:r>
      <w:r w:rsidRPr="00C3674E">
        <w:rPr>
          <w:rFonts w:hint="eastAsia"/>
        </w:rPr>
        <w:t>RND</w:t>
      </w:r>
      <w:r w:rsidRPr="00C3674E">
        <w:rPr>
          <w:rFonts w:hint="eastAsia"/>
        </w:rPr>
        <w:t>估計框架，我們期望能促進對加密貨幣市場風險本質的更深入理解，並為後續研究奠定堅實基礎。</w:t>
      </w:r>
    </w:p>
    <w:p w14:paraId="08EAF99D" w14:textId="52C43503" w:rsidR="00F940B9" w:rsidRDefault="00F940B9" w:rsidP="00F940B9">
      <w:pPr>
        <w:pStyle w:val="2"/>
      </w:pPr>
      <w:bookmarkStart w:id="31" w:name="_Toc190531566"/>
      <w:bookmarkStart w:id="32" w:name="_Toc190982011"/>
      <w:bookmarkStart w:id="33" w:name="_Toc192324062"/>
      <w:r>
        <w:rPr>
          <w:rFonts w:hint="eastAsia"/>
        </w:rPr>
        <w:t>1.2</w:t>
      </w:r>
      <w:r>
        <w:rPr>
          <w:rFonts w:hint="eastAsia"/>
        </w:rPr>
        <w:t>研究架構</w:t>
      </w:r>
      <w:bookmarkEnd w:id="31"/>
      <w:bookmarkEnd w:id="32"/>
      <w:bookmarkEnd w:id="33"/>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包含風險中立機率密度計算、尾部配適方法及實證迴歸模型設計。</w:t>
      </w:r>
    </w:p>
    <w:p w14:paraId="17D98876" w14:textId="0267AD0D" w:rsidR="00C07431" w:rsidRDefault="00C07431" w:rsidP="00F940B9">
      <w:pPr>
        <w:spacing w:before="180" w:after="180"/>
        <w:ind w:firstLine="480"/>
      </w:pPr>
      <w:r>
        <w:rPr>
          <w:rFonts w:hint="eastAsia"/>
        </w:rPr>
        <w:t>「第五章、實證結果分析」：迴歸結果分析，並比較不同配適方法表現差異。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34" w:name="_Toc182815173"/>
      <w:bookmarkStart w:id="35" w:name="_Toc190531567"/>
      <w:bookmarkStart w:id="36" w:name="_Toc190982012"/>
      <w:bookmarkStart w:id="37" w:name="_Toc192324063"/>
      <w:r>
        <w:rPr>
          <w:rFonts w:hint="eastAsia"/>
        </w:rPr>
        <w:lastRenderedPageBreak/>
        <w:t>第二章、文獻</w:t>
      </w:r>
      <w:bookmarkEnd w:id="34"/>
      <w:r w:rsidR="00AD2D43">
        <w:rPr>
          <w:rFonts w:hint="eastAsia"/>
        </w:rPr>
        <w:t>回顧</w:t>
      </w:r>
      <w:bookmarkEnd w:id="35"/>
      <w:bookmarkEnd w:id="36"/>
      <w:bookmarkEnd w:id="37"/>
    </w:p>
    <w:p w14:paraId="01199615" w14:textId="6A07AFF4" w:rsidR="00404225" w:rsidRPr="00A24B9A" w:rsidRDefault="00B67397" w:rsidP="00A24B9A">
      <w:pPr>
        <w:pStyle w:val="2"/>
      </w:pPr>
      <w:bookmarkStart w:id="38" w:name="_Toc190531568"/>
      <w:bookmarkStart w:id="39" w:name="_Toc190982013"/>
      <w:bookmarkStart w:id="40" w:name="_Toc192324064"/>
      <w:r>
        <w:rPr>
          <w:rFonts w:hint="eastAsia"/>
        </w:rPr>
        <w:t>2.1</w:t>
      </w:r>
      <w:r w:rsidR="00A24B9A" w:rsidRPr="00A24B9A">
        <w:t>風險中立機率密度之</w:t>
      </w:r>
      <w:bookmarkEnd w:id="38"/>
      <w:bookmarkEnd w:id="39"/>
      <w:r w:rsidR="006D6B65">
        <w:rPr>
          <w:rFonts w:hint="eastAsia"/>
        </w:rPr>
        <w:t>基礎理論</w:t>
      </w:r>
      <w:bookmarkEnd w:id="40"/>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進一步提出將市場選擇權價格轉換至隱含波動率空間進行插值的技術，此方法利用了隱含波動率曲線較價格數據更為平滑且連續的特性，有助於提升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5DE45F68" w:rsidR="00D52AC3" w:rsidRPr="006D6B65" w:rsidRDefault="006D6B65" w:rsidP="0013340A">
      <w:pPr>
        <w:spacing w:before="180" w:after="180"/>
        <w:ind w:firstLine="480"/>
      </w:pPr>
      <w:r w:rsidRPr="006D6B65">
        <w:t>於極端市場情境下，</w:t>
      </w:r>
      <w:r w:rsidRPr="006D6B65">
        <w:t>Birru</w:t>
      </w:r>
      <w:r w:rsidRPr="006D6B65">
        <w:t>和</w:t>
      </w:r>
      <w:r w:rsidRPr="006D6B65">
        <w:t xml:space="preserve">Figlewski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形狀會隨市場壓力增加而產生顯著變化。為更準確描述此類極端情況，他們採用廣義極值分配（</w:t>
      </w:r>
      <w:r w:rsidRPr="006D6B65">
        <w:t>GEV</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r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41" w:name="_Toc190531569"/>
      <w:bookmarkStart w:id="42" w:name="_Toc190982014"/>
      <w:bookmarkStart w:id="43" w:name="_Toc192324065"/>
      <w:r>
        <w:rPr>
          <w:rFonts w:hint="eastAsia"/>
        </w:rPr>
        <w:t>2.2</w:t>
      </w:r>
      <w:r w:rsidR="006A58BF">
        <w:rPr>
          <w:rFonts w:hint="eastAsia"/>
        </w:rPr>
        <w:t>風險中立機率密度之估計方法</w:t>
      </w:r>
      <w:bookmarkEnd w:id="41"/>
      <w:bookmarkEnd w:id="42"/>
      <w:bookmarkEnd w:id="43"/>
    </w:p>
    <w:p w14:paraId="619E035A" w14:textId="3D161A3B"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DDDAD35" w:rsidR="006D6B65" w:rsidRPr="006D6B65" w:rsidRDefault="006D6B65" w:rsidP="0013340A">
      <w:pPr>
        <w:spacing w:before="180" w:after="180"/>
        <w:ind w:firstLine="480"/>
      </w:pPr>
      <w:r w:rsidRPr="006D6B65">
        <w:t xml:space="preserve">Orosi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r w:rsidRPr="006D6B65">
        <w:t xml:space="preserve">Uberti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13D1A646" w:rsidR="00042EF4" w:rsidRPr="006D6B65" w:rsidRDefault="006D6B65" w:rsidP="0013340A">
      <w:pPr>
        <w:spacing w:before="180" w:after="180"/>
        <w:ind w:firstLine="480"/>
      </w:pPr>
      <w:r w:rsidRPr="006D6B65">
        <w:t>近期，</w:t>
      </w:r>
      <w:r w:rsidRPr="006D6B65">
        <w:t xml:space="preserve">Dong et al.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44" w:name="_Toc190531570"/>
      <w:bookmarkStart w:id="45" w:name="_Toc190982015"/>
      <w:bookmarkStart w:id="46" w:name="_Toc192324066"/>
      <w:r>
        <w:rPr>
          <w:rFonts w:hint="eastAsia"/>
        </w:rPr>
        <w:t>2.3</w:t>
      </w:r>
      <w:bookmarkEnd w:id="44"/>
      <w:bookmarkEnd w:id="45"/>
      <w:r w:rsidR="006D6B65">
        <w:rPr>
          <w:rFonts w:hint="eastAsia"/>
        </w:rPr>
        <w:t>風險中立分布之特性研究</w:t>
      </w:r>
      <w:bookmarkEnd w:id="46"/>
    </w:p>
    <w:p w14:paraId="08D32831" w14:textId="4F2C0801" w:rsidR="006A58BF" w:rsidRPr="006A58BF" w:rsidRDefault="006A58BF" w:rsidP="006A58BF">
      <w:pPr>
        <w:pStyle w:val="3"/>
        <w:spacing w:before="180" w:after="180"/>
      </w:pPr>
      <w:bookmarkStart w:id="47" w:name="_Toc190531571"/>
      <w:bookmarkStart w:id="48" w:name="_Toc190982016"/>
      <w:bookmarkStart w:id="49" w:name="_Toc192324067"/>
      <w:r>
        <w:rPr>
          <w:rFonts w:hint="eastAsia"/>
        </w:rPr>
        <w:t>2.3.1</w:t>
      </w:r>
      <w:bookmarkEnd w:id="47"/>
      <w:bookmarkEnd w:id="48"/>
      <w:r w:rsidR="006D6B65">
        <w:rPr>
          <w:rFonts w:hint="eastAsia"/>
        </w:rPr>
        <w:t>高階動差之特性與應用</w:t>
      </w:r>
      <w:bookmarkEnd w:id="49"/>
    </w:p>
    <w:p w14:paraId="7B087191" w14:textId="297C86A8" w:rsidR="006D6B65" w:rsidRPr="006D6B65" w:rsidRDefault="006D6B65" w:rsidP="0013340A">
      <w:pPr>
        <w:spacing w:before="180" w:after="180"/>
        <w:ind w:firstLine="480"/>
      </w:pPr>
      <w:r w:rsidRPr="006D6B65">
        <w:t>風險中立分布的高階動差，特別是偏態與峰度，在金融市場研究中扮演關鍵角色。</w:t>
      </w:r>
      <w:r w:rsidRPr="006D6B65">
        <w:t>Bali</w:t>
      </w:r>
      <w:r w:rsidRPr="006D6B65">
        <w:t>和</w:t>
      </w:r>
      <w:r w:rsidRPr="006D6B65">
        <w:t xml:space="preserve">Murray </w:t>
      </w:r>
      <w:r w:rsidR="0013340A">
        <w:fldChar w:fldCharType="begin"/>
      </w:r>
      <w:r w:rsidR="0013340A">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13340A">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13340A">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6F1E9331" w:rsidR="006D6B65" w:rsidRPr="006D6B65" w:rsidRDefault="006D6B65" w:rsidP="0013340A">
      <w:pPr>
        <w:spacing w:before="180" w:after="180"/>
        <w:ind w:firstLine="480"/>
      </w:pPr>
      <w:r w:rsidRPr="006D6B65">
        <w:t xml:space="preserve">Fuertes et al. </w:t>
      </w:r>
      <w:r w:rsidR="0013340A">
        <w:fldChar w:fldCharType="begin"/>
      </w:r>
      <w:r w:rsidR="0013340A">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5370DBA1" w:rsidR="006D6B65" w:rsidRPr="006D6B65" w:rsidRDefault="006D6B65" w:rsidP="0013340A">
      <w:pPr>
        <w:spacing w:before="180" w:after="180"/>
        <w:ind w:firstLine="480"/>
      </w:pPr>
      <w:r w:rsidRPr="006D6B65">
        <w:t xml:space="preserve">Cortés et al. </w:t>
      </w:r>
      <w:r w:rsidR="0013340A">
        <w:fldChar w:fldCharType="begin"/>
      </w:r>
      <w:r w:rsidR="0013340A">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7BA6E706" w:rsidR="00D52AC3" w:rsidRPr="006D6B65" w:rsidRDefault="006D6B65" w:rsidP="0013340A">
      <w:pPr>
        <w:spacing w:before="180" w:after="180"/>
        <w:ind w:firstLine="480"/>
      </w:pPr>
      <w:r w:rsidRPr="006D6B65">
        <w:t xml:space="preserve">Böök et al. </w:t>
      </w:r>
      <w:r w:rsidR="0013340A">
        <w:fldChar w:fldCharType="begin"/>
      </w:r>
      <w:r w:rsidR="0013340A">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50" w:name="_Toc190531572"/>
      <w:bookmarkStart w:id="51" w:name="_Toc190982017"/>
      <w:bookmarkStart w:id="52" w:name="_Toc192324068"/>
      <w:r>
        <w:rPr>
          <w:rFonts w:hint="eastAsia"/>
        </w:rPr>
        <w:t>2.3.2</w:t>
      </w:r>
      <w:bookmarkEnd w:id="50"/>
      <w:bookmarkEnd w:id="51"/>
      <w:r w:rsidR="006D6B65">
        <w:rPr>
          <w:rFonts w:hint="eastAsia"/>
        </w:rPr>
        <w:t>尾部風險特性與極值理論</w:t>
      </w:r>
      <w:bookmarkEnd w:id="52"/>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提出的閾值超越模型為後續金融市場極端事件研究奠定重要基礎。他們的研究證明，當樣本超過足夠高的閾值時，其分配會收斂至廣義柏拉圖分配，此發現對於估計金融市場的尾部風險具有關鍵意義。</w:t>
      </w:r>
    </w:p>
    <w:p w14:paraId="500D0687" w14:textId="76E570C0"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CA7510">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報酬間的負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r w:rsidRPr="006D6B65">
        <w:t xml:space="preserve">Skiadopoulos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53" w:name="_Toc190531573"/>
      <w:bookmarkStart w:id="54" w:name="_Toc190982018"/>
      <w:bookmarkStart w:id="55" w:name="_Toc192324069"/>
      <w:r>
        <w:rPr>
          <w:rFonts w:hint="eastAsia"/>
        </w:rPr>
        <w:t>2.</w:t>
      </w:r>
      <w:bookmarkEnd w:id="53"/>
      <w:bookmarkEnd w:id="54"/>
      <w:r w:rsidR="006D6B65">
        <w:rPr>
          <w:rFonts w:hint="eastAsia"/>
        </w:rPr>
        <w:t>4</w:t>
      </w:r>
      <w:r w:rsidR="006D6B65">
        <w:rPr>
          <w:rFonts w:hint="eastAsia"/>
        </w:rPr>
        <w:t>金融市場實證應用</w:t>
      </w:r>
      <w:bookmarkEnd w:id="55"/>
    </w:p>
    <w:p w14:paraId="3390F7E9" w14:textId="01B6283F" w:rsidR="006D6B65" w:rsidRPr="006D6B65" w:rsidRDefault="006D6B65" w:rsidP="006D6B65">
      <w:pPr>
        <w:pStyle w:val="3"/>
        <w:spacing w:before="180" w:after="180"/>
      </w:pPr>
      <w:bookmarkStart w:id="56" w:name="_Toc192324070"/>
      <w:r>
        <w:rPr>
          <w:rFonts w:hint="eastAsia"/>
        </w:rPr>
        <w:t>2.4.1</w:t>
      </w:r>
      <w:r>
        <w:rPr>
          <w:rFonts w:hint="eastAsia"/>
        </w:rPr>
        <w:t>傳統金融市場</w:t>
      </w:r>
      <w:bookmarkEnd w:id="56"/>
    </w:p>
    <w:p w14:paraId="7421ECFF" w14:textId="6854A11C" w:rsidR="006D6B65" w:rsidRPr="006D6B65" w:rsidRDefault="006D6B65" w:rsidP="00CA7510">
      <w:pPr>
        <w:spacing w:before="180" w:after="180"/>
        <w:ind w:firstLine="480"/>
      </w:pPr>
      <w:r w:rsidRPr="006D6B65">
        <w:t>Mohrschladt</w:t>
      </w:r>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r w:rsidRPr="006D6B65">
        <w:t>Cujean</w:t>
      </w:r>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r w:rsidRPr="006D6B65">
        <w:t>Jondeau</w:t>
      </w:r>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57" w:name="_Toc192324071"/>
      <w:r>
        <w:rPr>
          <w:rFonts w:hint="eastAsia"/>
        </w:rPr>
        <w:t>2.4.2</w:t>
      </w:r>
      <w:r>
        <w:rPr>
          <w:rFonts w:hint="eastAsia"/>
        </w:rPr>
        <w:t>加密貨幣市場</w:t>
      </w:r>
      <w:bookmarkEnd w:id="57"/>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r w:rsidRPr="006D6B65">
        <w:t xml:space="preserve">Akyildirim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Tsyvinski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8" w:name="_Toc182815177"/>
      <w:bookmarkStart w:id="59" w:name="_Toc190531574"/>
      <w:bookmarkStart w:id="60" w:name="_Toc190982019"/>
      <w:bookmarkStart w:id="61" w:name="_Toc192324072"/>
      <w:r>
        <w:rPr>
          <w:rFonts w:hint="eastAsia"/>
        </w:rPr>
        <w:lastRenderedPageBreak/>
        <w:t>第三章、</w:t>
      </w:r>
      <w:bookmarkEnd w:id="58"/>
      <w:r w:rsidR="00404225">
        <w:rPr>
          <w:rFonts w:hint="eastAsia"/>
        </w:rPr>
        <w:t>資料來源</w:t>
      </w:r>
      <w:bookmarkEnd w:id="59"/>
      <w:bookmarkEnd w:id="60"/>
      <w:bookmarkEnd w:id="61"/>
    </w:p>
    <w:p w14:paraId="6A7D1B8D" w14:textId="13D8A7D4" w:rsidR="00ED61D0" w:rsidRPr="008E3193" w:rsidRDefault="00E410D8" w:rsidP="008E3193">
      <w:pPr>
        <w:pStyle w:val="2"/>
      </w:pPr>
      <w:bookmarkStart w:id="62" w:name="_Toc190531575"/>
      <w:bookmarkStart w:id="63" w:name="_Toc190982020"/>
      <w:bookmarkStart w:id="64" w:name="_Toc192324073"/>
      <w:r>
        <w:rPr>
          <w:rFonts w:hint="eastAsia"/>
        </w:rPr>
        <w:t>3.1</w:t>
      </w:r>
      <w:r w:rsidR="00ED61D0">
        <w:rPr>
          <w:rFonts w:hint="eastAsia"/>
        </w:rPr>
        <w:t>資料來源</w:t>
      </w:r>
      <w:bookmarkEnd w:id="62"/>
      <w:bookmarkEnd w:id="63"/>
      <w:bookmarkEnd w:id="64"/>
    </w:p>
    <w:p w14:paraId="0D689EAA" w14:textId="31E0B5B0" w:rsidR="00FC6694" w:rsidRPr="00FC6694" w:rsidRDefault="00FC6694" w:rsidP="0067319E">
      <w:pPr>
        <w:spacing w:before="180" w:after="180"/>
        <w:ind w:firstLine="480"/>
      </w:pPr>
      <w:r w:rsidRPr="00FC6694">
        <w:t>本研究採用全球最大比特幣選擇權交易平台</w:t>
      </w:r>
      <w:r w:rsidRPr="00FC6694">
        <w:t>Deribit</w:t>
      </w:r>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0DEB34B8"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E7115B">
        <w:rPr>
          <w:rFonts w:hint="eastAsia"/>
        </w:rPr>
        <w:t>圖</w:t>
      </w:r>
      <w:r w:rsidR="00E7115B">
        <w:rPr>
          <w:rFonts w:hint="eastAsia"/>
        </w:rPr>
        <w:t>3-</w:t>
      </w:r>
      <w:r w:rsidR="00E7115B">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3EE68F1F" w:rsidR="003A010D" w:rsidRPr="003A010D" w:rsidRDefault="003A010D" w:rsidP="006B6654">
      <w:pPr>
        <w:pStyle w:val="a9"/>
        <w:spacing w:before="180" w:after="180"/>
      </w:pPr>
      <w:bookmarkStart w:id="65" w:name="_Ref182956642"/>
      <w:bookmarkStart w:id="66"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1</w:t>
      </w:r>
      <w:r>
        <w:fldChar w:fldCharType="end"/>
      </w:r>
      <w:bookmarkEnd w:id="65"/>
      <w:r>
        <w:rPr>
          <w:rFonts w:hint="eastAsia"/>
        </w:rPr>
        <w:t>：比特幣選擇權市場交易量與未平倉量數據統計</w:t>
      </w:r>
      <w:r w:rsidR="006B6654">
        <w:br/>
      </w:r>
      <w:r>
        <w:rPr>
          <w:rFonts w:hint="eastAsia"/>
        </w:rPr>
        <w:t>（資料來源：</w:t>
      </w:r>
      <w:r>
        <w:rPr>
          <w:rFonts w:hint="eastAsia"/>
        </w:rPr>
        <w:t>The Block</w:t>
      </w:r>
      <w:r w:rsidR="00387F38">
        <w:rPr>
          <w:rFonts w:hint="eastAsia"/>
        </w:rPr>
        <w:t>官方網站）</w:t>
      </w:r>
      <w:bookmarkEnd w:id="66"/>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2"/>
      </w:pPr>
      <w:bookmarkStart w:id="67" w:name="_Toc190531576"/>
      <w:bookmarkStart w:id="68" w:name="_Toc190982021"/>
      <w:bookmarkStart w:id="69" w:name="_Toc192324074"/>
      <w:r>
        <w:rPr>
          <w:rFonts w:hint="eastAsia"/>
        </w:rPr>
        <w:t>3.2</w:t>
      </w:r>
      <w:r w:rsidR="00ED61D0">
        <w:rPr>
          <w:rFonts w:hint="eastAsia"/>
        </w:rPr>
        <w:t>比特幣選擇權交易市場概況</w:t>
      </w:r>
      <w:bookmarkEnd w:id="67"/>
      <w:bookmarkEnd w:id="68"/>
      <w:bookmarkEnd w:id="69"/>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0EFC35E6"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E7115B">
        <w:rPr>
          <w:rFonts w:hint="eastAsia"/>
        </w:rPr>
        <w:t>圖</w:t>
      </w:r>
      <w:r w:rsidR="00E7115B">
        <w:rPr>
          <w:rFonts w:hint="eastAsia"/>
        </w:rPr>
        <w:t>3-</w:t>
      </w:r>
      <w:r w:rsidR="00E7115B">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E7115B">
        <w:rPr>
          <w:rFonts w:hint="eastAsia"/>
        </w:rPr>
        <w:t>圖</w:t>
      </w:r>
      <w:r w:rsidR="00E7115B">
        <w:rPr>
          <w:rFonts w:hint="eastAsia"/>
        </w:rPr>
        <w:t>3-</w:t>
      </w:r>
      <w:r w:rsidR="00E7115B">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資人參與。比特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00F0B239" w:rsidR="00663F14" w:rsidRPr="00FB35F3" w:rsidRDefault="00B634F1" w:rsidP="00B634F1">
      <w:pPr>
        <w:pStyle w:val="a9"/>
        <w:spacing w:before="180" w:after="180"/>
      </w:pPr>
      <w:bookmarkStart w:id="70" w:name="_Ref189489922"/>
      <w:bookmarkStart w:id="71"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2</w:t>
      </w:r>
      <w:r>
        <w:fldChar w:fldCharType="end"/>
      </w:r>
      <w:bookmarkEnd w:id="7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bookmarkEnd w:id="71"/>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02A3161F" w:rsidR="00B53910" w:rsidRDefault="002F31B5" w:rsidP="008E3193">
      <w:pPr>
        <w:pStyle w:val="a9"/>
        <w:spacing w:before="180" w:after="180"/>
      </w:pPr>
      <w:bookmarkStart w:id="72" w:name="_Ref182962365"/>
      <w:bookmarkStart w:id="73"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3</w:t>
      </w:r>
      <w:r>
        <w:fldChar w:fldCharType="end"/>
      </w:r>
      <w:bookmarkEnd w:id="72"/>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bookmarkEnd w:id="73"/>
    </w:p>
    <w:p w14:paraId="26B0396F" w14:textId="4A298C43"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E7115B">
        <w:rPr>
          <w:rFonts w:hint="eastAsia"/>
        </w:rPr>
        <w:t>圖</w:t>
      </w:r>
      <w:r w:rsidR="00E7115B">
        <w:rPr>
          <w:rFonts w:hint="eastAsia"/>
        </w:rPr>
        <w:t>3-</w:t>
      </w:r>
      <w:r w:rsidR="00E7115B">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0FA642ED" w:rsidR="00B53910" w:rsidRPr="00B53910" w:rsidRDefault="00B53910" w:rsidP="00B53910">
      <w:pPr>
        <w:pStyle w:val="a9"/>
        <w:spacing w:before="180" w:after="180"/>
      </w:pPr>
      <w:bookmarkStart w:id="74" w:name="_Ref189493292"/>
      <w:bookmarkStart w:id="75"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4</w:t>
      </w:r>
      <w:r>
        <w:fldChar w:fldCharType="end"/>
      </w:r>
      <w:bookmarkEnd w:id="7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bookmarkEnd w:id="75"/>
    </w:p>
    <w:p w14:paraId="51E8C060" w14:textId="0853F65D"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E7115B">
        <w:rPr>
          <w:rFonts w:hint="eastAsia"/>
        </w:rPr>
        <w:t>圖</w:t>
      </w:r>
      <w:r w:rsidR="00E7115B">
        <w:rPr>
          <w:rFonts w:hint="eastAsia"/>
        </w:rPr>
        <w:t>3-</w:t>
      </w:r>
      <w:r w:rsidR="00E7115B">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264E20A2" w:rsidR="00B53910" w:rsidRPr="00B53910" w:rsidRDefault="00B53910" w:rsidP="00B53910">
      <w:pPr>
        <w:pStyle w:val="a9"/>
        <w:spacing w:before="180" w:after="180"/>
      </w:pPr>
      <w:bookmarkStart w:id="76" w:name="_Ref189493371"/>
      <w:bookmarkStart w:id="77"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7115B">
        <w:rPr>
          <w:noProof/>
        </w:rPr>
        <w:t>5</w:t>
      </w:r>
      <w:r>
        <w:fldChar w:fldCharType="end"/>
      </w:r>
      <w:bookmarkEnd w:id="7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bookmarkEnd w:id="77"/>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8" w:name="_Toc182815179"/>
      <w:bookmarkStart w:id="79" w:name="_Toc190531577"/>
      <w:bookmarkStart w:id="80" w:name="_Toc190982022"/>
      <w:bookmarkStart w:id="81" w:name="_Toc192324075"/>
      <w:r>
        <w:rPr>
          <w:rFonts w:hint="eastAsia"/>
        </w:rPr>
        <w:lastRenderedPageBreak/>
        <w:t>第四章、</w:t>
      </w:r>
      <w:bookmarkEnd w:id="78"/>
      <w:r w:rsidR="00404225">
        <w:rPr>
          <w:rFonts w:hint="eastAsia"/>
        </w:rPr>
        <w:t>研究方法</w:t>
      </w:r>
      <w:bookmarkEnd w:id="79"/>
      <w:bookmarkEnd w:id="80"/>
      <w:bookmarkEnd w:id="81"/>
    </w:p>
    <w:p w14:paraId="06D53243" w14:textId="33D13D44" w:rsidR="00666B54" w:rsidRDefault="00E410D8" w:rsidP="00E410D8">
      <w:pPr>
        <w:pStyle w:val="2"/>
      </w:pPr>
      <w:bookmarkStart w:id="82" w:name="_Toc190531578"/>
      <w:bookmarkStart w:id="83" w:name="_Toc190982023"/>
      <w:bookmarkStart w:id="84" w:name="_Toc192324076"/>
      <w:r>
        <w:rPr>
          <w:rFonts w:hint="eastAsia"/>
        </w:rPr>
        <w:t>4.1</w:t>
      </w:r>
      <w:r>
        <w:rPr>
          <w:rFonts w:hint="eastAsia"/>
        </w:rPr>
        <w:t>以理論計算風險中立</w:t>
      </w:r>
      <w:r w:rsidR="00806786">
        <w:rPr>
          <w:rFonts w:hint="eastAsia"/>
        </w:rPr>
        <w:t>機率</w:t>
      </w:r>
      <w:r>
        <w:rPr>
          <w:rFonts w:hint="eastAsia"/>
        </w:rPr>
        <w:t>密度之方法</w:t>
      </w:r>
      <w:bookmarkEnd w:id="82"/>
      <w:bookmarkEnd w:id="83"/>
      <w:bookmarkEnd w:id="84"/>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1A4F38DB" w:rsidR="003643C9" w:rsidRDefault="003643C9" w:rsidP="00646BB2">
            <w:pPr>
              <w:pStyle w:val="a9"/>
              <w:spacing w:before="180" w:after="180"/>
              <w:jc w:val="right"/>
            </w:pPr>
            <w:bookmarkStart w:id="85" w:name="_Ref183666859"/>
            <w:r>
              <w:t>(</w:t>
            </w:r>
            <w:fldSimple w:instr=" SEQ ( \* ARABIC ">
              <w:r w:rsidR="00E7115B">
                <w:rPr>
                  <w:noProof/>
                </w:rPr>
                <w:t>1</w:t>
              </w:r>
            </w:fldSimple>
            <w:r>
              <w:rPr>
                <w:rFonts w:hint="eastAsia"/>
              </w:rPr>
              <w:t>)</w:t>
            </w:r>
            <w:bookmarkEnd w:id="85"/>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31D2A383" w:rsidR="00764F78" w:rsidRPr="00764F78" w:rsidRDefault="00646BB2" w:rsidP="00764F78">
            <w:pPr>
              <w:pStyle w:val="a9"/>
              <w:spacing w:before="180" w:after="180"/>
              <w:jc w:val="right"/>
            </w:pPr>
            <w:bookmarkStart w:id="86" w:name="_Ref183663957"/>
            <w:bookmarkStart w:id="87" w:name="_Ref183663960"/>
            <w:r>
              <w:t>(</w:t>
            </w:r>
            <w:fldSimple w:instr=" SEQ ( \* ARABIC ">
              <w:r w:rsidR="00E7115B">
                <w:rPr>
                  <w:noProof/>
                </w:rPr>
                <w:t>2</w:t>
              </w:r>
            </w:fldSimple>
            <w:bookmarkEnd w:id="86"/>
            <w:r>
              <w:rPr>
                <w:rFonts w:hint="eastAsia"/>
              </w:rPr>
              <w:t>)</w:t>
            </w:r>
            <w:bookmarkEnd w:id="87"/>
          </w:p>
        </w:tc>
      </w:tr>
    </w:tbl>
    <w:p w14:paraId="7ACA79FE" w14:textId="12158B07"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E7115B">
        <w:t>(</w:t>
      </w:r>
      <w:r w:rsidR="00E7115B">
        <w:rPr>
          <w:noProof/>
        </w:rPr>
        <w:t>2</w:t>
      </w:r>
      <w:r w:rsidR="00E7115B">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5F67FD84" w:rsidR="00C451F7" w:rsidRPr="00764F78" w:rsidRDefault="00C451F7" w:rsidP="009703DB">
            <w:pPr>
              <w:pStyle w:val="a9"/>
              <w:spacing w:before="180" w:after="180"/>
              <w:jc w:val="right"/>
            </w:pPr>
            <w:bookmarkStart w:id="88" w:name="_Ref183665445"/>
            <w:r>
              <w:t>(</w:t>
            </w:r>
            <w:fldSimple w:instr=" SEQ ( \* ARABIC ">
              <w:r w:rsidR="00E7115B">
                <w:rPr>
                  <w:noProof/>
                </w:rPr>
                <w:t>3</w:t>
              </w:r>
            </w:fldSimple>
            <w:r>
              <w:rPr>
                <w:rFonts w:hint="eastAsia"/>
              </w:rPr>
              <w:t>)</w:t>
            </w:r>
            <w:bookmarkEnd w:id="88"/>
          </w:p>
        </w:tc>
      </w:tr>
    </w:tbl>
    <w:p w14:paraId="072B8C89" w14:textId="45F571EF"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E7115B">
        <w:t>(</w:t>
      </w:r>
      <w:r w:rsidR="00E7115B">
        <w:rPr>
          <w:noProof/>
        </w:rPr>
        <w:t>2</w:t>
      </w:r>
      <w:r w:rsidR="00E7115B">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E7115B">
        <w:t>(</w:t>
      </w:r>
      <w:r w:rsidR="00E7115B">
        <w:rPr>
          <w:noProof/>
        </w:rPr>
        <w:t>3</w:t>
      </w:r>
      <w:r w:rsidR="00E7115B">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2DDC750E" w:rsidR="006A2DA5" w:rsidRPr="00764F78" w:rsidRDefault="006A2DA5" w:rsidP="00CC13BB">
            <w:pPr>
              <w:pStyle w:val="a9"/>
              <w:spacing w:before="180" w:after="180"/>
              <w:ind w:firstLine="480"/>
              <w:jc w:val="right"/>
            </w:pPr>
            <w:bookmarkStart w:id="89" w:name="_Ref189214718"/>
            <w:r>
              <w:t>(</w:t>
            </w:r>
            <w:fldSimple w:instr=" SEQ ( \* ARABIC ">
              <w:r w:rsidR="00E7115B">
                <w:rPr>
                  <w:noProof/>
                </w:rPr>
                <w:t>4</w:t>
              </w:r>
            </w:fldSimple>
            <w:r>
              <w:rPr>
                <w:rFonts w:hint="eastAsia"/>
              </w:rPr>
              <w:t>)</w:t>
            </w:r>
            <w:bookmarkEnd w:id="89"/>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011E881" w:rsidR="006A2DA5" w:rsidRDefault="006A2DA5" w:rsidP="00CC13BB">
            <w:pPr>
              <w:pStyle w:val="a9"/>
              <w:spacing w:before="180" w:after="180"/>
              <w:ind w:firstLine="480"/>
              <w:jc w:val="right"/>
            </w:pPr>
            <w:bookmarkStart w:id="90" w:name="_Ref183666874"/>
            <w:r>
              <w:t>(</w:t>
            </w:r>
            <w:fldSimple w:instr=" SEQ ( \* ARABIC ">
              <w:r w:rsidR="00E7115B">
                <w:rPr>
                  <w:noProof/>
                </w:rPr>
                <w:t>5</w:t>
              </w:r>
            </w:fldSimple>
            <w:r>
              <w:rPr>
                <w:rFonts w:hint="eastAsia"/>
              </w:rPr>
              <w:t>)</w:t>
            </w:r>
            <w:bookmarkEnd w:id="90"/>
          </w:p>
        </w:tc>
      </w:tr>
    </w:tbl>
    <w:p w14:paraId="41486D5F" w14:textId="076B4B46"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E7115B">
        <w:t>(</w:t>
      </w:r>
      <w:r w:rsidR="00E7115B">
        <w:rPr>
          <w:noProof/>
        </w:rPr>
        <w:t>1</w:t>
      </w:r>
      <w:r w:rsidR="00E7115B">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E7115B">
        <w:t>(</w:t>
      </w:r>
      <w:r w:rsidR="00E7115B">
        <w:rPr>
          <w:noProof/>
        </w:rPr>
        <w:t>5</w:t>
      </w:r>
      <w:r w:rsidR="00E7115B">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E7115B">
        <w:t>(</w:t>
      </w:r>
      <w:r w:rsidR="00E7115B">
        <w:rPr>
          <w:noProof/>
        </w:rPr>
        <w:t>2</w:t>
      </w:r>
      <w:r w:rsidR="00E7115B">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E7115B">
        <w:t>(</w:t>
      </w:r>
      <w:r w:rsidR="00E7115B">
        <w:rPr>
          <w:noProof/>
        </w:rPr>
        <w:t>5</w:t>
      </w:r>
      <w:r w:rsidR="00E7115B">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3E11AE0" w:rsidR="007C0373" w:rsidRPr="007C0373" w:rsidRDefault="004F631C" w:rsidP="007C0373">
            <w:pPr>
              <w:pStyle w:val="a9"/>
              <w:spacing w:before="180" w:after="180"/>
              <w:ind w:firstLine="480"/>
              <w:jc w:val="right"/>
            </w:pPr>
            <w:r>
              <w:t>(</w:t>
            </w:r>
            <w:fldSimple w:instr=" SEQ ( \* ARABIC ">
              <w:r w:rsidR="00E7115B">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18F2C2D" w:rsidR="004F631C" w:rsidRDefault="004F631C" w:rsidP="00CC13BB">
            <w:pPr>
              <w:pStyle w:val="a9"/>
              <w:spacing w:before="180" w:after="180"/>
              <w:ind w:firstLine="480"/>
              <w:jc w:val="right"/>
            </w:pPr>
            <w:r>
              <w:t>(</w:t>
            </w:r>
            <w:fldSimple w:instr=" SEQ ( \* ARABIC ">
              <w:r w:rsidR="00E7115B">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066F0DCB" w:rsidR="004F631C" w:rsidRDefault="00415057" w:rsidP="004F631C">
            <w:pPr>
              <w:pStyle w:val="a9"/>
              <w:spacing w:before="180" w:after="180"/>
              <w:ind w:firstLine="480"/>
              <w:jc w:val="right"/>
            </w:pPr>
            <w:r>
              <w:t>(</w:t>
            </w:r>
            <w:fldSimple w:instr=" SEQ ( \* ARABIC ">
              <w:r w:rsidR="00E7115B">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FDE0FAA" w:rsidR="004F631C" w:rsidRDefault="00415057" w:rsidP="004F631C">
            <w:pPr>
              <w:pStyle w:val="a9"/>
              <w:spacing w:before="180" w:after="180"/>
              <w:ind w:firstLine="480"/>
              <w:jc w:val="right"/>
            </w:pPr>
            <w:r>
              <w:t>(</w:t>
            </w:r>
            <w:fldSimple w:instr=" SEQ ( \* ARABIC ">
              <w:r w:rsidR="00E7115B">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91" w:name="_Toc190531579"/>
      <w:bookmarkStart w:id="92" w:name="_Toc190982024"/>
      <w:bookmarkStart w:id="93" w:name="_Toc192324077"/>
      <w:r>
        <w:rPr>
          <w:rFonts w:hint="eastAsia"/>
        </w:rPr>
        <w:t>4.2</w:t>
      </w:r>
      <w:r>
        <w:rPr>
          <w:rFonts w:hint="eastAsia"/>
        </w:rPr>
        <w:t>以實務計算風險中立</w:t>
      </w:r>
      <w:r w:rsidR="00806786">
        <w:rPr>
          <w:rFonts w:hint="eastAsia"/>
        </w:rPr>
        <w:t>機率</w:t>
      </w:r>
      <w:r>
        <w:rPr>
          <w:rFonts w:hint="eastAsia"/>
        </w:rPr>
        <w:t>密度之方法</w:t>
      </w:r>
      <w:bookmarkEnd w:id="91"/>
      <w:bookmarkEnd w:id="92"/>
      <w:bookmarkEnd w:id="93"/>
    </w:p>
    <w:p w14:paraId="6A72A1AA" w14:textId="39AC1108"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E7115B">
        <w:t>(</w:t>
      </w:r>
      <w:r w:rsidR="00E7115B">
        <w:rPr>
          <w:noProof/>
        </w:rPr>
        <w:t>1</w:t>
      </w:r>
      <w:r w:rsidR="00E7115B">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94" w:name="_Toc190531580"/>
      <w:bookmarkStart w:id="95" w:name="_Toc190982025"/>
      <w:bookmarkStart w:id="96" w:name="_Toc192324078"/>
      <w:r>
        <w:rPr>
          <w:rFonts w:hint="eastAsia"/>
        </w:rPr>
        <w:t>4.2.1</w:t>
      </w:r>
      <w:r>
        <w:rPr>
          <w:rFonts w:hint="eastAsia"/>
        </w:rPr>
        <w:t>比特幣適用之</w:t>
      </w:r>
      <w:r>
        <w:rPr>
          <w:rFonts w:hint="eastAsia"/>
        </w:rPr>
        <w:t>Black-Scholes</w:t>
      </w:r>
      <w:r>
        <w:rPr>
          <w:rFonts w:hint="eastAsia"/>
        </w:rPr>
        <w:t>模型</w:t>
      </w:r>
      <w:bookmarkEnd w:id="94"/>
      <w:bookmarkEnd w:id="95"/>
      <w:bookmarkEnd w:id="96"/>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7AED62F1"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E7115B">
        <w:t>(</w:t>
      </w:r>
      <w:r w:rsidR="00E7115B">
        <w:rPr>
          <w:noProof/>
        </w:rPr>
        <w:t>10</w:t>
      </w:r>
      <w:r w:rsidR="00E7115B">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E7115B">
        <w:t>(</w:t>
      </w:r>
      <w:r w:rsidR="00E7115B">
        <w:rPr>
          <w:noProof/>
        </w:rPr>
        <w:t>11</w:t>
      </w:r>
      <w:r w:rsidR="00E7115B">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68A6DEDF" w:rsidR="00C96DE9" w:rsidRDefault="00C96DE9" w:rsidP="00C96DE9">
            <w:pPr>
              <w:pStyle w:val="a9"/>
              <w:spacing w:before="180" w:after="180"/>
              <w:jc w:val="right"/>
            </w:pPr>
            <w:bookmarkStart w:id="97" w:name="_Ref184140393"/>
            <w:r>
              <w:t>(</w:t>
            </w:r>
            <w:fldSimple w:instr=" SEQ ( \* ARABIC ">
              <w:r w:rsidR="00E7115B">
                <w:rPr>
                  <w:noProof/>
                </w:rPr>
                <w:t>10</w:t>
              </w:r>
            </w:fldSimple>
            <w:r>
              <w:rPr>
                <w:rFonts w:hint="eastAsia"/>
              </w:rPr>
              <w:t>)</w:t>
            </w:r>
            <w:bookmarkEnd w:id="97"/>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7494BEF" w:rsidR="002116B3" w:rsidRDefault="002116B3" w:rsidP="002116B3">
            <w:pPr>
              <w:pStyle w:val="a9"/>
              <w:spacing w:before="180" w:after="180"/>
              <w:jc w:val="right"/>
            </w:pPr>
            <w:bookmarkStart w:id="98" w:name="_Ref184140413"/>
            <w:r>
              <w:t>(</w:t>
            </w:r>
            <w:fldSimple w:instr=" SEQ ( \* ARABIC ">
              <w:r w:rsidR="00E7115B">
                <w:rPr>
                  <w:noProof/>
                </w:rPr>
                <w:t>11</w:t>
              </w:r>
            </w:fldSimple>
            <w:r>
              <w:rPr>
                <w:rFonts w:hint="eastAsia"/>
              </w:rPr>
              <w:t>)</w:t>
            </w:r>
            <w:bookmarkEnd w:id="98"/>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9" w:name="_Toc190531581"/>
      <w:bookmarkStart w:id="100" w:name="_Toc190982026"/>
      <w:bookmarkStart w:id="101" w:name="_Toc192324079"/>
      <w:r>
        <w:rPr>
          <w:rFonts w:hint="eastAsia"/>
        </w:rPr>
        <w:t>4.2.2</w:t>
      </w:r>
      <w:r>
        <w:rPr>
          <w:rFonts w:hint="eastAsia"/>
        </w:rPr>
        <w:t>比特幣選擇權隱含波動率計算</w:t>
      </w:r>
      <w:bookmarkEnd w:id="99"/>
      <w:bookmarkEnd w:id="100"/>
      <w:bookmarkEnd w:id="101"/>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1B962E24"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E7115B">
        <w:rPr>
          <w:rFonts w:hint="eastAsia"/>
        </w:rPr>
        <w:t>圖</w:t>
      </w:r>
      <w:r w:rsidR="00E7115B">
        <w:rPr>
          <w:rFonts w:hint="eastAsia"/>
        </w:rPr>
        <w:t>4-</w:t>
      </w:r>
      <w:r w:rsidR="00E7115B">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E7115B">
        <w:rPr>
          <w:rFonts w:hint="eastAsia"/>
        </w:rPr>
        <w:t>圖</w:t>
      </w:r>
      <w:r w:rsidR="00E7115B">
        <w:rPr>
          <w:rFonts w:hint="eastAsia"/>
        </w:rPr>
        <w:t>4-</w:t>
      </w:r>
      <w:r w:rsidR="00E7115B">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E7115B">
        <w:rPr>
          <w:rFonts w:hint="eastAsia"/>
        </w:rPr>
        <w:t>圖</w:t>
      </w:r>
      <w:r w:rsidR="00E7115B">
        <w:rPr>
          <w:rFonts w:hint="eastAsia"/>
        </w:rPr>
        <w:t>4-</w:t>
      </w:r>
      <w:r w:rsidR="00E7115B">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48BA5F74" w:rsidR="00473435" w:rsidRDefault="00473435" w:rsidP="00473435">
      <w:pPr>
        <w:pStyle w:val="a9"/>
        <w:spacing w:before="180" w:after="180"/>
      </w:pPr>
      <w:bookmarkStart w:id="102" w:name="_Ref184762588"/>
      <w:bookmarkStart w:id="103"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1</w:t>
      </w:r>
      <w:r>
        <w:fldChar w:fldCharType="end"/>
      </w:r>
      <w:bookmarkEnd w:id="102"/>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3"/>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5200D5DC" w:rsidR="00473435" w:rsidRDefault="00473435" w:rsidP="00473435">
      <w:pPr>
        <w:pStyle w:val="a9"/>
        <w:spacing w:before="180" w:after="180"/>
      </w:pPr>
      <w:bookmarkStart w:id="104" w:name="_Ref184775728"/>
      <w:bookmarkStart w:id="105"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2</w:t>
      </w:r>
      <w:r>
        <w:fldChar w:fldCharType="end"/>
      </w:r>
      <w:bookmarkEnd w:id="10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5"/>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57CF3DB8" w:rsidR="009D4D5D" w:rsidRPr="009D4D5D" w:rsidRDefault="009D4D5D" w:rsidP="009D4D5D">
      <w:pPr>
        <w:pStyle w:val="a9"/>
        <w:spacing w:before="180" w:after="180"/>
      </w:pPr>
      <w:bookmarkStart w:id="106" w:name="_Ref184776096"/>
      <w:bookmarkStart w:id="107"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3</w:t>
      </w:r>
      <w:r>
        <w:fldChar w:fldCharType="end"/>
      </w:r>
      <w:bookmarkEnd w:id="10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7"/>
    </w:p>
    <w:p w14:paraId="36844DD9" w14:textId="738D2F97" w:rsidR="00493B38" w:rsidRDefault="00493B38" w:rsidP="00493B38">
      <w:pPr>
        <w:pStyle w:val="3"/>
        <w:spacing w:before="180" w:after="180"/>
      </w:pPr>
      <w:bookmarkStart w:id="108" w:name="_Toc190531582"/>
      <w:bookmarkStart w:id="109" w:name="_Toc190982027"/>
      <w:bookmarkStart w:id="110" w:name="_Toc192324080"/>
      <w:r>
        <w:rPr>
          <w:rFonts w:hint="eastAsia"/>
        </w:rPr>
        <w:t>4.2.3</w:t>
      </w:r>
      <w:r>
        <w:rPr>
          <w:rFonts w:hint="eastAsia"/>
        </w:rPr>
        <w:t>比特幣選擇權隱含波動率曲線擬合</w:t>
      </w:r>
      <w:bookmarkEnd w:id="108"/>
      <w:bookmarkEnd w:id="109"/>
      <w:bookmarkEnd w:id="110"/>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11CE1926"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E7115B">
        <w:rPr>
          <w:rFonts w:hint="eastAsia"/>
        </w:rPr>
        <w:t>圖</w:t>
      </w:r>
      <w:r w:rsidR="00E7115B">
        <w:rPr>
          <w:rFonts w:hint="eastAsia"/>
        </w:rPr>
        <w:t>4-</w:t>
      </w:r>
      <w:r w:rsidR="00E7115B">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3ABD5DB4" w:rsidR="00830EEC" w:rsidRPr="00716605" w:rsidRDefault="00C54885" w:rsidP="00C54885">
      <w:pPr>
        <w:pStyle w:val="a9"/>
        <w:spacing w:before="180" w:after="180"/>
      </w:pPr>
      <w:bookmarkStart w:id="111" w:name="_Ref189160093"/>
      <w:bookmarkStart w:id="112"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4</w:t>
      </w:r>
      <w:r>
        <w:fldChar w:fldCharType="end"/>
      </w:r>
      <w:bookmarkEnd w:id="11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2"/>
    </w:p>
    <w:p w14:paraId="432686A7" w14:textId="0F67C9B9" w:rsidR="00493B38" w:rsidRDefault="00493B38" w:rsidP="00493B38">
      <w:pPr>
        <w:pStyle w:val="3"/>
        <w:spacing w:before="180" w:after="180"/>
      </w:pPr>
      <w:bookmarkStart w:id="113" w:name="_Toc190531583"/>
      <w:bookmarkStart w:id="114" w:name="_Toc190982028"/>
      <w:bookmarkStart w:id="115" w:name="_Toc192324081"/>
      <w:r>
        <w:rPr>
          <w:rFonts w:hint="eastAsia"/>
        </w:rPr>
        <w:t>4.2.4</w:t>
      </w:r>
      <w:r>
        <w:rPr>
          <w:rFonts w:hint="eastAsia"/>
        </w:rPr>
        <w:t>比特幣選擇權風險中立機率密度函數計算</w:t>
      </w:r>
      <w:bookmarkEnd w:id="113"/>
      <w:bookmarkEnd w:id="114"/>
      <w:bookmarkEnd w:id="115"/>
    </w:p>
    <w:p w14:paraId="7E7B25F1" w14:textId="13BF96F4"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E7115B">
        <w:t>(</w:t>
      </w:r>
      <w:r w:rsidR="00E7115B">
        <w:rPr>
          <w:noProof/>
        </w:rPr>
        <w:t>11</w:t>
      </w:r>
      <w:r w:rsidR="00E7115B">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E7115B">
        <w:rPr>
          <w:rFonts w:hint="eastAsia"/>
        </w:rPr>
        <w:t>圖</w:t>
      </w:r>
      <w:r w:rsidR="00E7115B">
        <w:rPr>
          <w:rFonts w:hint="eastAsia"/>
        </w:rPr>
        <w:t>4-</w:t>
      </w:r>
      <w:r w:rsidR="00E7115B">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62D8ACB1" w:rsidR="00601A99" w:rsidRDefault="00601A99" w:rsidP="00601A99">
      <w:pPr>
        <w:pStyle w:val="a9"/>
        <w:spacing w:before="180" w:after="180"/>
      </w:pPr>
      <w:bookmarkStart w:id="116" w:name="_Ref189215350"/>
      <w:bookmarkStart w:id="117"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5</w:t>
      </w:r>
      <w:r>
        <w:fldChar w:fldCharType="end"/>
      </w:r>
      <w:bookmarkEnd w:id="11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7"/>
    </w:p>
    <w:p w14:paraId="6AD0F83E" w14:textId="51A33978"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E7115B">
        <w:t>(</w:t>
      </w:r>
      <w:r w:rsidR="00E7115B">
        <w:rPr>
          <w:noProof/>
        </w:rPr>
        <w:t>4</w:t>
      </w:r>
      <w:r w:rsidR="00E7115B">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E7115B">
        <w:t>(</w:t>
      </w:r>
      <w:r w:rsidR="00E7115B">
        <w:rPr>
          <w:noProof/>
        </w:rPr>
        <w:t>5</w:t>
      </w:r>
      <w:r w:rsidR="00E7115B">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46A21B94"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E7115B">
        <w:rPr>
          <w:rFonts w:hint="eastAsia"/>
        </w:rPr>
        <w:t>圖</w:t>
      </w:r>
      <w:r w:rsidR="00E7115B">
        <w:rPr>
          <w:rFonts w:hint="eastAsia"/>
        </w:rPr>
        <w:t>4-</w:t>
      </w:r>
      <w:r w:rsidR="00E7115B">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E7115B">
        <w:rPr>
          <w:rFonts w:hint="eastAsia"/>
        </w:rPr>
        <w:t>圖</w:t>
      </w:r>
      <w:r w:rsidR="00E7115B">
        <w:rPr>
          <w:rFonts w:hint="eastAsia"/>
        </w:rPr>
        <w:t>4-</w:t>
      </w:r>
      <w:r w:rsidR="00E7115B">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151100E1" w:rsidR="00506C97" w:rsidRDefault="00F36D4C" w:rsidP="00F36D4C">
      <w:pPr>
        <w:pStyle w:val="a9"/>
        <w:spacing w:before="180" w:after="180"/>
        <w:ind w:firstLine="480"/>
      </w:pPr>
      <w:bookmarkStart w:id="118" w:name="_Ref189216248"/>
      <w:bookmarkStart w:id="119"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6</w:t>
      </w:r>
      <w:r>
        <w:fldChar w:fldCharType="end"/>
      </w:r>
      <w:bookmarkEnd w:id="11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9"/>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4CE8F0A4" w14:textId="15C4A513" w:rsidR="00F36D4C" w:rsidRPr="00506C97" w:rsidRDefault="00F36D4C" w:rsidP="00F36D4C">
      <w:pPr>
        <w:pStyle w:val="a9"/>
        <w:spacing w:before="180" w:after="180"/>
      </w:pPr>
      <w:bookmarkStart w:id="120" w:name="_Ref189216250"/>
      <w:bookmarkStart w:id="121"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7</w:t>
      </w:r>
      <w:r>
        <w:fldChar w:fldCharType="end"/>
      </w:r>
      <w:bookmarkEnd w:id="1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1"/>
    </w:p>
    <w:p w14:paraId="4BEA8A89" w14:textId="5778D1A5" w:rsidR="0012177C" w:rsidRDefault="0012177C" w:rsidP="0012177C">
      <w:pPr>
        <w:pStyle w:val="2"/>
      </w:pPr>
      <w:bookmarkStart w:id="122" w:name="_Toc190531584"/>
      <w:bookmarkStart w:id="123" w:name="_Toc190982029"/>
      <w:bookmarkStart w:id="124" w:name="_Toc192324082"/>
      <w:r>
        <w:rPr>
          <w:rFonts w:hint="eastAsia"/>
        </w:rPr>
        <w:lastRenderedPageBreak/>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22"/>
      <w:bookmarkEnd w:id="123"/>
      <w:bookmarkEnd w:id="124"/>
    </w:p>
    <w:p w14:paraId="696FAF3E" w14:textId="59384E2C" w:rsidR="00493B38" w:rsidRPr="00493B38" w:rsidRDefault="00493B38" w:rsidP="00493B38">
      <w:pPr>
        <w:pStyle w:val="3"/>
        <w:spacing w:before="180" w:after="180"/>
      </w:pPr>
      <w:bookmarkStart w:id="125" w:name="_Toc190531585"/>
      <w:bookmarkStart w:id="126" w:name="_Toc190982030"/>
      <w:bookmarkStart w:id="127" w:name="_Toc192324083"/>
      <w:r>
        <w:rPr>
          <w:rFonts w:hint="eastAsia"/>
        </w:rPr>
        <w:t>4.3.1</w:t>
      </w:r>
      <w:r>
        <w:rPr>
          <w:rFonts w:hint="eastAsia"/>
        </w:rPr>
        <w:t>尾部</w:t>
      </w:r>
      <w:r>
        <w:rPr>
          <w:rFonts w:hint="eastAsia"/>
        </w:rPr>
        <w:t>GEV</w:t>
      </w:r>
      <w:r>
        <w:rPr>
          <w:rFonts w:hint="eastAsia"/>
        </w:rPr>
        <w:t>雙點配適法</w:t>
      </w:r>
      <w:bookmarkEnd w:id="125"/>
      <w:bookmarkEnd w:id="126"/>
      <w:bookmarkEnd w:id="127"/>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00624B" w:rsidRPr="00BC0ED0">
        <w:t>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8" w:name="_Toc190531586"/>
      <w:bookmarkStart w:id="129" w:name="_Toc190982031"/>
      <w:bookmarkStart w:id="130" w:name="_Toc192324084"/>
      <w:r>
        <w:rPr>
          <w:rFonts w:hint="eastAsia"/>
        </w:rPr>
        <w:t>4.3.2 GPD</w:t>
      </w:r>
      <w:r>
        <w:rPr>
          <w:rFonts w:hint="eastAsia"/>
        </w:rPr>
        <w:t>分布理論</w:t>
      </w:r>
      <w:bookmarkEnd w:id="128"/>
      <w:bookmarkEnd w:id="129"/>
      <w:bookmarkEnd w:id="130"/>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31" w:name="_Toc190531587"/>
      <w:bookmarkStart w:id="132" w:name="_Toc190982032"/>
      <w:bookmarkStart w:id="133" w:name="_Toc192324085"/>
      <w:r>
        <w:rPr>
          <w:rFonts w:hint="eastAsia"/>
        </w:rPr>
        <w:t>4.3.3</w:t>
      </w:r>
      <w:r>
        <w:rPr>
          <w:rFonts w:hint="eastAsia"/>
        </w:rPr>
        <w:t>尾部</w:t>
      </w:r>
      <w:r>
        <w:rPr>
          <w:rFonts w:hint="eastAsia"/>
        </w:rPr>
        <w:t>GPD</w:t>
      </w:r>
      <w:r>
        <w:rPr>
          <w:rFonts w:hint="eastAsia"/>
        </w:rPr>
        <w:t>雙點配適法</w:t>
      </w:r>
      <w:bookmarkEnd w:id="131"/>
      <w:bookmarkEnd w:id="132"/>
      <w:bookmarkEnd w:id="133"/>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lastRenderedPageBreak/>
        <w:t>左尾參數最小化目標函數：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62B1363D"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使用雙點配適法配適完成之實證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E7115B">
        <w:rPr>
          <w:rFonts w:hint="eastAsia"/>
        </w:rPr>
        <w:t>圖</w:t>
      </w:r>
      <w:r w:rsidR="00E7115B">
        <w:rPr>
          <w:rFonts w:hint="eastAsia"/>
        </w:rPr>
        <w:t>4-</w:t>
      </w:r>
      <w:r w:rsidR="00E7115B">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E7115B">
        <w:rPr>
          <w:rFonts w:hint="eastAsia"/>
        </w:rPr>
        <w:t>圖</w:t>
      </w:r>
      <w:r w:rsidR="00E7115B">
        <w:rPr>
          <w:rFonts w:hint="eastAsia"/>
        </w:rPr>
        <w:t>4-</w:t>
      </w:r>
      <w:r w:rsidR="00E7115B">
        <w:rPr>
          <w:noProof/>
        </w:rPr>
        <w:t>9</w:t>
      </w:r>
      <w:r w:rsidR="009F2DA3">
        <w:fldChar w:fldCharType="end"/>
      </w:r>
      <w:r w:rsidR="00D11929">
        <w:rPr>
          <w:rFonts w:hint="eastAsia"/>
        </w:rPr>
        <w:t>。</w:t>
      </w:r>
    </w:p>
    <w:p w14:paraId="03C62FA3" w14:textId="527A1B02" w:rsidR="00D11929" w:rsidRDefault="00B86B62" w:rsidP="00D11929">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BA53D05" w14:textId="1B438F0B" w:rsidR="00D11929" w:rsidRDefault="00D11929" w:rsidP="00D11929">
      <w:pPr>
        <w:pStyle w:val="a9"/>
        <w:spacing w:before="180" w:after="180"/>
      </w:pPr>
      <w:bookmarkStart w:id="134" w:name="_Ref192207414"/>
      <w:bookmarkStart w:id="135"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8</w:t>
      </w:r>
      <w:r>
        <w:fldChar w:fldCharType="end"/>
      </w:r>
      <w:bookmarkEnd w:id="13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與</w:t>
      </w:r>
      <w:r>
        <w:rPr>
          <w:rFonts w:hint="eastAsia"/>
        </w:rPr>
        <w:t>GPD</w:t>
      </w:r>
      <w:r>
        <w:rPr>
          <w:rFonts w:hint="eastAsia"/>
        </w:rPr>
        <w:t>尾部配適（雙點配適法）</w:t>
      </w:r>
      <w:bookmarkEnd w:id="135"/>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188CDA8E" w14:textId="23A69100" w:rsidR="00D11929" w:rsidRPr="005638DE" w:rsidRDefault="00D11929" w:rsidP="00D11929">
      <w:pPr>
        <w:pStyle w:val="a9"/>
        <w:spacing w:before="180" w:after="180"/>
      </w:pPr>
      <w:bookmarkStart w:id="136" w:name="_Ref192207416"/>
      <w:bookmarkStart w:id="137"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9</w:t>
      </w:r>
      <w:r>
        <w:fldChar w:fldCharType="end"/>
      </w:r>
      <w:bookmarkEnd w:id="13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r>
        <w:rPr>
          <w:rFonts w:hint="eastAsia"/>
        </w:rPr>
        <w:t>（雙點配適法）</w:t>
      </w:r>
      <w:bookmarkEnd w:id="137"/>
    </w:p>
    <w:p w14:paraId="382C585A" w14:textId="0A130EEE" w:rsidR="00493B38" w:rsidRDefault="00493B38" w:rsidP="00493B38">
      <w:pPr>
        <w:pStyle w:val="3"/>
        <w:spacing w:before="180" w:after="180"/>
      </w:pPr>
      <w:bookmarkStart w:id="138" w:name="_Toc190531588"/>
      <w:bookmarkStart w:id="139" w:name="_Toc190982033"/>
      <w:bookmarkStart w:id="140" w:name="_Toc192324086"/>
      <w:r>
        <w:rPr>
          <w:rFonts w:hint="eastAsia"/>
        </w:rPr>
        <w:t>4.3.4</w:t>
      </w:r>
      <w:r>
        <w:rPr>
          <w:rFonts w:hint="eastAsia"/>
        </w:rPr>
        <w:t>尾部</w:t>
      </w:r>
      <w:r>
        <w:rPr>
          <w:rFonts w:hint="eastAsia"/>
        </w:rPr>
        <w:t>GPD</w:t>
      </w:r>
      <w:r>
        <w:rPr>
          <w:rFonts w:hint="eastAsia"/>
        </w:rPr>
        <w:t>單點</w:t>
      </w:r>
      <w:r w:rsidR="003C12EB">
        <w:rPr>
          <w:rFonts w:hint="eastAsia"/>
        </w:rPr>
        <w:t>加斜率</w:t>
      </w:r>
      <w:r>
        <w:rPr>
          <w:rFonts w:hint="eastAsia"/>
        </w:rPr>
        <w:t>配適法</w:t>
      </w:r>
      <w:bookmarkEnd w:id="138"/>
      <w:bookmarkEnd w:id="139"/>
      <w:bookmarkEnd w:id="140"/>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加斜率</w:t>
      </w:r>
      <w:r w:rsidRPr="008317BE">
        <w:t>配適法</w:t>
      </w:r>
      <w:r w:rsidR="003C12EB">
        <w:rPr>
          <w:rFonts w:hint="eastAsia"/>
        </w:rPr>
        <w:t>（以下簡稱為「單點配適法」）</w:t>
      </w:r>
      <w:r w:rsidRPr="008317BE">
        <w:t>，</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104897F4"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E7115B">
        <w:rPr>
          <w:rFonts w:hint="eastAsia"/>
        </w:rPr>
        <w:t>圖</w:t>
      </w:r>
      <w:r w:rsidR="00E7115B">
        <w:rPr>
          <w:rFonts w:hint="eastAsia"/>
        </w:rPr>
        <w:t>4-</w:t>
      </w:r>
      <w:r w:rsidR="00E7115B">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E7115B">
        <w:rPr>
          <w:rFonts w:hint="eastAsia"/>
        </w:rPr>
        <w:t>圖</w:t>
      </w:r>
      <w:r w:rsidR="00E7115B">
        <w:rPr>
          <w:rFonts w:hint="eastAsia"/>
        </w:rPr>
        <w:t>4-</w:t>
      </w:r>
      <w:r w:rsidR="00E7115B">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400040" cy="3128010"/>
                    </a:xfrm>
                    <a:prstGeom prst="rect">
                      <a:avLst/>
                    </a:prstGeom>
                  </pic:spPr>
                </pic:pic>
              </a:graphicData>
            </a:graphic>
          </wp:inline>
        </w:drawing>
      </w:r>
    </w:p>
    <w:p w14:paraId="3D53A646" w14:textId="14D5CF03" w:rsidR="00A70ECC" w:rsidRDefault="005638DE" w:rsidP="00D850AA">
      <w:pPr>
        <w:pStyle w:val="a9"/>
        <w:spacing w:before="180" w:after="180"/>
        <w:ind w:firstLine="480"/>
      </w:pPr>
      <w:bookmarkStart w:id="141" w:name="_Ref189385976"/>
      <w:bookmarkStart w:id="142" w:name="_Ref189385962"/>
      <w:bookmarkStart w:id="143"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10</w:t>
      </w:r>
      <w:r>
        <w:fldChar w:fldCharType="end"/>
      </w:r>
      <w:bookmarkEnd w:id="14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42"/>
      <w:r w:rsidR="00D11929">
        <w:rPr>
          <w:rFonts w:hint="eastAsia"/>
        </w:rPr>
        <w:t>（單點配適法）</w:t>
      </w:r>
      <w:bookmarkEnd w:id="143"/>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9C809D9" w14:textId="7D8EAFAC" w:rsidR="00A70ECC" w:rsidRDefault="00D850AA" w:rsidP="00D850AA">
      <w:pPr>
        <w:pStyle w:val="a9"/>
        <w:spacing w:before="180" w:after="180"/>
        <w:ind w:firstLine="480"/>
      </w:pPr>
      <w:bookmarkStart w:id="144" w:name="_Ref189385978"/>
      <w:bookmarkStart w:id="145" w:name="_Ref189385964"/>
      <w:bookmarkStart w:id="146"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7115B">
        <w:rPr>
          <w:noProof/>
        </w:rPr>
        <w:t>11</w:t>
      </w:r>
      <w:r>
        <w:fldChar w:fldCharType="end"/>
      </w:r>
      <w:bookmarkEnd w:id="14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145"/>
      <w:r w:rsidR="00D11929">
        <w:rPr>
          <w:rFonts w:hint="eastAsia"/>
        </w:rPr>
        <w:t>（單點配適法）</w:t>
      </w:r>
      <w:bookmarkEnd w:id="146"/>
    </w:p>
    <w:p w14:paraId="6A508266" w14:textId="10BCC826" w:rsidR="00E7699D" w:rsidRDefault="00E7699D" w:rsidP="00D85A59">
      <w:pPr>
        <w:pStyle w:val="2"/>
      </w:pPr>
      <w:bookmarkStart w:id="147" w:name="_Toc190531589"/>
      <w:bookmarkStart w:id="148" w:name="_Toc190982034"/>
      <w:bookmarkStart w:id="149" w:name="_Toc192324087"/>
      <w:r>
        <w:rPr>
          <w:rFonts w:hint="eastAsia"/>
        </w:rPr>
        <w:t>4.4</w:t>
      </w:r>
      <w:r>
        <w:rPr>
          <w:rFonts w:hint="eastAsia"/>
        </w:rPr>
        <w:t>風險中立機率密度</w:t>
      </w:r>
      <w:r w:rsidR="00110E7A">
        <w:rPr>
          <w:rFonts w:hint="eastAsia"/>
        </w:rPr>
        <w:t>函數</w:t>
      </w:r>
      <w:r>
        <w:rPr>
          <w:rFonts w:hint="eastAsia"/>
        </w:rPr>
        <w:t>之統計特徵</w:t>
      </w:r>
      <w:bookmarkEnd w:id="147"/>
      <w:bookmarkEnd w:id="148"/>
      <w:bookmarkEnd w:id="149"/>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3"/>
        <w:spacing w:before="180" w:after="180"/>
      </w:pPr>
      <w:bookmarkStart w:id="150" w:name="_Toc190531590"/>
      <w:bookmarkStart w:id="151" w:name="_Toc190982035"/>
      <w:bookmarkStart w:id="152" w:name="_Toc192324088"/>
      <w:r>
        <w:rPr>
          <w:rFonts w:hint="eastAsia"/>
        </w:rPr>
        <w:lastRenderedPageBreak/>
        <w:t>4.4.1</w:t>
      </w:r>
      <w:r>
        <w:rPr>
          <w:rFonts w:hint="eastAsia"/>
        </w:rPr>
        <w:t>動差之定義與意涵</w:t>
      </w:r>
      <w:bookmarkEnd w:id="150"/>
      <w:bookmarkEnd w:id="151"/>
      <w:bookmarkEnd w:id="152"/>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53" w:name="_Toc190531591"/>
      <w:bookmarkStart w:id="154" w:name="_Toc190982036"/>
      <w:bookmarkStart w:id="155" w:name="_Toc192324089"/>
      <w:r>
        <w:rPr>
          <w:rFonts w:hint="eastAsia"/>
        </w:rPr>
        <w:t>4.4.2</w:t>
      </w:r>
      <w:r>
        <w:rPr>
          <w:rFonts w:hint="eastAsia"/>
        </w:rPr>
        <w:t>風險中立機率密度函數之統計特徵量</w:t>
      </w:r>
      <w:bookmarkEnd w:id="153"/>
      <w:bookmarkEnd w:id="154"/>
      <w:bookmarkEnd w:id="155"/>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Skiadopoulos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為第一階原始動差</w:t>
      </w:r>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標準差為二階中央動差之平方根，衡量價格分散程度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r w:rsidRPr="0090616F">
        <w:t>超額峰態</w:t>
      </w:r>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r w:rsidR="003075F4">
        <w:t>超額峰態</w:t>
      </w:r>
      <w:r w:rsidRPr="0090616F">
        <w:t>為評估市場極端風險的重要指標。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56" w:name="_Toc190531592"/>
      <w:bookmarkStart w:id="157" w:name="_Toc190982037"/>
      <w:bookmarkStart w:id="158" w:name="_Toc192324090"/>
      <w:r>
        <w:rPr>
          <w:rFonts w:hint="eastAsia"/>
        </w:rPr>
        <w:t>4.4.3</w:t>
      </w:r>
      <w:r>
        <w:rPr>
          <w:rFonts w:hint="eastAsia"/>
        </w:rPr>
        <w:t>統計特徵之市場意涵</w:t>
      </w:r>
      <w:bookmarkEnd w:id="156"/>
      <w:bookmarkEnd w:id="157"/>
      <w:bookmarkEnd w:id="158"/>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DD50716" w:rsidR="00FC5EAE" w:rsidRDefault="00D85A59" w:rsidP="00D85A59">
      <w:pPr>
        <w:pStyle w:val="2"/>
      </w:pPr>
      <w:bookmarkStart w:id="159" w:name="_Toc190531593"/>
      <w:bookmarkStart w:id="160" w:name="_Toc190982038"/>
      <w:bookmarkStart w:id="161" w:name="_Toc192324091"/>
      <w:r>
        <w:rPr>
          <w:rFonts w:hint="eastAsia"/>
        </w:rPr>
        <w:t>4.</w:t>
      </w:r>
      <w:r w:rsidR="0090616F">
        <w:rPr>
          <w:rFonts w:hint="eastAsia"/>
        </w:rPr>
        <w:t>5</w:t>
      </w:r>
      <w:r>
        <w:rPr>
          <w:rFonts w:hint="eastAsia"/>
        </w:rPr>
        <w:t>實證分析</w:t>
      </w:r>
      <w:bookmarkEnd w:id="159"/>
      <w:bookmarkEnd w:id="160"/>
      <w:bookmarkEnd w:id="161"/>
    </w:p>
    <w:p w14:paraId="009168F2" w14:textId="2E3F0CD7" w:rsidR="00370532" w:rsidRPr="00370532" w:rsidRDefault="00370532" w:rsidP="00370532">
      <w:pPr>
        <w:pStyle w:val="3"/>
        <w:spacing w:before="180" w:after="180"/>
      </w:pPr>
      <w:bookmarkStart w:id="162" w:name="_Toc190531594"/>
      <w:bookmarkStart w:id="163" w:name="_Toc190982039"/>
      <w:bookmarkStart w:id="164" w:name="_Toc192324092"/>
      <w:r>
        <w:rPr>
          <w:rFonts w:hint="eastAsia"/>
        </w:rPr>
        <w:t>4.5.1</w:t>
      </w:r>
      <w:r w:rsidR="0071525D">
        <w:rPr>
          <w:rFonts w:hint="eastAsia"/>
        </w:rPr>
        <w:t>迴歸模型</w:t>
      </w:r>
      <w:r>
        <w:rPr>
          <w:rFonts w:hint="eastAsia"/>
        </w:rPr>
        <w:t>變數選擇與理論基礎</w:t>
      </w:r>
      <w:bookmarkEnd w:id="162"/>
      <w:bookmarkEnd w:id="163"/>
      <w:bookmarkEnd w:id="164"/>
    </w:p>
    <w:p w14:paraId="5C5AA112" w14:textId="55A09E85" w:rsid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w:t>
      </w:r>
      <w:r w:rsidRPr="00E7699D">
        <w:lastRenderedPageBreak/>
        <w:t>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3075F4">
        <w:t>超額峰態</w:t>
      </w:r>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的統計特徵值，特別是偏態與峰度，能有效預測資產報酬率的橫斷面變化。實證結果顯示，這些特徵值不僅反映了市場參與者的風險偏好，更蘊含了重要的定價資訊。此外，</w:t>
      </w:r>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超額峰態</w:t>
      </w:r>
      <w:r w:rsidRPr="00CC13BB">
        <w:t>對於預測極端市場風險特別有效，這一發現在加密貨幣等高波動性市場中尤為重要。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r w:rsidRPr="00BE0246">
        <w:t>Akyildirim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65" w:name="_Toc190531595"/>
      <w:bookmarkStart w:id="166" w:name="_Toc190982040"/>
      <w:bookmarkStart w:id="167" w:name="_Toc192324093"/>
      <w:r>
        <w:rPr>
          <w:rFonts w:hint="eastAsia"/>
        </w:rPr>
        <w:t>4.5.2</w:t>
      </w:r>
      <w:r>
        <w:rPr>
          <w:rFonts w:hint="eastAsia"/>
        </w:rPr>
        <w:t>迴歸模型設計</w:t>
      </w:r>
      <w:bookmarkEnd w:id="165"/>
      <w:bookmarkEnd w:id="166"/>
      <w:bookmarkEnd w:id="167"/>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將依序使用以下變數替換，進行單變數迴歸分析：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3075F4">
        <w:t>超額峰態</w:t>
      </w:r>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二變數迴歸模型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將依序使用以下變數替換，與偏態搭配進行雙變數迴歸分析：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r w:rsidR="003075F4">
        <w:t>超額峰態</w:t>
      </w:r>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r>
        <w:rPr>
          <w:rFonts w:hint="eastAsia"/>
        </w:rPr>
        <w:t>三變數迴歸模型</w:t>
      </w:r>
    </w:p>
    <w:p w14:paraId="60FAB04D" w14:textId="12D0048C" w:rsidR="00850A16" w:rsidRPr="000234B8" w:rsidRDefault="00850A16" w:rsidP="00850A16">
      <w:pPr>
        <w:spacing w:before="180" w:after="180"/>
        <w:ind w:firstLine="480"/>
      </w:pPr>
      <w:r w:rsidRPr="00850A16">
        <w:t>三</w:t>
      </w:r>
      <w:r>
        <w:rPr>
          <w:rFonts w:hint="eastAsia"/>
        </w:rPr>
        <w:t>變數</w:t>
      </w:r>
      <w:r w:rsidRPr="00850A16">
        <w:t>模型進</w:t>
      </w:r>
      <w:r w:rsidRPr="000234B8">
        <w:t>一步納入</w:t>
      </w:r>
      <w:r w:rsidR="003075F4">
        <w:t>超額峰態</w:t>
      </w:r>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r w:rsidR="003075F4">
        <w:rPr>
          <w:rFonts w:hint="eastAsia"/>
        </w:rPr>
        <w:t>超額峰態</w:t>
      </w:r>
      <w:r w:rsidR="000234B8">
        <w:rPr>
          <w:rFonts w:hint="eastAsia"/>
        </w:rPr>
        <w:t>搭配</w:t>
      </w:r>
      <w:r w:rsidR="000234B8" w:rsidRPr="000234B8">
        <w:rPr>
          <w:rFonts w:hint="eastAsia"/>
        </w:rPr>
        <w:t>進行三變數迴歸分析：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四變數迴歸模型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超額峰態</w:t>
      </w:r>
      <w:r w:rsidR="000234B8">
        <w:rPr>
          <w:rFonts w:hint="eastAsia"/>
        </w:rPr>
        <w:t>及標準差搭配</w:t>
      </w:r>
      <w:r w:rsidR="000234B8" w:rsidRPr="000234B8">
        <w:rPr>
          <w:rFonts w:hint="eastAsia"/>
        </w:rPr>
        <w:t>進行四變數迴歸分析：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68" w:name="_Toc190531596"/>
      <w:bookmarkStart w:id="169" w:name="_Toc190982041"/>
      <w:bookmarkStart w:id="170" w:name="_Toc192324094"/>
      <w:r>
        <w:rPr>
          <w:rFonts w:hint="eastAsia"/>
        </w:rPr>
        <w:t>4.5.3</w:t>
      </w:r>
      <w:r w:rsidR="0071525D">
        <w:rPr>
          <w:rFonts w:hint="eastAsia"/>
        </w:rPr>
        <w:t>新型</w:t>
      </w:r>
      <w:r>
        <w:rPr>
          <w:rFonts w:hint="eastAsia"/>
        </w:rPr>
        <w:t>方法之</w:t>
      </w:r>
      <w:bookmarkEnd w:id="168"/>
      <w:bookmarkEnd w:id="169"/>
      <w:r w:rsidR="0071525D">
        <w:rPr>
          <w:rFonts w:hint="eastAsia"/>
        </w:rPr>
        <w:t>有效性驗證</w:t>
      </w:r>
      <w:bookmarkEnd w:id="170"/>
    </w:p>
    <w:p w14:paraId="5D8AD917" w14:textId="3FC52654" w:rsidR="002E318B" w:rsidRDefault="002E318B" w:rsidP="002E318B">
      <w:pPr>
        <w:spacing w:before="180" w:after="180"/>
        <w:ind w:firstLine="480"/>
      </w:pPr>
      <w:r w:rsidRPr="002E318B">
        <w:t>本研究所提出之單點配適法相較於既有文獻採用之雙點配適法，在實務應用上具有計算效率之優勢。為客觀驗證此方法之有效性，本研究採用三項量化指標進行評估：均方誤差（</w:t>
      </w:r>
      <w:r w:rsidRPr="002E318B">
        <w:t>Mean Squared Error, MSE</w:t>
      </w:r>
      <w:r w:rsidRPr="002E318B">
        <w:t>）、樣本外</w:t>
      </w:r>
      <w:r w:rsidRPr="002E318B">
        <w:t>R</w:t>
      </w:r>
      <w:r w:rsidRPr="002E318B">
        <w:t>平方（</w:t>
      </w:r>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r>
        <w:rPr>
          <w:rFonts w:hint="eastAsia"/>
        </w:rPr>
        <w:t>均方誤差（</w:t>
      </w:r>
      <w:r>
        <w:rPr>
          <w:rFonts w:hint="eastAsia"/>
        </w:rPr>
        <w:t>MSE</w:t>
      </w:r>
      <w:r>
        <w:rPr>
          <w:rFonts w:hint="eastAsia"/>
        </w:rPr>
        <w:t>）計算</w:t>
      </w:r>
    </w:p>
    <w:p w14:paraId="759A51FD" w14:textId="47659DE0" w:rsidR="002E318B" w:rsidRDefault="002E318B" w:rsidP="00B964A0">
      <w:pPr>
        <w:spacing w:before="180" w:after="180"/>
        <w:ind w:firstLine="480"/>
      </w:pPr>
      <w:r w:rsidRPr="002E318B">
        <w:rPr>
          <w:rFonts w:hint="eastAsia"/>
        </w:rPr>
        <w:t>均方誤差為評估預測模型準確度之常用指標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為實際觀測值（即比特幣實際報酬率），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，並逐步向前推進進行預測。透過比較單點配適法與雙點配適法之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日之風險中立機率密度，並分別採用單點配適法與雙點配適法以廣義柏拉圖分配</w:t>
      </w:r>
      <w:r>
        <w:rPr>
          <w:rFonts w:hint="eastAsia"/>
        </w:rPr>
        <w:t>（</w:t>
      </w:r>
      <w:r w:rsidRPr="00586A01">
        <w:rPr>
          <w:rFonts w:hint="eastAsia"/>
        </w:rPr>
        <w:t>GPD</w:t>
      </w:r>
      <w:r>
        <w:rPr>
          <w:rFonts w:hint="eastAsia"/>
        </w:rPr>
        <w:t>）</w:t>
      </w:r>
      <w:r w:rsidRPr="00586A01">
        <w:rPr>
          <w:rFonts w:hint="eastAsia"/>
        </w:rPr>
        <w:t>配適尾部。為確保結果之可靠性與穩定性，本研究對每種方法進行十次重複運算，記錄其執行時間，並計算平均值，藉此全面評估兩種方法在實務應用中之運算效率差異。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71" w:name="_Toc182815181"/>
      <w:bookmarkStart w:id="172" w:name="_Toc190531597"/>
      <w:bookmarkStart w:id="173" w:name="_Toc190982042"/>
      <w:bookmarkStart w:id="174" w:name="_Toc192324095"/>
      <w:r>
        <w:rPr>
          <w:rFonts w:hint="eastAsia"/>
        </w:rPr>
        <w:lastRenderedPageBreak/>
        <w:t>第五章、</w:t>
      </w:r>
      <w:bookmarkEnd w:id="171"/>
      <w:r w:rsidR="00404225">
        <w:rPr>
          <w:rFonts w:hint="eastAsia"/>
        </w:rPr>
        <w:t>實證結果分析</w:t>
      </w:r>
      <w:bookmarkEnd w:id="172"/>
      <w:bookmarkEnd w:id="173"/>
      <w:bookmarkEnd w:id="174"/>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75" w:name="_Toc190531598"/>
      <w:bookmarkStart w:id="176" w:name="_Toc190982043"/>
      <w:bookmarkStart w:id="177" w:name="_Toc192324096"/>
      <w:r>
        <w:rPr>
          <w:rFonts w:hint="eastAsia"/>
        </w:rPr>
        <w:t>5.1</w:t>
      </w:r>
      <w:r>
        <w:rPr>
          <w:rFonts w:hint="eastAsia"/>
        </w:rPr>
        <w:t>實證樣本擬合效果分析</w:t>
      </w:r>
      <w:bookmarkEnd w:id="175"/>
      <w:bookmarkEnd w:id="176"/>
      <w:bookmarkEnd w:id="177"/>
    </w:p>
    <w:p w14:paraId="47FC51A0" w14:textId="716C6AE8" w:rsidR="008771A3" w:rsidRDefault="008771A3" w:rsidP="008771A3">
      <w:pPr>
        <w:pStyle w:val="3"/>
        <w:spacing w:before="180" w:after="180"/>
      </w:pPr>
      <w:bookmarkStart w:id="178" w:name="_Toc190531599"/>
      <w:bookmarkStart w:id="179" w:name="_Toc190982044"/>
      <w:bookmarkStart w:id="180" w:name="_Toc192324097"/>
      <w:r>
        <w:rPr>
          <w:rFonts w:hint="eastAsia"/>
        </w:rPr>
        <w:t>5.1.1</w:t>
      </w:r>
      <w:r>
        <w:rPr>
          <w:rFonts w:hint="eastAsia"/>
        </w:rPr>
        <w:t>單點配適法與雙點配適法之比較</w:t>
      </w:r>
      <w:bookmarkEnd w:id="178"/>
      <w:bookmarkEnd w:id="179"/>
      <w:bookmarkEnd w:id="180"/>
    </w:p>
    <w:p w14:paraId="7A753335" w14:textId="0C42BFC3"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5400040" cy="2804160"/>
                    </a:xfrm>
                    <a:prstGeom prst="rect">
                      <a:avLst/>
                    </a:prstGeom>
                  </pic:spPr>
                </pic:pic>
              </a:graphicData>
            </a:graphic>
          </wp:inline>
        </w:drawing>
      </w:r>
    </w:p>
    <w:p w14:paraId="6BC7CC57" w14:textId="7117F634" w:rsidR="008771A3" w:rsidRDefault="008771A3" w:rsidP="002406B3">
      <w:pPr>
        <w:pStyle w:val="a9"/>
        <w:spacing w:before="180" w:after="180"/>
      </w:pPr>
      <w:bookmarkStart w:id="181"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E7115B">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81"/>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2F2B75C0" w:rsidR="006A54DC" w:rsidRPr="006A54DC" w:rsidRDefault="006A54DC" w:rsidP="006A54DC">
      <w:pPr>
        <w:pStyle w:val="a9"/>
        <w:spacing w:before="180" w:after="180"/>
      </w:pPr>
      <w:bookmarkStart w:id="182"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E7115B">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82"/>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3"/>
        <w:spacing w:before="180" w:after="180"/>
      </w:pPr>
      <w:bookmarkStart w:id="183" w:name="_Toc190531600"/>
      <w:bookmarkStart w:id="184" w:name="_Toc190982045"/>
      <w:bookmarkStart w:id="185" w:name="_Toc192324098"/>
      <w:r>
        <w:rPr>
          <w:rFonts w:hint="eastAsia"/>
        </w:rPr>
        <w:t>5.1.2</w:t>
      </w:r>
      <w:r>
        <w:rPr>
          <w:rFonts w:hint="eastAsia"/>
        </w:rPr>
        <w:t>計算效率之實證比較</w:t>
      </w:r>
      <w:bookmarkEnd w:id="183"/>
      <w:bookmarkEnd w:id="184"/>
      <w:bookmarkEnd w:id="185"/>
    </w:p>
    <w:p w14:paraId="1523A34C" w14:textId="27B4BB9A"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E7115B">
        <w:rPr>
          <w:rFonts w:hint="eastAsia"/>
        </w:rPr>
        <w:t>表</w:t>
      </w:r>
      <w:r w:rsidR="00E7115B">
        <w:rPr>
          <w:rFonts w:hint="eastAsia"/>
        </w:rPr>
        <w:t>5-</w:t>
      </w:r>
      <w:r w:rsidR="00E7115B">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6EC096F7" w:rsidR="002406B3" w:rsidRPr="002406B3" w:rsidRDefault="002406B3" w:rsidP="002406B3">
      <w:pPr>
        <w:pStyle w:val="a9"/>
        <w:keepNext/>
        <w:spacing w:before="180" w:after="180"/>
      </w:pPr>
      <w:bookmarkStart w:id="186" w:name="_Ref190094375"/>
      <w:bookmarkStart w:id="187"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7115B">
        <w:rPr>
          <w:noProof/>
        </w:rPr>
        <w:t>1</w:t>
      </w:r>
      <w:r>
        <w:fldChar w:fldCharType="end"/>
      </w:r>
      <w:bookmarkEnd w:id="186"/>
      <w:r>
        <w:rPr>
          <w:rFonts w:hint="eastAsia"/>
        </w:rPr>
        <w:t>：比特幣選擇權</w:t>
      </w:r>
      <w:r>
        <w:rPr>
          <w:rFonts w:hint="eastAsia"/>
        </w:rPr>
        <w:t>GPD</w:t>
      </w:r>
      <w:r>
        <w:rPr>
          <w:rFonts w:hint="eastAsia"/>
        </w:rPr>
        <w:t>尾部配適計算效率比較</w:t>
      </w:r>
      <w:r>
        <w:br/>
      </w:r>
      <w:r>
        <w:rPr>
          <w:rFonts w:hint="eastAsia"/>
        </w:rPr>
        <w:t>（左側：單點配適法；右側：雙點配適法）</w:t>
      </w:r>
      <w:bookmarkEnd w:id="187"/>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8"/>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8"/>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8"/>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8"/>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8"/>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8"/>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8"/>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8"/>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8"/>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8"/>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8"/>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8"/>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8"/>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8"/>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8"/>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8"/>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8"/>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8"/>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8"/>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8"/>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8"/>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8"/>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8"/>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8"/>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8"/>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8"/>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8"/>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8" w:name="_Toc190531601"/>
      <w:bookmarkStart w:id="189" w:name="_Toc190982046"/>
      <w:bookmarkStart w:id="190"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bookmarkEnd w:id="188"/>
      <w:bookmarkEnd w:id="189"/>
      <w:bookmarkEnd w:id="190"/>
    </w:p>
    <w:p w14:paraId="098B8146" w14:textId="1C04F3F0" w:rsidR="00F008C1" w:rsidRDefault="00F008C1" w:rsidP="00F008C1">
      <w:pPr>
        <w:pStyle w:val="3"/>
        <w:spacing w:before="180" w:after="180"/>
      </w:pPr>
      <w:bookmarkStart w:id="191" w:name="_Toc190531602"/>
      <w:bookmarkStart w:id="192" w:name="_Toc190982047"/>
      <w:bookmarkStart w:id="193"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91"/>
      <w:bookmarkEnd w:id="192"/>
      <w:bookmarkEnd w:id="193"/>
    </w:p>
    <w:p w14:paraId="58A40779" w14:textId="6314C7ED"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E7115B">
        <w:rPr>
          <w:rFonts w:hint="eastAsia"/>
        </w:rPr>
        <w:t>表</w:t>
      </w:r>
      <w:r w:rsidR="00E7115B">
        <w:rPr>
          <w:rFonts w:hint="eastAsia"/>
        </w:rPr>
        <w:t>5-</w:t>
      </w:r>
      <w:r w:rsidR="00E7115B">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3075F4">
        <w:rPr>
          <w:rFonts w:hint="eastAsia"/>
        </w:rPr>
        <w:t>Excess 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4D122D9A" w:rsidR="008F5CEB" w:rsidRDefault="008F5CEB" w:rsidP="008F5CEB">
      <w:pPr>
        <w:pStyle w:val="a9"/>
        <w:keepNext/>
        <w:spacing w:before="180" w:after="180"/>
      </w:pPr>
      <w:bookmarkStart w:id="194" w:name="_Ref189445655"/>
      <w:bookmarkStart w:id="195" w:name="_Ref189445652"/>
      <w:bookmarkStart w:id="196"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2</w:t>
      </w:r>
      <w:r w:rsidR="002406B3">
        <w:fldChar w:fldCharType="end"/>
      </w:r>
      <w:bookmarkEnd w:id="194"/>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195"/>
      <w:r w:rsidR="00DB54B6">
        <w:rPr>
          <w:rFonts w:hint="eastAsia"/>
        </w:rPr>
        <w:t>（單點配適法）</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FCBEB2C" w14:textId="10932412"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E7115B">
        <w:rPr>
          <w:rFonts w:hint="eastAsia"/>
        </w:rPr>
        <w:t>表</w:t>
      </w:r>
      <w:r w:rsidR="00E7115B">
        <w:rPr>
          <w:rFonts w:hint="eastAsia"/>
        </w:rPr>
        <w:t>5-</w:t>
      </w:r>
      <w:r w:rsidR="00E7115B">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3C7B330A" w:rsidR="00987DA1" w:rsidRDefault="00987DA1" w:rsidP="00987DA1">
      <w:pPr>
        <w:pStyle w:val="a9"/>
        <w:keepNext/>
        <w:spacing w:before="180" w:after="180"/>
      </w:pPr>
      <w:bookmarkStart w:id="197" w:name="_Ref189446514"/>
      <w:bookmarkStart w:id="198"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3</w:t>
      </w:r>
      <w:r w:rsidR="002406B3">
        <w:fldChar w:fldCharType="end"/>
      </w:r>
      <w:bookmarkEnd w:id="197"/>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bookmarkEnd w:id="1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61D5438A" w:rsidR="00BB145A" w:rsidRDefault="000E3543" w:rsidP="00BB145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37D80302" w:rsidR="00B856BD" w:rsidRPr="00786B72" w:rsidRDefault="00B856BD" w:rsidP="00BB145A">
      <w:pPr>
        <w:spacing w:before="180" w:after="180"/>
        <w:ind w:firstLine="480"/>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E7115B">
        <w:rPr>
          <w:rFonts w:hint="eastAsia"/>
        </w:rPr>
        <w:t>表</w:t>
      </w:r>
      <w:r w:rsidR="00E7115B">
        <w:rPr>
          <w:rFonts w:hint="eastAsia"/>
        </w:rPr>
        <w:t>5-</w:t>
      </w:r>
      <w:r w:rsidR="00E7115B">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E7115B">
        <w:rPr>
          <w:rFonts w:hint="eastAsia"/>
        </w:rPr>
        <w:t>附表</w:t>
      </w:r>
      <w:r w:rsidR="00E7115B">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E7115B">
        <w:rPr>
          <w:rFonts w:hint="eastAsia"/>
        </w:rPr>
        <w:t>附表</w:t>
      </w:r>
      <w:r w:rsidR="00E7115B">
        <w:rPr>
          <w:noProof/>
        </w:rPr>
        <w:t>2</w:t>
      </w:r>
      <w:r w:rsidR="00BB145A">
        <w:fldChar w:fldCharType="end"/>
      </w:r>
      <w:r w:rsidR="00786B72">
        <w:rPr>
          <w:rFonts w:hint="eastAsia"/>
        </w:rPr>
        <w:t>。</w:t>
      </w:r>
    </w:p>
    <w:p w14:paraId="5B9DD788" w14:textId="7EED196B" w:rsidR="00B856BD" w:rsidRDefault="00B856BD" w:rsidP="00B856BD">
      <w:pPr>
        <w:pStyle w:val="a9"/>
        <w:keepNext/>
        <w:spacing w:before="180" w:after="180"/>
      </w:pPr>
      <w:bookmarkStart w:id="199" w:name="_Ref189447504"/>
      <w:bookmarkStart w:id="200"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4</w:t>
      </w:r>
      <w:r w:rsidR="002406B3">
        <w:fldChar w:fldCharType="end"/>
      </w:r>
      <w:bookmarkEnd w:id="199"/>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7777777" w:rsidR="00B856BD" w:rsidRDefault="00B856BD" w:rsidP="00B856BD">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52C26336"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E7115B">
        <w:rPr>
          <w:rFonts w:hint="eastAsia"/>
        </w:rPr>
        <w:t>表</w:t>
      </w:r>
      <w:r w:rsidR="00E7115B">
        <w:rPr>
          <w:rFonts w:hint="eastAsia"/>
        </w:rPr>
        <w:t>5-</w:t>
      </w:r>
      <w:r w:rsidR="00E7115B">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E7115B">
        <w:rPr>
          <w:rFonts w:hint="eastAsia"/>
        </w:rPr>
        <w:t>附表</w:t>
      </w:r>
      <w:r w:rsidR="00E7115B">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126CBF11" w:rsidR="00DB54B6" w:rsidRDefault="00DB54B6" w:rsidP="00DB54B6">
      <w:pPr>
        <w:pStyle w:val="a9"/>
        <w:keepNext/>
        <w:spacing w:before="180" w:after="180"/>
      </w:pPr>
      <w:bookmarkStart w:id="201" w:name="_Ref189449620"/>
      <w:bookmarkStart w:id="202"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5</w:t>
      </w:r>
      <w:r w:rsidR="002406B3">
        <w:fldChar w:fldCharType="end"/>
      </w:r>
      <w:bookmarkEnd w:id="201"/>
      <w:r>
        <w:rPr>
          <w:rFonts w:hint="eastAsia"/>
        </w:rPr>
        <w:t>：距到期日</w:t>
      </w:r>
      <w:r>
        <w:rPr>
          <w:rFonts w:hint="eastAsia"/>
        </w:rPr>
        <w:t>1</w:t>
      </w:r>
      <w:r>
        <w:rPr>
          <w:rFonts w:hint="eastAsia"/>
        </w:rPr>
        <w:t>日之</w:t>
      </w:r>
      <w:r>
        <w:rPr>
          <w:rFonts w:hint="eastAsia"/>
        </w:rPr>
        <w:t>RND</w:t>
      </w:r>
      <w:r>
        <w:rPr>
          <w:rFonts w:hint="eastAsia"/>
        </w:rPr>
        <w:t>迴歸分析結果（單點配適法）</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77777777" w:rsidR="00DB54B6" w:rsidRDefault="00DB54B6" w:rsidP="00DB54B6">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203" w:name="_Toc190531603"/>
      <w:bookmarkStart w:id="204" w:name="_Toc190982048"/>
      <w:bookmarkStart w:id="205" w:name="_Toc192324101"/>
      <w:r>
        <w:rPr>
          <w:rFonts w:hint="eastAsia"/>
        </w:rPr>
        <w:t>5.</w:t>
      </w:r>
      <w:r w:rsidR="008771A3">
        <w:rPr>
          <w:rFonts w:hint="eastAsia"/>
        </w:rPr>
        <w:t>2</w:t>
      </w:r>
      <w:r>
        <w:rPr>
          <w:rFonts w:hint="eastAsia"/>
        </w:rPr>
        <w:t>.2</w:t>
      </w:r>
      <w:r>
        <w:rPr>
          <w:rFonts w:hint="eastAsia"/>
        </w:rPr>
        <w:t>尾部</w:t>
      </w:r>
      <w:r>
        <w:rPr>
          <w:rFonts w:hint="eastAsia"/>
        </w:rPr>
        <w:t>GPD</w:t>
      </w:r>
      <w:r>
        <w:rPr>
          <w:rFonts w:hint="eastAsia"/>
        </w:rPr>
        <w:t>雙點配適法</w:t>
      </w:r>
      <w:bookmarkEnd w:id="203"/>
      <w:bookmarkEnd w:id="204"/>
      <w:bookmarkEnd w:id="205"/>
    </w:p>
    <w:p w14:paraId="55C1E466" w14:textId="4A2874C1"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E7115B">
        <w:rPr>
          <w:rFonts w:hint="eastAsia"/>
        </w:rPr>
        <w:t>表</w:t>
      </w:r>
      <w:r w:rsidR="00E7115B">
        <w:rPr>
          <w:rFonts w:hint="eastAsia"/>
        </w:rPr>
        <w:t>5-</w:t>
      </w:r>
      <w:r w:rsidR="00E7115B">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sidR="003075F4">
        <w:rPr>
          <w:rFonts w:hint="eastAsia"/>
        </w:rPr>
        <w:t>Excess 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546A958D" w:rsidR="00F36EA6" w:rsidRDefault="00F36EA6" w:rsidP="00F36EA6">
      <w:pPr>
        <w:pStyle w:val="a9"/>
        <w:keepNext/>
        <w:spacing w:before="180" w:after="180"/>
      </w:pPr>
      <w:bookmarkStart w:id="206" w:name="_Ref189450814"/>
      <w:bookmarkStart w:id="207"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6</w:t>
      </w:r>
      <w:r w:rsidR="002406B3">
        <w:fldChar w:fldCharType="end"/>
      </w:r>
      <w:bookmarkEnd w:id="206"/>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147E6B46" w14:textId="07ABC8DA"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E7115B">
        <w:rPr>
          <w:rFonts w:hint="eastAsia"/>
        </w:rPr>
        <w:t>表</w:t>
      </w:r>
      <w:r w:rsidR="00E7115B">
        <w:rPr>
          <w:rFonts w:hint="eastAsia"/>
        </w:rPr>
        <w:t>5-</w:t>
      </w:r>
      <w:r w:rsidR="00E7115B">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04AAB654" w:rsidR="00F36EA6" w:rsidRDefault="00F36EA6" w:rsidP="00F36EA6">
      <w:pPr>
        <w:pStyle w:val="a9"/>
        <w:keepNext/>
        <w:spacing w:before="180" w:after="180"/>
      </w:pPr>
      <w:bookmarkStart w:id="208" w:name="_Ref189451054"/>
      <w:bookmarkStart w:id="209"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7</w:t>
      </w:r>
      <w:r w:rsidR="002406B3">
        <w:fldChar w:fldCharType="end"/>
      </w:r>
      <w:bookmarkEnd w:id="208"/>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18226C6B" w:rsidR="00BB145A" w:rsidRDefault="00F36EA6" w:rsidP="00BB145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709D2D64"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E7115B">
        <w:rPr>
          <w:rFonts w:hint="eastAsia"/>
        </w:rPr>
        <w:t>表</w:t>
      </w:r>
      <w:r w:rsidR="00E7115B">
        <w:rPr>
          <w:rFonts w:hint="eastAsia"/>
        </w:rPr>
        <w:t>5-</w:t>
      </w:r>
      <w:r w:rsidR="00E7115B">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E7115B">
        <w:rPr>
          <w:rFonts w:hint="eastAsia"/>
        </w:rPr>
        <w:t>附表</w:t>
      </w:r>
      <w:r w:rsidR="00E7115B">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E7115B">
        <w:rPr>
          <w:rFonts w:hint="eastAsia"/>
        </w:rPr>
        <w:t>附表</w:t>
      </w:r>
      <w:r w:rsidR="00E7115B">
        <w:rPr>
          <w:noProof/>
        </w:rPr>
        <w:t>5</w:t>
      </w:r>
      <w:r w:rsidR="009E3FD2">
        <w:fldChar w:fldCharType="end"/>
      </w:r>
    </w:p>
    <w:p w14:paraId="4EECD36A" w14:textId="1E15A992" w:rsidR="00F36EA6" w:rsidRDefault="00F36EA6" w:rsidP="00F36EA6">
      <w:pPr>
        <w:pStyle w:val="a9"/>
        <w:keepNext/>
        <w:spacing w:before="180" w:after="180"/>
      </w:pPr>
      <w:bookmarkStart w:id="210" w:name="_Ref189451207"/>
      <w:bookmarkStart w:id="211"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8</w:t>
      </w:r>
      <w:r w:rsidR="002406B3">
        <w:fldChar w:fldCharType="end"/>
      </w:r>
      <w:bookmarkEnd w:id="210"/>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77777777" w:rsidR="00F36EA6" w:rsidRDefault="00F36EA6" w:rsidP="00F36EA6">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6A873C73"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E7115B">
        <w:rPr>
          <w:rFonts w:hint="eastAsia"/>
        </w:rPr>
        <w:t>表</w:t>
      </w:r>
      <w:r w:rsidR="00E7115B">
        <w:rPr>
          <w:rFonts w:hint="eastAsia"/>
        </w:rPr>
        <w:t>5-</w:t>
      </w:r>
      <w:r w:rsidR="00E7115B">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0051FA68" w:rsidR="00F36EA6" w:rsidRDefault="00F36EA6" w:rsidP="00F36EA6">
      <w:pPr>
        <w:pStyle w:val="a9"/>
        <w:keepNext/>
        <w:spacing w:before="180" w:after="180"/>
      </w:pPr>
      <w:bookmarkStart w:id="212" w:name="_Ref189451908"/>
      <w:bookmarkStart w:id="213"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9</w:t>
      </w:r>
      <w:r w:rsidR="002406B3">
        <w:fldChar w:fldCharType="end"/>
      </w:r>
      <w:bookmarkEnd w:id="212"/>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7E2B460F" w:rsidR="00F008C1" w:rsidRPr="00F36EA6" w:rsidRDefault="00F36EA6"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14" w:name="_Toc190531604"/>
      <w:bookmarkStart w:id="215" w:name="_Toc190982049"/>
      <w:bookmarkStart w:id="216" w:name="_Toc192324102"/>
      <w:r>
        <w:rPr>
          <w:rFonts w:hint="eastAsia"/>
        </w:rPr>
        <w:t>5.</w:t>
      </w:r>
      <w:r w:rsidR="008771A3">
        <w:rPr>
          <w:rFonts w:hint="eastAsia"/>
        </w:rPr>
        <w:t>2</w:t>
      </w:r>
      <w:r>
        <w:rPr>
          <w:rFonts w:hint="eastAsia"/>
        </w:rPr>
        <w:t>.3</w:t>
      </w:r>
      <w:r>
        <w:rPr>
          <w:rFonts w:hint="eastAsia"/>
        </w:rPr>
        <w:t>兩方法比較分析</w:t>
      </w:r>
      <w:bookmarkEnd w:id="214"/>
      <w:bookmarkEnd w:id="215"/>
      <w:bookmarkEnd w:id="216"/>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5C1C5827"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日之報酬率預測迴歸模型，本研究最終選擇三變數迴歸模型，模型變數納入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E7115B">
        <w:rPr>
          <w:rFonts w:hint="eastAsia"/>
        </w:rPr>
        <w:t>表</w:t>
      </w:r>
      <w:r w:rsidR="00E7115B">
        <w:rPr>
          <w:rFonts w:hint="eastAsia"/>
        </w:rPr>
        <w:t>5-</w:t>
      </w:r>
      <w:r w:rsidR="00E7115B">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對比特幣日報酬率具有顯著預測力，此結果與</w:t>
      </w:r>
      <w:r w:rsidR="007A69B8" w:rsidRPr="007A69B8">
        <w:t xml:space="preserve">Liu and Tsyvinski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中位數則具負向影響</w:t>
      </w:r>
      <w:r w:rsidR="000523AB">
        <w:rPr>
          <w:rFonts w:hint="eastAsia"/>
        </w:rPr>
        <w:t>。</w:t>
      </w:r>
      <w:r w:rsidR="00B079F1" w:rsidRPr="0065281A">
        <w:t>反觀雙點配適法，偏態變數不具顯著性，僅中位數與前四期報酬率維持顯著水準，顯示單點配適法能更有效地捕捉市場偏態特徵對價格走勢的影響。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r w:rsidRPr="00BD583E">
        <w:t>平方（</w:t>
      </w:r>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，而雙點配適法則為</w:t>
      </w:r>
      <w:r w:rsidRPr="00BD583E">
        <w:t>0.01</w:t>
      </w:r>
      <w:r w:rsidR="005B12BE">
        <w:rPr>
          <w:rFonts w:hint="eastAsia"/>
        </w:rPr>
        <w:t>21</w:t>
      </w:r>
      <w:r w:rsidRPr="00BD583E">
        <w:t>。顯示在樣本外預測時，單點配適法的樣本外</w:t>
      </w:r>
      <w:r w:rsidRPr="00BD583E">
        <w:t>R</w:t>
      </w:r>
      <w:r w:rsidRPr="00BD583E">
        <w:t>平方值略高於雙點配適法，意味著其樣本外預測能力相對較佳。此結果與樣本內分析一致，進一步支持單點配適法在實務應用上的優勢。</w:t>
      </w:r>
    </w:p>
    <w:p w14:paraId="1FC7D5DC" w14:textId="22E17DD8" w:rsidR="00C65941" w:rsidRDefault="00C65941" w:rsidP="00C65941">
      <w:pPr>
        <w:pStyle w:val="a9"/>
        <w:keepNext/>
        <w:spacing w:before="180" w:after="180"/>
      </w:pPr>
      <w:bookmarkStart w:id="217" w:name="_Ref190478115"/>
      <w:bookmarkStart w:id="218"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7115B">
        <w:rPr>
          <w:noProof/>
        </w:rPr>
        <w:t>10</w:t>
      </w:r>
      <w:r>
        <w:fldChar w:fldCharType="end"/>
      </w:r>
      <w:bookmarkEnd w:id="217"/>
      <w:r w:rsidR="00BD4C42">
        <w:rPr>
          <w:rFonts w:hint="eastAsia"/>
        </w:rPr>
        <w:t>：</w:t>
      </w:r>
      <w:r>
        <w:rPr>
          <w:rFonts w:hint="eastAsia"/>
        </w:rPr>
        <w:t>距到期日</w:t>
      </w:r>
      <w:r>
        <w:rPr>
          <w:rFonts w:hint="eastAsia"/>
        </w:rPr>
        <w:t>1</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8"/>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8"/>
              <w:jc w:val="center"/>
              <w:rPr>
                <w:b/>
                <w:bCs/>
              </w:rPr>
            </w:pPr>
            <w:r w:rsidRPr="00C65941">
              <w:rPr>
                <w:rFonts w:hint="eastAsia"/>
                <w:b/>
                <w:bCs/>
              </w:rPr>
              <w:t>雙點配適法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1" w:type="pct"/>
          </w:tcPr>
          <w:p w14:paraId="4B24A6C3" w14:textId="77777777" w:rsidR="00BD583E" w:rsidRPr="00DB54B6" w:rsidRDefault="00BD583E" w:rsidP="00BD583E">
            <w:pPr>
              <w:pStyle w:val="af8"/>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1" w:type="pct"/>
            <w:tcBorders>
              <w:bottom w:val="double" w:sz="4" w:space="0" w:color="auto"/>
            </w:tcBorders>
          </w:tcPr>
          <w:p w14:paraId="1E8CDA9D" w14:textId="77777777" w:rsidR="00BD583E" w:rsidRPr="00DB54B6" w:rsidRDefault="00BD583E" w:rsidP="00BD583E">
            <w:pPr>
              <w:pStyle w:val="af8"/>
              <w:jc w:val="right"/>
            </w:pPr>
          </w:p>
        </w:tc>
      </w:tr>
    </w:tbl>
    <w:p w14:paraId="6C9D4A66" w14:textId="77777777" w:rsidR="00C65941" w:rsidRPr="00F36EA6" w:rsidRDefault="00C65941" w:rsidP="00C65941">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綜上所述，本研究發現在預測比特幣日報酬率時，單點配適法較雙點配適法具</w:t>
      </w:r>
      <w:r w:rsidRPr="00BD583E">
        <w:lastRenderedPageBreak/>
        <w:t>有以下優勢：</w:t>
      </w:r>
      <w:r w:rsidRPr="00BD583E">
        <w:t xml:space="preserve">(1) </w:t>
      </w:r>
      <w:r w:rsidRPr="00BD583E">
        <w:t>樣本配適的穩定性較高；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9" w:name="_Toc190531605"/>
      <w:bookmarkStart w:id="220" w:name="_Toc190982050"/>
      <w:bookmarkStart w:id="221"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bookmarkEnd w:id="219"/>
      <w:bookmarkEnd w:id="220"/>
      <w:bookmarkEnd w:id="221"/>
    </w:p>
    <w:p w14:paraId="4D56B895" w14:textId="1A39CF15" w:rsidR="00F008C1" w:rsidRDefault="00F008C1" w:rsidP="00F008C1">
      <w:pPr>
        <w:pStyle w:val="3"/>
        <w:spacing w:before="180" w:after="180"/>
      </w:pPr>
      <w:bookmarkStart w:id="222" w:name="_Toc190531606"/>
      <w:bookmarkStart w:id="223" w:name="_Toc190982051"/>
      <w:bookmarkStart w:id="224"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22"/>
      <w:bookmarkEnd w:id="223"/>
      <w:bookmarkEnd w:id="224"/>
    </w:p>
    <w:p w14:paraId="3DCF91C8" w14:textId="17A6C1D2"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E7115B">
        <w:rPr>
          <w:rFonts w:hint="eastAsia"/>
        </w:rPr>
        <w:t>表</w:t>
      </w:r>
      <w:r w:rsidR="00E7115B">
        <w:rPr>
          <w:rFonts w:hint="eastAsia"/>
        </w:rPr>
        <w:t>5-</w:t>
      </w:r>
      <w:r w:rsidR="00E7115B">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1D8B8962" w:rsidR="002D0E3A" w:rsidRDefault="002D0E3A" w:rsidP="002D0E3A">
      <w:pPr>
        <w:pStyle w:val="a9"/>
        <w:keepNext/>
        <w:spacing w:before="180" w:after="180"/>
      </w:pPr>
      <w:bookmarkStart w:id="225" w:name="_Ref189454446"/>
      <w:bookmarkStart w:id="226"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11</w:t>
      </w:r>
      <w:r w:rsidR="002406B3">
        <w:fldChar w:fldCharType="end"/>
      </w:r>
      <w:bookmarkEnd w:id="225"/>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07159F26"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E7115B">
        <w:rPr>
          <w:rFonts w:hint="eastAsia"/>
        </w:rPr>
        <w:t>表</w:t>
      </w:r>
      <w:r w:rsidR="00E7115B">
        <w:rPr>
          <w:rFonts w:hint="eastAsia"/>
        </w:rPr>
        <w:t>5-</w:t>
      </w:r>
      <w:r w:rsidR="00E7115B">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5F71C191" w:rsidR="002D0E3A" w:rsidRDefault="002D0E3A" w:rsidP="002D0E3A">
      <w:pPr>
        <w:pStyle w:val="a9"/>
        <w:keepNext/>
        <w:spacing w:before="180" w:after="180"/>
      </w:pPr>
      <w:bookmarkStart w:id="227" w:name="_Ref189454730"/>
      <w:bookmarkStart w:id="228"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12</w:t>
      </w:r>
      <w:r w:rsidR="002406B3">
        <w:fldChar w:fldCharType="end"/>
      </w:r>
      <w:bookmarkEnd w:id="227"/>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bookmarkEnd w:id="2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77777777" w:rsidR="002D0E3A" w:rsidRDefault="002D0E3A"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11A56154"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E7115B">
        <w:rPr>
          <w:rFonts w:hint="eastAsia"/>
        </w:rPr>
        <w:t>附表</w:t>
      </w:r>
      <w:r w:rsidR="00E7115B">
        <w:rPr>
          <w:noProof/>
        </w:rPr>
        <w:t>6</w:t>
      </w:r>
      <w:r>
        <w:fldChar w:fldCharType="end"/>
      </w:r>
      <w:r w:rsidRPr="002A67DD">
        <w:t>至</w:t>
      </w:r>
      <w:r>
        <w:fldChar w:fldCharType="begin"/>
      </w:r>
      <w:r>
        <w:instrText xml:space="preserve"> REF _Ref189455847 \h </w:instrText>
      </w:r>
      <w:r>
        <w:fldChar w:fldCharType="separate"/>
      </w:r>
      <w:r w:rsidR="00E7115B">
        <w:rPr>
          <w:rFonts w:hint="eastAsia"/>
        </w:rPr>
        <w:t>附表</w:t>
      </w:r>
      <w:r w:rsidR="00E7115B">
        <w:rPr>
          <w:noProof/>
        </w:rPr>
        <w:t>8</w:t>
      </w:r>
      <w:r>
        <w:fldChar w:fldCharType="end"/>
      </w:r>
      <w:r w:rsidRPr="002A67DD">
        <w:t>。此現象顯示，單純增加變數數量並無法有效提升模型的預測能力，反而可能導致模型過度擬合的問題。</w:t>
      </w:r>
    </w:p>
    <w:p w14:paraId="4F8D3FD5" w14:textId="3AE936DD" w:rsidR="002A67DD" w:rsidRPr="002A67DD" w:rsidRDefault="002A67DD" w:rsidP="002A67DD">
      <w:pPr>
        <w:spacing w:before="180" w:after="180"/>
        <w:ind w:firstLine="480"/>
      </w:pPr>
      <w:r w:rsidRPr="002A67DD">
        <w:t>經過反覆測試不同變數的排列組合後，本研究發現在預測比特幣週報酬率時，</w:t>
      </w:r>
      <w:r w:rsidR="003075F4">
        <w:rPr>
          <w:rFonts w:hint="eastAsia"/>
        </w:rPr>
        <w:t>超額峰態</w:t>
      </w:r>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E7115B">
        <w:rPr>
          <w:rFonts w:hint="eastAsia"/>
        </w:rPr>
        <w:t>表</w:t>
      </w:r>
      <w:r w:rsidR="00E7115B">
        <w:rPr>
          <w:rFonts w:hint="eastAsia"/>
        </w:rPr>
        <w:t>5-</w:t>
      </w:r>
      <w:r w:rsidR="00E7115B">
        <w:rPr>
          <w:noProof/>
        </w:rPr>
        <w:t>13</w:t>
      </w:r>
      <w:r>
        <w:fldChar w:fldCharType="end"/>
      </w:r>
      <w:r w:rsidRPr="002A67DD">
        <w:t>。</w:t>
      </w:r>
    </w:p>
    <w:p w14:paraId="73662678" w14:textId="0601F576" w:rsidR="002D0E3A" w:rsidRDefault="002D0E3A" w:rsidP="002D0E3A">
      <w:pPr>
        <w:pStyle w:val="a9"/>
        <w:keepNext/>
        <w:spacing w:before="180" w:after="180"/>
      </w:pPr>
      <w:bookmarkStart w:id="229" w:name="_Ref189456629"/>
      <w:bookmarkStart w:id="230"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13</w:t>
      </w:r>
      <w:r w:rsidR="002406B3">
        <w:fldChar w:fldCharType="end"/>
      </w:r>
      <w:bookmarkEnd w:id="229"/>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bookmarkEnd w:id="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7777777" w:rsidR="002D0E3A" w:rsidRDefault="002D0E3A" w:rsidP="002D0E3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31" w:name="_Toc190531607"/>
      <w:bookmarkStart w:id="232" w:name="_Toc190982052"/>
      <w:bookmarkStart w:id="233"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bookmarkEnd w:id="231"/>
      <w:bookmarkEnd w:id="232"/>
      <w:bookmarkEnd w:id="233"/>
    </w:p>
    <w:p w14:paraId="14C9629D" w14:textId="7825767C"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E7115B">
        <w:rPr>
          <w:rFonts w:hint="eastAsia"/>
        </w:rPr>
        <w:t>表</w:t>
      </w:r>
      <w:r w:rsidR="00E7115B">
        <w:rPr>
          <w:rFonts w:hint="eastAsia"/>
        </w:rPr>
        <w:t>5-</w:t>
      </w:r>
      <w:r w:rsidR="00E7115B">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4FD767CB" w:rsidR="00556A6A" w:rsidRDefault="00556A6A" w:rsidP="00556A6A">
      <w:pPr>
        <w:pStyle w:val="a9"/>
        <w:keepNext/>
        <w:spacing w:before="180" w:after="180"/>
      </w:pPr>
      <w:bookmarkStart w:id="234" w:name="_Ref189457030"/>
      <w:bookmarkStart w:id="235"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14</w:t>
      </w:r>
      <w:r w:rsidR="002406B3">
        <w:fldChar w:fldCharType="end"/>
      </w:r>
      <w:bookmarkEnd w:id="234"/>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4A637DA7"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E7115B">
        <w:rPr>
          <w:rFonts w:hint="eastAsia"/>
        </w:rPr>
        <w:t>表</w:t>
      </w:r>
      <w:r w:rsidR="00E7115B">
        <w:rPr>
          <w:rFonts w:hint="eastAsia"/>
        </w:rPr>
        <w:t>5-</w:t>
      </w:r>
      <w:r w:rsidR="00E7115B">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607D9132" w:rsidR="00556A6A" w:rsidRDefault="00556A6A" w:rsidP="00556A6A">
      <w:pPr>
        <w:pStyle w:val="a9"/>
        <w:keepNext/>
        <w:spacing w:before="180" w:after="180"/>
      </w:pPr>
      <w:bookmarkStart w:id="236" w:name="_Ref189457458"/>
      <w:bookmarkStart w:id="237"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15</w:t>
      </w:r>
      <w:r w:rsidR="002406B3">
        <w:fldChar w:fldCharType="end"/>
      </w:r>
      <w:bookmarkEnd w:id="236"/>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bookmarkEnd w:id="2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77777777" w:rsidR="00556A6A" w:rsidRDefault="00556A6A" w:rsidP="00556A6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768650AD"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E7115B">
        <w:rPr>
          <w:rFonts w:hint="eastAsia"/>
        </w:rPr>
        <w:t>附表</w:t>
      </w:r>
      <w:r w:rsidR="00E7115B">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E7115B">
        <w:rPr>
          <w:rFonts w:hint="eastAsia"/>
        </w:rPr>
        <w:t>附表</w:t>
      </w:r>
      <w:r w:rsidR="00E7115B">
        <w:rPr>
          <w:noProof/>
        </w:rPr>
        <w:t>8</w:t>
      </w:r>
      <w:r w:rsidR="00556A6A">
        <w:fldChar w:fldCharType="end"/>
      </w:r>
      <w:r w:rsidR="00556A6A" w:rsidRPr="002A67DD">
        <w:t>。</w:t>
      </w:r>
    </w:p>
    <w:p w14:paraId="75C7163E" w14:textId="7603417F" w:rsidR="00556A6A" w:rsidRPr="002A67DD" w:rsidRDefault="00F22A38" w:rsidP="00F22A38">
      <w:pPr>
        <w:spacing w:before="180" w:after="180"/>
        <w:ind w:firstLine="480"/>
      </w:pPr>
      <w:r>
        <w:rPr>
          <w:rFonts w:hint="eastAsia"/>
        </w:rPr>
        <w:t>為與單點配適法建構之迴歸模型進行比較，本小節亦選擇</w:t>
      </w:r>
      <w:r w:rsidR="003075F4">
        <w:rPr>
          <w:rFonts w:hint="eastAsia"/>
        </w:rPr>
        <w:t>超額峰態</w:t>
      </w:r>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E7115B">
        <w:rPr>
          <w:rFonts w:hint="eastAsia"/>
        </w:rPr>
        <w:t>表</w:t>
      </w:r>
      <w:r w:rsidR="00E7115B">
        <w:rPr>
          <w:rFonts w:hint="eastAsia"/>
        </w:rPr>
        <w:t>5-</w:t>
      </w:r>
      <w:r w:rsidR="00E7115B">
        <w:rPr>
          <w:noProof/>
        </w:rPr>
        <w:t>16</w:t>
      </w:r>
      <w:r>
        <w:fldChar w:fldCharType="end"/>
      </w:r>
      <w:r>
        <w:rPr>
          <w:rFonts w:hint="eastAsia"/>
        </w:rPr>
        <w:t>，變數顯著性與模型預測能力皆與單點配適法模型相仿。</w:t>
      </w:r>
    </w:p>
    <w:p w14:paraId="71AD3AA3" w14:textId="417CEF9A" w:rsidR="00556A6A" w:rsidRDefault="00556A6A" w:rsidP="00556A6A">
      <w:pPr>
        <w:pStyle w:val="a9"/>
        <w:keepNext/>
        <w:spacing w:before="180" w:after="180"/>
      </w:pPr>
      <w:bookmarkStart w:id="238" w:name="_Ref189457902"/>
      <w:bookmarkStart w:id="239"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7115B">
        <w:rPr>
          <w:noProof/>
        </w:rPr>
        <w:t>16</w:t>
      </w:r>
      <w:r w:rsidR="002406B3">
        <w:fldChar w:fldCharType="end"/>
      </w:r>
      <w:bookmarkEnd w:id="238"/>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77777777" w:rsidR="00556A6A" w:rsidRDefault="00556A6A" w:rsidP="00556A6A">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40" w:name="_Toc190531608"/>
      <w:bookmarkStart w:id="241" w:name="_Toc190982053"/>
      <w:bookmarkStart w:id="242" w:name="_Toc192324106"/>
      <w:r>
        <w:rPr>
          <w:rFonts w:hint="eastAsia"/>
        </w:rPr>
        <w:t>5.</w:t>
      </w:r>
      <w:r w:rsidR="008771A3">
        <w:rPr>
          <w:rFonts w:hint="eastAsia"/>
        </w:rPr>
        <w:t>3</w:t>
      </w:r>
      <w:r>
        <w:rPr>
          <w:rFonts w:hint="eastAsia"/>
        </w:rPr>
        <w:t>.3</w:t>
      </w:r>
      <w:r>
        <w:rPr>
          <w:rFonts w:hint="eastAsia"/>
        </w:rPr>
        <w:t>兩方法比較分析</w:t>
      </w:r>
      <w:bookmarkEnd w:id="240"/>
      <w:bookmarkEnd w:id="241"/>
      <w:bookmarkEnd w:id="242"/>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w:t>
      </w:r>
      <w:r w:rsidRPr="00B74C6F">
        <w:lastRenderedPageBreak/>
        <w:t>酬率預測時所觀察到的差異形成對比，推測其原因可能為：週報酬率之預測區間較長，使得尾部配適方法對整體預測結果的影響程度相對降低。</w:t>
      </w:r>
    </w:p>
    <w:p w14:paraId="42613C16" w14:textId="37F533B2" w:rsidR="00B74C6F" w:rsidRDefault="00B74C6F" w:rsidP="000523AB">
      <w:pPr>
        <w:spacing w:before="180" w:after="180"/>
        <w:ind w:firstLine="480"/>
      </w:pPr>
      <w:r w:rsidRPr="00B74C6F">
        <w:t>模型預測效果方面，</w:t>
      </w:r>
      <w:r w:rsidR="002A664E">
        <w:rPr>
          <w:rFonts w:hint="eastAsia"/>
        </w:rPr>
        <w:t>本研究亦選擇使用三變數迴歸模型，</w:t>
      </w:r>
      <w:r w:rsidRPr="00B74C6F">
        <w:t>兩種方法皆</w:t>
      </w:r>
      <w:r w:rsidR="002A664E">
        <w:rPr>
          <w:rFonts w:hint="eastAsia"/>
        </w:rPr>
        <w:t>納入</w:t>
      </w:r>
      <w:r w:rsidR="003075F4">
        <w:rPr>
          <w:rFonts w:hint="eastAsia"/>
        </w:rPr>
        <w:t>超額峰態</w:t>
      </w:r>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E7115B">
        <w:rPr>
          <w:rFonts w:hint="eastAsia"/>
        </w:rPr>
        <w:t>表</w:t>
      </w:r>
      <w:r w:rsidR="00E7115B">
        <w:rPr>
          <w:rFonts w:hint="eastAsia"/>
        </w:rPr>
        <w:t>5-</w:t>
      </w:r>
      <w:r w:rsidR="00E7115B">
        <w:rPr>
          <w:noProof/>
        </w:rPr>
        <w:t>17</w:t>
      </w:r>
      <w:r w:rsidR="002A664E">
        <w:fldChar w:fldCharType="end"/>
      </w:r>
      <w:r w:rsidR="002A664E">
        <w:rPr>
          <w:rFonts w:hint="eastAsia"/>
        </w:rPr>
        <w:t>。</w:t>
      </w:r>
      <w:r w:rsidR="000523AB" w:rsidRPr="000523AB">
        <w:t>超額峰態</w:t>
      </w:r>
      <w:r w:rsidR="000523AB">
        <w:rPr>
          <w:rFonts w:hint="eastAsia"/>
        </w:rPr>
        <w:t>之</w:t>
      </w:r>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的研究結果一致，指出超額峰態能有效捕捉市場的極端風險，其預測能力在金融危機期間特別顯著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r w:rsidR="000523AB" w:rsidRPr="000523AB">
        <w:t>週報酬率預測中具顯著預測力，此結果與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他們發現該指數在樣本內與樣本外均具有顯著的預測能力，從一日到一週的預測期間內對加密貨幣報酬均具有預測力。此外，</w:t>
      </w:r>
      <w:r w:rsidR="000523AB" w:rsidRPr="000523AB">
        <w:t xml:space="preserve">López-Cabarcos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的研究也指出，投資者情緒指標對比特幣短期價格變動具有顯著預測力。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r w:rsidRPr="00AB6374">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，略高於雙點配適法之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14DE266A" w:rsidR="002A664E" w:rsidRDefault="002A664E" w:rsidP="002A664E">
      <w:pPr>
        <w:pStyle w:val="a9"/>
        <w:keepNext/>
        <w:spacing w:before="180" w:after="180"/>
      </w:pPr>
      <w:bookmarkStart w:id="243" w:name="_Ref190478708"/>
      <w:bookmarkStart w:id="244"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7115B">
        <w:rPr>
          <w:noProof/>
        </w:rPr>
        <w:t>17</w:t>
      </w:r>
      <w:r>
        <w:fldChar w:fldCharType="end"/>
      </w:r>
      <w:bookmarkEnd w:id="243"/>
      <w:r>
        <w:rPr>
          <w:rFonts w:hint="eastAsia"/>
        </w:rPr>
        <w:t>：距到期日</w:t>
      </w:r>
      <w:r>
        <w:rPr>
          <w:rFonts w:hint="eastAsia"/>
        </w:rPr>
        <w:t>7</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8"/>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8"/>
              <w:jc w:val="center"/>
              <w:rPr>
                <w:b/>
                <w:bCs/>
              </w:rPr>
            </w:pPr>
            <w:r w:rsidRPr="002A664E">
              <w:rPr>
                <w:rFonts w:hint="eastAsia"/>
                <w:b/>
                <w:bCs/>
              </w:rPr>
              <w:t>雙點配適法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1"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9" w:type="pct"/>
          </w:tcPr>
          <w:p w14:paraId="1DDEC5E8" w14:textId="77777777" w:rsidR="00AB6374" w:rsidRPr="00DB54B6" w:rsidRDefault="00AB6374" w:rsidP="002A664E">
            <w:pPr>
              <w:pStyle w:val="af8"/>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1"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9" w:type="pct"/>
            <w:tcBorders>
              <w:bottom w:val="double" w:sz="4" w:space="0" w:color="auto"/>
            </w:tcBorders>
          </w:tcPr>
          <w:p w14:paraId="6E630106" w14:textId="77777777" w:rsidR="00AB6374" w:rsidRPr="00DB54B6" w:rsidRDefault="00AB6374" w:rsidP="002A664E">
            <w:pPr>
              <w:pStyle w:val="af8"/>
            </w:pPr>
          </w:p>
        </w:tc>
      </w:tr>
    </w:tbl>
    <w:p w14:paraId="4DC4013B" w14:textId="6C45E587" w:rsidR="00AB6374" w:rsidRDefault="00AB6374" w:rsidP="00AB6374">
      <w:pPr>
        <w:spacing w:before="180" w:after="180"/>
        <w:ind w:firstLine="480"/>
      </w:pPr>
      <w:r w:rsidRPr="00AB6374">
        <w:lastRenderedPageBreak/>
        <w:t>綜上所述，本研究發現在預測週報酬率時，單點配適法不僅能達到與雙點配適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45" w:name="_Toc190531609"/>
      <w:bookmarkStart w:id="246" w:name="_Toc190982054"/>
      <w:bookmarkStart w:id="247" w:name="_Toc192324107"/>
      <w:r>
        <w:rPr>
          <w:rFonts w:hint="eastAsia"/>
        </w:rPr>
        <w:t>5.4</w:t>
      </w:r>
      <w:r>
        <w:rPr>
          <w:rFonts w:hint="eastAsia"/>
        </w:rPr>
        <w:t>小結</w:t>
      </w:r>
      <w:bookmarkEnd w:id="245"/>
      <w:bookmarkEnd w:id="246"/>
      <w:bookmarkEnd w:id="247"/>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在週報酬率預測方面，兩種方法的表現則較為接近。實證結果顯示，兩種方法皆以超額峰態（</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r w:rsidRPr="00697250">
        <w:t>週報酬率預測中，兩種方法均能產生正值的樣本外</w:t>
      </w:r>
      <w:r w:rsidRPr="00697250">
        <w:t>R</w:t>
      </w:r>
      <w:r w:rsidRPr="00697250">
        <w:t>平方，</w:t>
      </w:r>
      <w:r w:rsidR="005B12BE">
        <w:rPr>
          <w:rFonts w:hint="eastAsia"/>
        </w:rPr>
        <w:t>且單點配適法之值均高於雙點配適法之值，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r w:rsidRPr="00545EBF">
        <w:t>此外，本研究亦發現風險中立機率密度函數的統計特徵在不同時間尺度下展現出不同的預測能力。對於短期（日報酬率）預測，偏態與歷史報酬率具有較強的預測力；而對於中期（週報酬率）預測，超額峰態與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8" w:name="_Toc190531610"/>
      <w:bookmarkStart w:id="249" w:name="_Toc190982055"/>
      <w:bookmarkStart w:id="250" w:name="_Toc192324108"/>
      <w:r>
        <w:rPr>
          <w:rFonts w:hint="eastAsia"/>
        </w:rPr>
        <w:lastRenderedPageBreak/>
        <w:t>第六章、結論與建議</w:t>
      </w:r>
      <w:bookmarkEnd w:id="248"/>
      <w:bookmarkEnd w:id="249"/>
      <w:bookmarkEnd w:id="250"/>
    </w:p>
    <w:p w14:paraId="11E5563F" w14:textId="24EF365F" w:rsidR="00053F98" w:rsidRDefault="00E84627" w:rsidP="00E84627">
      <w:pPr>
        <w:pStyle w:val="2"/>
      </w:pPr>
      <w:bookmarkStart w:id="251" w:name="_Toc190531611"/>
      <w:bookmarkStart w:id="252" w:name="_Toc190982056"/>
      <w:bookmarkStart w:id="253" w:name="_Toc192324109"/>
      <w:r>
        <w:rPr>
          <w:rFonts w:hint="eastAsia"/>
        </w:rPr>
        <w:t>6.1</w:t>
      </w:r>
      <w:r>
        <w:rPr>
          <w:rFonts w:hint="eastAsia"/>
        </w:rPr>
        <w:t>研究結論</w:t>
      </w:r>
      <w:bookmarkEnd w:id="251"/>
      <w:bookmarkEnd w:id="252"/>
      <w:bookmarkEnd w:id="253"/>
    </w:p>
    <w:p w14:paraId="4E636A39" w14:textId="042968A1" w:rsidR="00E84627" w:rsidRPr="00E84627" w:rsidRDefault="00E84627" w:rsidP="00E84627">
      <w:pPr>
        <w:spacing w:before="180" w:after="180"/>
        <w:ind w:firstLine="480"/>
      </w:pPr>
      <w:r w:rsidRPr="00E84627">
        <w:t>本研究針對比特幣選擇權市場，提出一套創新的風險中立機率密度（</w:t>
      </w:r>
      <w:r w:rsidR="00FC73BF">
        <w:t>Risk-neutral Density</w:t>
      </w:r>
      <w:r w:rsidRPr="00E84627">
        <w:t>, RND</w:t>
      </w:r>
      <w:r w:rsidRPr="00E84627">
        <w:t>）尾部配適方法，並以單點配適法與雙點配適法進行比較，探討其在報酬率預測能力上的差異。透過實證分析，本研究獲得以下主要結論：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尾部配適方法的比較上，單點配適法展現出顯著的優勢。相較於雙點配適法，單點配適法在處理極端市場情境時具有更高的穩定性與計算效率。實證結果顯示，單點配適法的平均執行時間較雙點配適法節省約</w:t>
      </w:r>
      <w:r w:rsidRPr="00E84627">
        <w:t>10.95%</w:t>
      </w:r>
      <w:r w:rsidRPr="00E84627">
        <w:t>，且在樣本完整性上也更具優勢，能有效避免因市場波動劇烈而導致的配適失敗問題。</w:t>
      </w:r>
    </w:p>
    <w:p w14:paraId="24D328C2" w14:textId="7C26077F" w:rsidR="00E84627" w:rsidRPr="00E84627" w:rsidRDefault="00E84627" w:rsidP="00F6241B">
      <w:pPr>
        <w:spacing w:before="180" w:after="180"/>
        <w:ind w:firstLine="480"/>
      </w:pPr>
      <w:r w:rsidRPr="00E84627">
        <w:t>針對日報酬率與週報酬率的預測能力，兩種方法的表現存在一定差異。在日報酬率的預測上，單點配適法建構的</w:t>
      </w:r>
      <w:r w:rsidRPr="00E84627">
        <w:t>RND</w:t>
      </w:r>
      <w:r w:rsidRPr="00E84627">
        <w:t>函數能更準確捕捉市場偏態，並在迴歸模型中展現出偏態（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然而，在週報酬率的預測上，兩種方法的表現則較為接近。無論是單點配適法還是雙點配適法，皆以</w:t>
      </w:r>
      <w:r w:rsidR="003075F4">
        <w:t>超額峰態</w:t>
      </w:r>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本研究的樣本外預測結果顯示，在週報酬率預測中，單點配適法與雙點配適法均能產生正值的樣本外</w:t>
      </w:r>
      <w:r w:rsidRPr="00697250">
        <w:t>R</w:t>
      </w:r>
      <w:r w:rsidRPr="00697250">
        <w:t>平方（分別為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統計特徵在市場預測中的重要性。偏態與超額峰態等高階動差不僅能反映市場參與者對極端事件的預期，亦能提供有價值的市場情緒資訊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，為投資決策與風險管理提供量化依據。特別是在比特幣等加密貨幣市場中，由於其波動性高且市場參與者結構獨特，這些統計特徵所蘊含的資訊可能比傳統金融市場更為豐富。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54" w:name="_Toc190531612"/>
      <w:bookmarkStart w:id="255" w:name="_Toc190982057"/>
      <w:bookmarkStart w:id="256" w:name="_Toc192324110"/>
      <w:r>
        <w:rPr>
          <w:rFonts w:hint="eastAsia"/>
        </w:rPr>
        <w:t>6.2</w:t>
      </w:r>
      <w:r>
        <w:rPr>
          <w:rFonts w:hint="eastAsia"/>
        </w:rPr>
        <w:t>研究建議</w:t>
      </w:r>
      <w:bookmarkEnd w:id="254"/>
      <w:bookmarkEnd w:id="255"/>
      <w:bookmarkEnd w:id="256"/>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本研究聚焦於比特幣選擇權市場，未來可將研究範圍擴展至其他加密貨幣或傳統金融市場，檢視單點配適法與雙點配適法在不同市場結構中的適用性與表現差異。例如，以以太幣（</w:t>
      </w:r>
      <w:r w:rsidRPr="00E702B8">
        <w:t>Ethereum</w:t>
      </w:r>
      <w:r w:rsidRPr="00E702B8">
        <w:t>）選擇權為研究對象，或分析股指選擇權市場，探索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7" w:name="_Toc190531613"/>
      <w:bookmarkStart w:id="258" w:name="_Toc190982058"/>
      <w:bookmarkStart w:id="259" w:name="_Toc192324111"/>
      <w:bookmarkStart w:id="260" w:name="_Toc182815183"/>
      <w:r>
        <w:rPr>
          <w:rFonts w:hint="eastAsia"/>
        </w:rPr>
        <w:lastRenderedPageBreak/>
        <w:t>附錄</w:t>
      </w:r>
      <w:bookmarkEnd w:id="257"/>
      <w:bookmarkEnd w:id="258"/>
      <w:bookmarkEnd w:id="259"/>
    </w:p>
    <w:p w14:paraId="0377CFCD" w14:textId="39AF45E5" w:rsidR="00786B72" w:rsidRDefault="00786B72" w:rsidP="00786B72">
      <w:pPr>
        <w:pStyle w:val="a9"/>
        <w:keepNext/>
        <w:spacing w:before="180" w:after="180"/>
      </w:pPr>
      <w:bookmarkStart w:id="261" w:name="_Ref189448622"/>
      <w:bookmarkStart w:id="262"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1</w:t>
      </w:r>
      <w:r>
        <w:fldChar w:fldCharType="end"/>
      </w:r>
      <w:bookmarkEnd w:id="261"/>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bookmarkEnd w:id="2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0B25DC82" w:rsidR="00A56D4E" w:rsidRPr="00A56D4E" w:rsidRDefault="00A56D4E" w:rsidP="00A56D4E">
      <w:pPr>
        <w:pStyle w:val="af8"/>
      </w:pPr>
      <w:bookmarkStart w:id="263"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2EAE3C5E" w:rsidR="00786B72" w:rsidRDefault="00786B72" w:rsidP="00786B72">
      <w:pPr>
        <w:pStyle w:val="a9"/>
        <w:keepNext/>
        <w:spacing w:before="180" w:after="180"/>
      </w:pPr>
      <w:bookmarkStart w:id="264" w:name="_Ref189904940"/>
      <w:bookmarkStart w:id="265"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2</w:t>
      </w:r>
      <w:r>
        <w:fldChar w:fldCharType="end"/>
      </w:r>
      <w:bookmarkEnd w:id="263"/>
      <w:bookmarkEnd w:id="264"/>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77777777" w:rsidR="00A56D4E" w:rsidRDefault="00A56D4E" w:rsidP="00A56D4E">
      <w:pPr>
        <w:pStyle w:val="af8"/>
      </w:pPr>
      <w:bookmarkStart w:id="266"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52BFD3DF" w:rsidR="00925907" w:rsidRDefault="00925907" w:rsidP="00925907">
      <w:pPr>
        <w:pStyle w:val="a9"/>
        <w:keepNext/>
        <w:spacing w:before="180" w:after="180"/>
      </w:pPr>
      <w:bookmarkStart w:id="267" w:name="_Ref189906000"/>
      <w:bookmarkStart w:id="268"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3</w:t>
      </w:r>
      <w:r>
        <w:fldChar w:fldCharType="end"/>
      </w:r>
      <w:bookmarkEnd w:id="266"/>
      <w:bookmarkEnd w:id="267"/>
      <w:r>
        <w:rPr>
          <w:rFonts w:hint="eastAsia"/>
        </w:rPr>
        <w:t>：依據三變數模型拓展之四變數迴歸分析結果（</w:t>
      </w:r>
      <w:r w:rsidR="002A67DD">
        <w:rPr>
          <w:rFonts w:hint="eastAsia"/>
        </w:rPr>
        <w:t>日報酬</w:t>
      </w:r>
      <w:r>
        <w:rPr>
          <w:rFonts w:hint="eastAsia"/>
        </w:rPr>
        <w:t>單點配適法）</w:t>
      </w:r>
      <w:bookmarkEnd w:id="268"/>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8"/>
      </w:pPr>
      <w:bookmarkStart w:id="269"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3D7B749F" w:rsidR="006A1E80" w:rsidRDefault="006A1E80" w:rsidP="006A1E80">
      <w:pPr>
        <w:pStyle w:val="a9"/>
        <w:keepNext/>
        <w:spacing w:before="180" w:after="180"/>
      </w:pPr>
      <w:bookmarkStart w:id="270" w:name="_Ref189905890"/>
      <w:bookmarkStart w:id="271"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4</w:t>
      </w:r>
      <w:r>
        <w:fldChar w:fldCharType="end"/>
      </w:r>
      <w:bookmarkEnd w:id="269"/>
      <w:bookmarkEnd w:id="270"/>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4976AAB" w:rsidR="00A56D4E" w:rsidRDefault="00A56D4E" w:rsidP="00A56D4E">
      <w:pPr>
        <w:pStyle w:val="af8"/>
      </w:pPr>
      <w:bookmarkStart w:id="272"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3C35269C" w:rsidR="006A1E80" w:rsidRDefault="006A1E80" w:rsidP="006A1E80">
      <w:pPr>
        <w:pStyle w:val="a9"/>
        <w:keepNext/>
        <w:spacing w:before="180" w:after="180"/>
      </w:pPr>
      <w:bookmarkStart w:id="273" w:name="_Ref189905892"/>
      <w:bookmarkStart w:id="274"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5</w:t>
      </w:r>
      <w:r>
        <w:fldChar w:fldCharType="end"/>
      </w:r>
      <w:bookmarkEnd w:id="272"/>
      <w:bookmarkEnd w:id="273"/>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bookmarkEnd w:id="2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4C40AF12" w:rsidR="00A56D4E" w:rsidRPr="00A56D4E" w:rsidRDefault="00A56D4E" w:rsidP="00A56D4E">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7020655F" w:rsidR="00A56D4E" w:rsidRDefault="00A56D4E" w:rsidP="00A56D4E">
      <w:pPr>
        <w:pStyle w:val="a9"/>
        <w:keepNext/>
        <w:spacing w:before="180" w:after="180"/>
      </w:pPr>
      <w:bookmarkStart w:id="275" w:name="_Ref189455844"/>
      <w:bookmarkStart w:id="276" w:name="_Ref189455832"/>
      <w:bookmarkStart w:id="277" w:name="_Toc192362123"/>
      <w:bookmarkStart w:id="278"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6</w:t>
      </w:r>
      <w:r>
        <w:fldChar w:fldCharType="end"/>
      </w:r>
      <w:bookmarkEnd w:id="275"/>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276"/>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77777777" w:rsidR="00A56D4E" w:rsidRDefault="00A56D4E" w:rsidP="00A56D4E">
      <w:pPr>
        <w:pStyle w:val="af8"/>
      </w:pPr>
      <w:bookmarkStart w:id="279"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5609FE3C" w:rsidR="00653EE0" w:rsidRDefault="00653EE0" w:rsidP="00653EE0">
      <w:pPr>
        <w:pStyle w:val="a9"/>
        <w:keepNext/>
        <w:spacing w:before="180" w:after="180"/>
        <w:ind w:firstLine="480"/>
      </w:pPr>
      <w:bookmarkStart w:id="280" w:name="_Ref189455846"/>
      <w:bookmarkStart w:id="281" w:name="_Toc192362124"/>
      <w:bookmarkEnd w:id="27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7</w:t>
      </w:r>
      <w:r>
        <w:fldChar w:fldCharType="end"/>
      </w:r>
      <w:bookmarkEnd w:id="280"/>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77777777" w:rsidR="00653EE0" w:rsidRDefault="00653EE0" w:rsidP="00653EE0">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29E264DE" w:rsidR="00653EE0" w:rsidRDefault="00653EE0" w:rsidP="00653EE0">
      <w:pPr>
        <w:pStyle w:val="a9"/>
        <w:keepNext/>
        <w:spacing w:before="180" w:after="180"/>
        <w:ind w:firstLine="480"/>
      </w:pPr>
      <w:bookmarkStart w:id="282" w:name="_Ref189455847"/>
      <w:bookmarkStart w:id="283"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8</w:t>
      </w:r>
      <w:r>
        <w:fldChar w:fldCharType="end"/>
      </w:r>
      <w:bookmarkEnd w:id="282"/>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bookmarkEnd w:id="2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p w14:paraId="6BE38B0D" w14:textId="77777777" w:rsidR="00653EE0" w:rsidRPr="00A56D4E" w:rsidRDefault="00653EE0" w:rsidP="00653EE0">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8"/>
    </w:p>
    <w:p w14:paraId="54113F93" w14:textId="547D627E" w:rsidR="00360605" w:rsidRDefault="00360605" w:rsidP="00360605">
      <w:pPr>
        <w:pStyle w:val="a9"/>
        <w:keepNext/>
        <w:spacing w:before="180" w:after="180"/>
        <w:ind w:firstLine="480"/>
      </w:pPr>
      <w:bookmarkStart w:id="284"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bookmarkEnd w:id="2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8"/>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5C09D7CB" w:rsidR="00360605" w:rsidRDefault="00360605" w:rsidP="00360605">
      <w:pPr>
        <w:pStyle w:val="a9"/>
        <w:keepNext/>
        <w:spacing w:before="180" w:after="180"/>
        <w:ind w:firstLine="480"/>
      </w:pPr>
      <w:bookmarkStart w:id="285"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77777777" w:rsidR="00360605" w:rsidRDefault="00360605" w:rsidP="00360605">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35C41399" w:rsidR="00360605" w:rsidRDefault="00360605" w:rsidP="00360605">
      <w:pPr>
        <w:pStyle w:val="a9"/>
        <w:keepNext/>
        <w:spacing w:before="180" w:after="180"/>
        <w:ind w:firstLine="480"/>
      </w:pPr>
      <w:bookmarkStart w:id="286"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7115B">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bookmarkEnd w:id="2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5B90050E" w14:textId="77777777" w:rsidR="00360605" w:rsidRPr="00A56D4E" w:rsidRDefault="00360605" w:rsidP="00360605">
      <w:pPr>
        <w:pStyle w:val="af8"/>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7" w:name="_Toc190531614"/>
      <w:bookmarkStart w:id="288" w:name="_Toc190982059"/>
      <w:bookmarkStart w:id="289" w:name="_Toc192324112"/>
      <w:r>
        <w:rPr>
          <w:rFonts w:hint="eastAsia"/>
        </w:rPr>
        <w:lastRenderedPageBreak/>
        <w:t>參考文獻</w:t>
      </w:r>
      <w:bookmarkEnd w:id="260"/>
      <w:bookmarkEnd w:id="287"/>
      <w:bookmarkEnd w:id="288"/>
      <w:bookmarkEnd w:id="289"/>
    </w:p>
    <w:p w14:paraId="2179FB68" w14:textId="77777777" w:rsidR="005652B0" w:rsidRDefault="00025BEA" w:rsidP="005652B0">
      <w:pPr>
        <w:pStyle w:val="afc"/>
        <w:spacing w:before="180" w:after="180"/>
        <w:ind w:left="480" w:hanging="480"/>
      </w:pPr>
      <w:r>
        <w:fldChar w:fldCharType="begin"/>
      </w:r>
      <w:r w:rsidR="005652B0">
        <w:rPr>
          <w:lang w:val="de-DE"/>
        </w:rPr>
        <w:instrText xml:space="preserve"> ADDIN ZOTERO_BIBL {"uncited":[],"omitted":[],"custom":[]} CSL_BIBLIOGRAPHY </w:instrText>
      </w:r>
      <w:r>
        <w:fldChar w:fldCharType="separate"/>
      </w:r>
      <w:r w:rsidR="005652B0">
        <w:t xml:space="preserve">Akyildirim, E., Corbet, S., Lucey, B., Sensoy, A., &amp; Yarovaya, L. (2020). The relationship between implied volatility and cryptocurrency returns. </w:t>
      </w:r>
      <w:r w:rsidR="005652B0">
        <w:rPr>
          <w:i/>
          <w:iCs/>
        </w:rPr>
        <w:t>Finance Research Letters</w:t>
      </w:r>
      <w:r w:rsidR="005652B0">
        <w:t xml:space="preserve">, </w:t>
      </w:r>
      <w:r w:rsidR="005652B0">
        <w:rPr>
          <w:i/>
          <w:iCs/>
        </w:rPr>
        <w:t>33</w:t>
      </w:r>
      <w:r w:rsidR="005652B0">
        <w:t>, 101212. https://doi.org/10.1016/j.frl.2019.06.010</w:t>
      </w:r>
    </w:p>
    <w:p w14:paraId="5FAE8CDC" w14:textId="77777777" w:rsidR="005652B0" w:rsidRDefault="005652B0" w:rsidP="005652B0">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465ECA15" w14:textId="77777777" w:rsidR="005652B0" w:rsidRDefault="005652B0" w:rsidP="005652B0">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3D7B72A1" w14:textId="77777777" w:rsidR="005652B0" w:rsidRDefault="005652B0" w:rsidP="005652B0">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43E94CA6" w14:textId="77777777" w:rsidR="005652B0" w:rsidRDefault="005652B0" w:rsidP="005652B0">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682E650D" w14:textId="77777777" w:rsidR="005652B0" w:rsidRDefault="005652B0" w:rsidP="005652B0">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56E7A160" w14:textId="77777777" w:rsidR="005652B0" w:rsidRDefault="005652B0" w:rsidP="005652B0">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F26D12B" w14:textId="77777777" w:rsidR="005652B0" w:rsidRDefault="005652B0" w:rsidP="005652B0">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5F332AAC" w14:textId="77777777" w:rsidR="005652B0" w:rsidRDefault="005652B0" w:rsidP="005652B0">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48F8F056" w14:textId="77777777" w:rsidR="005652B0" w:rsidRDefault="005652B0" w:rsidP="005652B0">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128E3A5" w14:textId="77777777" w:rsidR="005652B0" w:rsidRDefault="005652B0" w:rsidP="005652B0">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68B1E098" w14:textId="77777777" w:rsidR="005652B0" w:rsidRDefault="005652B0" w:rsidP="005652B0">
      <w:pPr>
        <w:pStyle w:val="afc"/>
        <w:spacing w:before="180" w:after="180"/>
        <w:ind w:left="480" w:hanging="480"/>
      </w:pPr>
      <w:r>
        <w:lastRenderedPageBreak/>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0B021524" w14:textId="77777777" w:rsidR="005652B0" w:rsidRDefault="005652B0" w:rsidP="005652B0">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9F1CB76" w14:textId="77777777" w:rsidR="005652B0" w:rsidRDefault="005652B0" w:rsidP="005652B0">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C174F58" w14:textId="77777777" w:rsidR="005652B0" w:rsidRDefault="005652B0" w:rsidP="005652B0">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254BEF3D" w14:textId="77777777" w:rsidR="005652B0" w:rsidRDefault="005652B0" w:rsidP="005652B0">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6D25ABD5" w14:textId="77777777" w:rsidR="005652B0" w:rsidRDefault="005652B0" w:rsidP="005652B0">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593DFED1" w14:textId="77777777" w:rsidR="005652B0" w:rsidRDefault="005652B0" w:rsidP="005652B0">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3A657C41" w14:textId="77777777" w:rsidR="005652B0" w:rsidRDefault="005652B0" w:rsidP="005652B0">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625CABC4" w14:textId="77777777" w:rsidR="005652B0" w:rsidRDefault="005652B0" w:rsidP="005652B0">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18367C76" w14:textId="77777777" w:rsidR="005652B0" w:rsidRDefault="005652B0" w:rsidP="005652B0">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7D5170D0" w14:textId="77777777" w:rsidR="005652B0" w:rsidRDefault="005652B0" w:rsidP="005652B0">
      <w:pPr>
        <w:pStyle w:val="afc"/>
        <w:spacing w:before="180" w:after="180"/>
        <w:ind w:left="480" w:hanging="480"/>
      </w:pPr>
      <w:r>
        <w:rPr>
          <w:i/>
          <w:iCs/>
        </w:rPr>
        <w:t>Deribit</w:t>
      </w:r>
      <w:r>
        <w:t>. (2025). https://www.deribit.com/</w:t>
      </w:r>
    </w:p>
    <w:p w14:paraId="3861D360" w14:textId="77777777" w:rsidR="005652B0" w:rsidRDefault="005652B0" w:rsidP="005652B0">
      <w:pPr>
        <w:pStyle w:val="afc"/>
        <w:spacing w:before="180" w:after="180"/>
        <w:ind w:left="480" w:hanging="480"/>
      </w:pPr>
      <w:r>
        <w:rPr>
          <w:i/>
          <w:iCs/>
        </w:rPr>
        <w:t>Deribit Options</w:t>
      </w:r>
      <w:r>
        <w:t>. (2025). https://www.deribit.com/</w:t>
      </w:r>
    </w:p>
    <w:p w14:paraId="1BF6CE70" w14:textId="77777777" w:rsidR="005652B0" w:rsidRDefault="005652B0" w:rsidP="005652B0">
      <w:pPr>
        <w:pStyle w:val="afc"/>
        <w:spacing w:before="180" w:after="180"/>
        <w:ind w:left="480" w:hanging="480"/>
      </w:pPr>
      <w:r>
        <w:lastRenderedPageBreak/>
        <w:t xml:space="preserve">Dong, B., Xu, W., &amp; Cui, Z. (2024). Implied Willow Tree. </w:t>
      </w:r>
      <w:r>
        <w:rPr>
          <w:i/>
          <w:iCs/>
        </w:rPr>
        <w:t>The Journal of Derivatives</w:t>
      </w:r>
      <w:r>
        <w:t xml:space="preserve">, </w:t>
      </w:r>
      <w:r>
        <w:rPr>
          <w:i/>
          <w:iCs/>
        </w:rPr>
        <w:t>31</w:t>
      </w:r>
      <w:r>
        <w:t>(4), 44–74. https://doi.org/10.3905/jod.2024.1.200</w:t>
      </w:r>
    </w:p>
    <w:p w14:paraId="665A59E1" w14:textId="77777777" w:rsidR="005652B0" w:rsidRDefault="005652B0" w:rsidP="005652B0">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336F99C" w14:textId="77777777" w:rsidR="005652B0" w:rsidRDefault="005652B0" w:rsidP="005652B0">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F12AC96" w14:textId="77777777" w:rsidR="005652B0" w:rsidRDefault="005652B0" w:rsidP="005652B0">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A73EB4E" w14:textId="77777777" w:rsidR="005652B0" w:rsidRDefault="005652B0" w:rsidP="005652B0">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7C16EFFD" w14:textId="77777777" w:rsidR="005652B0" w:rsidRDefault="005652B0" w:rsidP="005652B0">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1701C941" w14:textId="77777777" w:rsidR="005652B0" w:rsidRDefault="005652B0" w:rsidP="005652B0">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3A927E55" w14:textId="77777777" w:rsidR="005652B0" w:rsidRDefault="005652B0" w:rsidP="005652B0">
      <w:pPr>
        <w:pStyle w:val="afc"/>
        <w:spacing w:before="180" w:after="180"/>
        <w:ind w:left="480" w:hanging="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10553CE" w14:textId="77777777" w:rsidR="005652B0" w:rsidRDefault="005652B0" w:rsidP="005652B0">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646CBFE7" w14:textId="77777777" w:rsidR="005652B0" w:rsidRDefault="005652B0" w:rsidP="005652B0">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3B0AF85B" w14:textId="77777777" w:rsidR="005652B0" w:rsidRDefault="005652B0" w:rsidP="005652B0">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2EE68311" w14:textId="77777777" w:rsidR="005652B0" w:rsidRDefault="005652B0" w:rsidP="005652B0">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C3EEC01" w14:textId="77777777" w:rsidR="005652B0" w:rsidRDefault="005652B0" w:rsidP="005652B0">
      <w:pPr>
        <w:pStyle w:val="afc"/>
        <w:spacing w:before="180" w:after="180"/>
        <w:ind w:left="480" w:hanging="480"/>
      </w:pPr>
      <w:r>
        <w:lastRenderedPageBreak/>
        <w:t xml:space="preserve">Jondeau, E., Wang, X., Yan, Z., &amp; Zhang, Q. (2020). Skewness and index futures return. </w:t>
      </w:r>
      <w:r>
        <w:rPr>
          <w:i/>
          <w:iCs/>
        </w:rPr>
        <w:t>Journal of Futures Markets</w:t>
      </w:r>
      <w:r>
        <w:t xml:space="preserve">, </w:t>
      </w:r>
      <w:r>
        <w:rPr>
          <w:i/>
          <w:iCs/>
        </w:rPr>
        <w:t>40</w:t>
      </w:r>
      <w:r>
        <w:t>(11), 1648–1664. https://doi.org/10.1002/fut.22112</w:t>
      </w:r>
    </w:p>
    <w:p w14:paraId="74F0D17B" w14:textId="77777777" w:rsidR="005652B0" w:rsidRDefault="005652B0" w:rsidP="005652B0">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55A143D5" w14:textId="77777777" w:rsidR="005652B0" w:rsidRDefault="005652B0" w:rsidP="005652B0">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6B42ECD" w14:textId="77777777" w:rsidR="005652B0" w:rsidRDefault="005652B0" w:rsidP="005652B0">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697441F1" w14:textId="77777777" w:rsidR="005652B0" w:rsidRDefault="005652B0" w:rsidP="005652B0">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2C12A1BB" w14:textId="77777777" w:rsidR="005652B0" w:rsidRDefault="005652B0" w:rsidP="005652B0">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61D33AFA" w14:textId="77777777" w:rsidR="005652B0" w:rsidRDefault="005652B0" w:rsidP="005652B0">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7F8A83ED" w14:textId="77777777" w:rsidR="005652B0" w:rsidRDefault="005652B0" w:rsidP="005652B0">
      <w:pPr>
        <w:pStyle w:val="afc"/>
        <w:spacing w:before="180" w:after="180"/>
        <w:ind w:left="480" w:hanging="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7FF405A4" w14:textId="77777777" w:rsidR="005652B0" w:rsidRDefault="005652B0" w:rsidP="005652B0">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4F89702B" w14:textId="77777777" w:rsidR="005652B0" w:rsidRDefault="005652B0" w:rsidP="005652B0">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6A10ABE" w14:textId="77777777" w:rsidR="005652B0" w:rsidRDefault="005652B0" w:rsidP="005652B0">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4B261528" w14:textId="77777777" w:rsidR="005652B0" w:rsidRDefault="005652B0" w:rsidP="005652B0">
      <w:pPr>
        <w:pStyle w:val="afc"/>
        <w:spacing w:before="180" w:after="180"/>
        <w:ind w:left="480" w:hanging="480"/>
      </w:pPr>
      <w:r>
        <w:lastRenderedPageBreak/>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F067C39" w14:textId="77777777" w:rsidR="005652B0" w:rsidRDefault="005652B0" w:rsidP="005652B0">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06D83E46" w14:textId="77777777" w:rsidR="005652B0" w:rsidRDefault="005652B0" w:rsidP="005652B0">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30D9B34F" w14:textId="77777777" w:rsidR="005652B0" w:rsidRDefault="005652B0" w:rsidP="005652B0">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2AC0BA2A" w14:textId="77777777" w:rsidR="005652B0" w:rsidRDefault="005652B0" w:rsidP="005652B0">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3EB29647" w14:textId="77777777" w:rsidR="005652B0" w:rsidRDefault="005652B0" w:rsidP="005652B0">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643C0466" w14:textId="77777777" w:rsidR="005652B0" w:rsidRDefault="005652B0" w:rsidP="005652B0">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6D819864" w14:textId="77777777" w:rsidR="005652B0" w:rsidRDefault="005652B0" w:rsidP="005652B0">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1FC01E47" w14:textId="77777777" w:rsidR="005652B0" w:rsidRDefault="005652B0" w:rsidP="005652B0">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28565DA4" w14:textId="77777777" w:rsidR="005652B0" w:rsidRDefault="005652B0" w:rsidP="005652B0">
      <w:pPr>
        <w:pStyle w:val="afc"/>
        <w:spacing w:before="180" w:after="180"/>
        <w:ind w:left="480" w:hanging="480"/>
      </w:pPr>
      <w:r>
        <w:t xml:space="preserve">Shimko, D. (1993). Bounds of probability. </w:t>
      </w:r>
      <w:r>
        <w:rPr>
          <w:i/>
          <w:iCs/>
        </w:rPr>
        <w:t>Risk</w:t>
      </w:r>
      <w:r>
        <w:t xml:space="preserve">, </w:t>
      </w:r>
      <w:r>
        <w:rPr>
          <w:i/>
          <w:iCs/>
        </w:rPr>
        <w:t>6</w:t>
      </w:r>
      <w:r>
        <w:t>(4), 33–37.</w:t>
      </w:r>
    </w:p>
    <w:p w14:paraId="145319DF" w14:textId="77777777" w:rsidR="005652B0" w:rsidRDefault="005652B0" w:rsidP="005652B0">
      <w:pPr>
        <w:pStyle w:val="afc"/>
        <w:spacing w:before="180" w:after="180"/>
        <w:ind w:left="480" w:hanging="480"/>
      </w:pPr>
      <w:r>
        <w:rPr>
          <w:i/>
          <w:iCs/>
        </w:rPr>
        <w:t>The Block</w:t>
      </w:r>
      <w:r>
        <w:t>. (2025). The Block. https://www.theblock.co/data/crypto-markets/options</w:t>
      </w:r>
    </w:p>
    <w:p w14:paraId="531449D1" w14:textId="77777777" w:rsidR="005652B0" w:rsidRDefault="005652B0" w:rsidP="005652B0">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4C60AD8B" w14:textId="77777777" w:rsidR="005652B0" w:rsidRDefault="005652B0" w:rsidP="005652B0">
      <w:pPr>
        <w:pStyle w:val="afc"/>
        <w:spacing w:before="180" w:after="180"/>
        <w:ind w:left="480" w:hanging="480"/>
      </w:pPr>
      <w:r>
        <w:lastRenderedPageBreak/>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33EE8670" w14:textId="77777777" w:rsidR="005652B0" w:rsidRDefault="005652B0" w:rsidP="005652B0">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0A84177" w14:textId="77777777" w:rsidR="005652B0" w:rsidRDefault="005652B0" w:rsidP="005652B0">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1FDF4DD9" w:rsidR="00025BEA" w:rsidRPr="00025BEA" w:rsidRDefault="00025BEA" w:rsidP="005652B0">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11218014" w:date="2025-03-14T13:16:00Z" w:initials="士王">
    <w:p w14:paraId="14C27147" w14:textId="77777777" w:rsidR="00AE33F7" w:rsidRDefault="00AE33F7" w:rsidP="00664423">
      <w:pPr>
        <w:pStyle w:val="aff"/>
        <w:spacing w:before="180" w:after="180"/>
        <w:ind w:firstLineChars="0" w:firstLine="0"/>
      </w:pPr>
      <w:r>
        <w:rPr>
          <w:rStyle w:val="afe"/>
        </w:rPr>
        <w:annotationRef/>
      </w:r>
      <w:r>
        <w:rPr>
          <w:rFonts w:hint="eastAsia"/>
        </w:rPr>
        <w:t>新方法（</w:t>
      </w:r>
      <w:r>
        <w:rPr>
          <w:rFonts w:hint="eastAsia"/>
        </w:rPr>
        <w:t>Our proposed method/approach</w:t>
      </w:r>
      <w:r>
        <w:rPr>
          <w:rFonts w:hint="eastAsia"/>
        </w:rPr>
        <w:t>），不要寫</w:t>
      </w:r>
      <w:r>
        <w:rPr>
          <w:rFonts w:hint="eastAsia"/>
        </w:rPr>
        <w:t xml:space="preserve"> improved</w:t>
      </w:r>
      <w:r>
        <w:br/>
      </w:r>
      <w:r>
        <w:br/>
        <w:t>single point with the slope</w:t>
      </w:r>
      <w:r>
        <w:br/>
        <w:t>two points</w:t>
      </w:r>
    </w:p>
  </w:comment>
  <w:comment w:id="26" w:author="User" w:date="2025-03-20T14:49:00Z" w:initials="U">
    <w:p w14:paraId="3A5D22D7" w14:textId="7EB3D1ED" w:rsidR="00AE33F7" w:rsidRDefault="00AE33F7">
      <w:pPr>
        <w:pStyle w:val="aff"/>
        <w:spacing w:before="180" w:after="180"/>
        <w:ind w:firstLine="360"/>
      </w:pPr>
      <w:r>
        <w:rPr>
          <w:rStyle w:val="afe"/>
        </w:rPr>
        <w:annotationRef/>
      </w:r>
      <w:r>
        <w:t>依據</w:t>
      </w:r>
    </w:p>
  </w:comment>
  <w:comment w:id="27" w:author="User" w:date="2025-03-20T14:49:00Z" w:initials="U">
    <w:p w14:paraId="53896636" w14:textId="47BB31AA" w:rsidR="00AE33F7" w:rsidRDefault="00AE33F7">
      <w:pPr>
        <w:pStyle w:val="aff"/>
        <w:spacing w:before="180" w:after="180"/>
        <w:ind w:firstLine="360"/>
      </w:pPr>
      <w:r>
        <w:rPr>
          <w:rStyle w:val="afe"/>
        </w:rPr>
        <w:annotationRef/>
      </w:r>
      <w:r>
        <w:t>與上段相結合</w:t>
      </w:r>
    </w:p>
  </w:comment>
  <w:comment w:id="28" w:author="User" w:date="2025-03-20T14:54:00Z" w:initials="U">
    <w:p w14:paraId="7231D2CF" w14:textId="35D92C7D" w:rsidR="006F498D" w:rsidRDefault="006F498D" w:rsidP="006F498D">
      <w:pPr>
        <w:pStyle w:val="aff"/>
        <w:spacing w:before="180" w:after="180"/>
        <w:ind w:firstLineChars="111"/>
      </w:pPr>
      <w:r>
        <w:rPr>
          <w:rStyle w:val="afe"/>
        </w:rPr>
        <w:annotationRef/>
      </w:r>
      <w:r>
        <w:rPr>
          <w:rFonts w:hint="eastAsia"/>
        </w:rPr>
        <w:t>有哪些文獻</w:t>
      </w:r>
    </w:p>
  </w:comment>
  <w:comment w:id="29" w:author="User" w:date="2025-03-20T14:55:00Z" w:initials="U">
    <w:p w14:paraId="52FFB5C9" w14:textId="3DABA768" w:rsidR="006F498D" w:rsidRDefault="006F498D">
      <w:pPr>
        <w:pStyle w:val="aff"/>
        <w:spacing w:before="180" w:after="180"/>
        <w:ind w:firstLine="360"/>
      </w:pPr>
      <w:r>
        <w:rPr>
          <w:rStyle w:val="afe"/>
        </w:rPr>
        <w:annotationRef/>
      </w:r>
      <w:r>
        <w:t>幾月到幾月</w:t>
      </w:r>
    </w:p>
  </w:comment>
  <w:comment w:id="30" w:author="User" w:date="2025-03-20T14:58:00Z" w:initials="U">
    <w:p w14:paraId="38C57A4B" w14:textId="5032315A" w:rsidR="006F498D" w:rsidRDefault="006F498D">
      <w:pPr>
        <w:pStyle w:val="aff"/>
        <w:spacing w:before="180" w:after="180"/>
        <w:ind w:firstLine="360"/>
      </w:pPr>
      <w:r>
        <w:rPr>
          <w:rStyle w:val="afe"/>
        </w:rPr>
        <w:annotationRef/>
      </w:r>
      <w:r>
        <w:t>何謂配適失敗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C27147" w15:done="0"/>
  <w15:commentEx w15:paraId="3A5D22D7" w15:done="1"/>
  <w15:commentEx w15:paraId="53896636" w15:done="1"/>
  <w15:commentEx w15:paraId="7231D2CF" w15:done="1"/>
  <w15:commentEx w15:paraId="52FFB5C9" w15:done="1"/>
  <w15:commentEx w15:paraId="38C57A4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Id w16cid:paraId="3A5D22D7" w16cid:durableId="3A5D22D7"/>
  <w16cid:commentId w16cid:paraId="53896636" w16cid:durableId="53896636"/>
  <w16cid:commentId w16cid:paraId="7231D2CF" w16cid:durableId="7231D2CF"/>
  <w16cid:commentId w16cid:paraId="52FFB5C9" w16cid:durableId="52FFB5C9"/>
  <w16cid:commentId w16cid:paraId="38C57A4B" w16cid:durableId="38C57A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F5918" w14:textId="77777777" w:rsidR="001911F4" w:rsidRDefault="001911F4" w:rsidP="001C4CCF">
      <w:pPr>
        <w:spacing w:before="120" w:after="120" w:line="240" w:lineRule="auto"/>
        <w:ind w:firstLine="480"/>
      </w:pPr>
      <w:r>
        <w:separator/>
      </w:r>
    </w:p>
  </w:endnote>
  <w:endnote w:type="continuationSeparator" w:id="0">
    <w:p w14:paraId="3B10791C" w14:textId="77777777" w:rsidR="001911F4" w:rsidRDefault="001911F4"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AE33F7" w:rsidRDefault="00AE33F7">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AE33F7" w:rsidRDefault="00AE33F7" w:rsidP="00764F78">
        <w:pPr>
          <w:pStyle w:val="ad"/>
          <w:spacing w:before="120" w:after="120"/>
          <w:ind w:firstLineChars="0" w:firstLine="0"/>
          <w:jc w:val="center"/>
        </w:pPr>
        <w:r>
          <w:fldChar w:fldCharType="begin"/>
        </w:r>
        <w:r>
          <w:instrText>PAGE   \* MERGEFORMAT</w:instrText>
        </w:r>
        <w:r>
          <w:fldChar w:fldCharType="separate"/>
        </w:r>
        <w:r w:rsidR="006F498D" w:rsidRPr="006F498D">
          <w:rPr>
            <w:noProof/>
            <w:lang w:val="zh-TW"/>
          </w:rPr>
          <w:t>25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AE33F7" w:rsidRDefault="00AE33F7">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5E1F3" w14:textId="77777777" w:rsidR="001911F4" w:rsidRDefault="001911F4" w:rsidP="001C4CCF">
      <w:pPr>
        <w:spacing w:before="120" w:after="120" w:line="240" w:lineRule="auto"/>
        <w:ind w:firstLine="480"/>
      </w:pPr>
      <w:r>
        <w:separator/>
      </w:r>
    </w:p>
  </w:footnote>
  <w:footnote w:type="continuationSeparator" w:id="0">
    <w:p w14:paraId="1DA7F3DF" w14:textId="77777777" w:rsidR="001911F4" w:rsidRDefault="001911F4"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AE33F7" w:rsidRDefault="00AE33F7">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AE33F7" w:rsidRDefault="00AE33F7">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AE33F7" w:rsidRDefault="00AE33F7">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57168186">
    <w:abstractNumId w:val="39"/>
  </w:num>
  <w:num w:numId="2" w16cid:durableId="1171793900">
    <w:abstractNumId w:val="32"/>
  </w:num>
  <w:num w:numId="3" w16cid:durableId="34232230">
    <w:abstractNumId w:val="21"/>
  </w:num>
  <w:num w:numId="4" w16cid:durableId="49424888">
    <w:abstractNumId w:val="37"/>
  </w:num>
  <w:num w:numId="5" w16cid:durableId="362898363">
    <w:abstractNumId w:val="26"/>
  </w:num>
  <w:num w:numId="6" w16cid:durableId="175847316">
    <w:abstractNumId w:val="20"/>
  </w:num>
  <w:num w:numId="7" w16cid:durableId="18624670">
    <w:abstractNumId w:val="35"/>
  </w:num>
  <w:num w:numId="8" w16cid:durableId="1557401114">
    <w:abstractNumId w:val="17"/>
  </w:num>
  <w:num w:numId="9" w16cid:durableId="996760265">
    <w:abstractNumId w:val="7"/>
  </w:num>
  <w:num w:numId="10" w16cid:durableId="1266184992">
    <w:abstractNumId w:val="12"/>
  </w:num>
  <w:num w:numId="11" w16cid:durableId="852109472">
    <w:abstractNumId w:val="22"/>
  </w:num>
  <w:num w:numId="12" w16cid:durableId="782723224">
    <w:abstractNumId w:val="14"/>
  </w:num>
  <w:num w:numId="13" w16cid:durableId="1893885269">
    <w:abstractNumId w:val="19"/>
  </w:num>
  <w:num w:numId="14" w16cid:durableId="253246433">
    <w:abstractNumId w:val="30"/>
  </w:num>
  <w:num w:numId="15" w16cid:durableId="1675574279">
    <w:abstractNumId w:val="25"/>
  </w:num>
  <w:num w:numId="16" w16cid:durableId="1702437986">
    <w:abstractNumId w:val="6"/>
  </w:num>
  <w:num w:numId="17" w16cid:durableId="2082948731">
    <w:abstractNumId w:val="5"/>
  </w:num>
  <w:num w:numId="18" w16cid:durableId="1236092679">
    <w:abstractNumId w:val="15"/>
  </w:num>
  <w:num w:numId="19" w16cid:durableId="745692231">
    <w:abstractNumId w:val="8"/>
  </w:num>
  <w:num w:numId="20" w16cid:durableId="339433304">
    <w:abstractNumId w:val="9"/>
  </w:num>
  <w:num w:numId="21" w16cid:durableId="1004478168">
    <w:abstractNumId w:val="38"/>
  </w:num>
  <w:num w:numId="22" w16cid:durableId="340668184">
    <w:abstractNumId w:val="36"/>
  </w:num>
  <w:num w:numId="23" w16cid:durableId="1364210973">
    <w:abstractNumId w:val="4"/>
  </w:num>
  <w:num w:numId="24" w16cid:durableId="1908762256">
    <w:abstractNumId w:val="28"/>
  </w:num>
  <w:num w:numId="25" w16cid:durableId="1467813470">
    <w:abstractNumId w:val="24"/>
  </w:num>
  <w:num w:numId="26" w16cid:durableId="1356345722">
    <w:abstractNumId w:val="1"/>
  </w:num>
  <w:num w:numId="27" w16cid:durableId="1126696261">
    <w:abstractNumId w:val="29"/>
  </w:num>
  <w:num w:numId="28" w16cid:durableId="1797403810">
    <w:abstractNumId w:val="3"/>
  </w:num>
  <w:num w:numId="29" w16cid:durableId="1899052781">
    <w:abstractNumId w:val="40"/>
  </w:num>
  <w:num w:numId="30" w16cid:durableId="1827162495">
    <w:abstractNumId w:val="31"/>
  </w:num>
  <w:num w:numId="31" w16cid:durableId="1122114230">
    <w:abstractNumId w:val="11"/>
  </w:num>
  <w:num w:numId="32" w16cid:durableId="1950548488">
    <w:abstractNumId w:val="2"/>
  </w:num>
  <w:num w:numId="33" w16cid:durableId="1475172440">
    <w:abstractNumId w:val="0"/>
  </w:num>
  <w:num w:numId="34" w16cid:durableId="977956386">
    <w:abstractNumId w:val="34"/>
  </w:num>
  <w:num w:numId="35" w16cid:durableId="508253000">
    <w:abstractNumId w:val="10"/>
  </w:num>
  <w:num w:numId="36" w16cid:durableId="653988410">
    <w:abstractNumId w:val="18"/>
  </w:num>
  <w:num w:numId="37" w16cid:durableId="258803804">
    <w:abstractNumId w:val="33"/>
  </w:num>
  <w:num w:numId="38" w16cid:durableId="1801679734">
    <w:abstractNumId w:val="16"/>
  </w:num>
  <w:num w:numId="39" w16cid:durableId="1926450454">
    <w:abstractNumId w:val="23"/>
  </w:num>
  <w:num w:numId="40" w16cid:durableId="2050107598">
    <w:abstractNumId w:val="27"/>
  </w:num>
  <w:num w:numId="41" w16cid:durableId="138093861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1C3E"/>
    <w:rsid w:val="000F5196"/>
    <w:rsid w:val="0010376E"/>
    <w:rsid w:val="00110614"/>
    <w:rsid w:val="00110E7A"/>
    <w:rsid w:val="00111D6E"/>
    <w:rsid w:val="00114843"/>
    <w:rsid w:val="00114E14"/>
    <w:rsid w:val="0011729B"/>
    <w:rsid w:val="001215E5"/>
    <w:rsid w:val="0012177C"/>
    <w:rsid w:val="00122FA0"/>
    <w:rsid w:val="00124244"/>
    <w:rsid w:val="0012601A"/>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7B87"/>
    <w:rsid w:val="001911F4"/>
    <w:rsid w:val="00193D2A"/>
    <w:rsid w:val="00195C95"/>
    <w:rsid w:val="001A1DF2"/>
    <w:rsid w:val="001A292E"/>
    <w:rsid w:val="001A6EE8"/>
    <w:rsid w:val="001B0DC3"/>
    <w:rsid w:val="001B4A7C"/>
    <w:rsid w:val="001B4D74"/>
    <w:rsid w:val="001B5A34"/>
    <w:rsid w:val="001C2E61"/>
    <w:rsid w:val="001C375F"/>
    <w:rsid w:val="001C3AD2"/>
    <w:rsid w:val="001C4CCF"/>
    <w:rsid w:val="001C7481"/>
    <w:rsid w:val="001D0C18"/>
    <w:rsid w:val="001D1A87"/>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0E24"/>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238B"/>
    <w:rsid w:val="00272E9A"/>
    <w:rsid w:val="00274E81"/>
    <w:rsid w:val="00275C2A"/>
    <w:rsid w:val="002803B3"/>
    <w:rsid w:val="002812B7"/>
    <w:rsid w:val="0028185C"/>
    <w:rsid w:val="00283E30"/>
    <w:rsid w:val="00286AC6"/>
    <w:rsid w:val="00287204"/>
    <w:rsid w:val="00290B69"/>
    <w:rsid w:val="002914A5"/>
    <w:rsid w:val="00296BBA"/>
    <w:rsid w:val="002A1B77"/>
    <w:rsid w:val="002A2A2A"/>
    <w:rsid w:val="002A4B81"/>
    <w:rsid w:val="002A664E"/>
    <w:rsid w:val="002A67DD"/>
    <w:rsid w:val="002B172E"/>
    <w:rsid w:val="002B276B"/>
    <w:rsid w:val="002B3678"/>
    <w:rsid w:val="002C02EC"/>
    <w:rsid w:val="002C258D"/>
    <w:rsid w:val="002C25E5"/>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53CE"/>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43C9"/>
    <w:rsid w:val="0036511B"/>
    <w:rsid w:val="0036771E"/>
    <w:rsid w:val="00370532"/>
    <w:rsid w:val="00373F0C"/>
    <w:rsid w:val="003749CE"/>
    <w:rsid w:val="003819B4"/>
    <w:rsid w:val="00382A2D"/>
    <w:rsid w:val="00383A1B"/>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31AB"/>
    <w:rsid w:val="003D5A65"/>
    <w:rsid w:val="003D7C9D"/>
    <w:rsid w:val="003D7CD6"/>
    <w:rsid w:val="003E4990"/>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57409"/>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38D3"/>
    <w:rsid w:val="004A3BE2"/>
    <w:rsid w:val="004A52F2"/>
    <w:rsid w:val="004B17E3"/>
    <w:rsid w:val="004B1A1F"/>
    <w:rsid w:val="004B43D7"/>
    <w:rsid w:val="004B64B4"/>
    <w:rsid w:val="004C2212"/>
    <w:rsid w:val="004C67FB"/>
    <w:rsid w:val="004C7F1C"/>
    <w:rsid w:val="004D0224"/>
    <w:rsid w:val="004D3690"/>
    <w:rsid w:val="004D56B0"/>
    <w:rsid w:val="004D7F17"/>
    <w:rsid w:val="004E1761"/>
    <w:rsid w:val="004E2C42"/>
    <w:rsid w:val="004F559A"/>
    <w:rsid w:val="004F5F74"/>
    <w:rsid w:val="004F631C"/>
    <w:rsid w:val="004F7EE0"/>
    <w:rsid w:val="00506C97"/>
    <w:rsid w:val="00511210"/>
    <w:rsid w:val="00511D1B"/>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52B0"/>
    <w:rsid w:val="005670CD"/>
    <w:rsid w:val="0057431E"/>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1C3D"/>
    <w:rsid w:val="005E4298"/>
    <w:rsid w:val="005E5DE9"/>
    <w:rsid w:val="005E7638"/>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D457C"/>
    <w:rsid w:val="006D6B65"/>
    <w:rsid w:val="006E13A6"/>
    <w:rsid w:val="006E14FE"/>
    <w:rsid w:val="006F2A22"/>
    <w:rsid w:val="006F498D"/>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44B"/>
    <w:rsid w:val="00747B0B"/>
    <w:rsid w:val="00750A47"/>
    <w:rsid w:val="00756E33"/>
    <w:rsid w:val="007637A9"/>
    <w:rsid w:val="00764F78"/>
    <w:rsid w:val="0076512C"/>
    <w:rsid w:val="00765613"/>
    <w:rsid w:val="00767608"/>
    <w:rsid w:val="0077361A"/>
    <w:rsid w:val="007749D3"/>
    <w:rsid w:val="00774B13"/>
    <w:rsid w:val="00775E82"/>
    <w:rsid w:val="00776FD3"/>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452F"/>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434"/>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55B8"/>
    <w:rsid w:val="00946EE9"/>
    <w:rsid w:val="00947EE9"/>
    <w:rsid w:val="00951C44"/>
    <w:rsid w:val="0095418D"/>
    <w:rsid w:val="00955B12"/>
    <w:rsid w:val="00955F19"/>
    <w:rsid w:val="0095659C"/>
    <w:rsid w:val="0096284F"/>
    <w:rsid w:val="00962EA8"/>
    <w:rsid w:val="009703DB"/>
    <w:rsid w:val="00972409"/>
    <w:rsid w:val="00973643"/>
    <w:rsid w:val="00974197"/>
    <w:rsid w:val="00974AD3"/>
    <w:rsid w:val="009750A9"/>
    <w:rsid w:val="009773DB"/>
    <w:rsid w:val="00985E70"/>
    <w:rsid w:val="009876D1"/>
    <w:rsid w:val="00987726"/>
    <w:rsid w:val="00987819"/>
    <w:rsid w:val="00987DA1"/>
    <w:rsid w:val="00987F37"/>
    <w:rsid w:val="00992A58"/>
    <w:rsid w:val="00994121"/>
    <w:rsid w:val="009A0544"/>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7680"/>
    <w:rsid w:val="009E7A3F"/>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10C5"/>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3333"/>
    <w:rsid w:val="00BE3F88"/>
    <w:rsid w:val="00BE7724"/>
    <w:rsid w:val="00BF0B1C"/>
    <w:rsid w:val="00BF138D"/>
    <w:rsid w:val="00BF32FB"/>
    <w:rsid w:val="00BF4AA0"/>
    <w:rsid w:val="00C04D35"/>
    <w:rsid w:val="00C07431"/>
    <w:rsid w:val="00C075C6"/>
    <w:rsid w:val="00C104A9"/>
    <w:rsid w:val="00C11FF8"/>
    <w:rsid w:val="00C1570D"/>
    <w:rsid w:val="00C23924"/>
    <w:rsid w:val="00C276F9"/>
    <w:rsid w:val="00C30021"/>
    <w:rsid w:val="00C3215A"/>
    <w:rsid w:val="00C328D8"/>
    <w:rsid w:val="00C34BB2"/>
    <w:rsid w:val="00C3674E"/>
    <w:rsid w:val="00C40C3F"/>
    <w:rsid w:val="00C4257E"/>
    <w:rsid w:val="00C43192"/>
    <w:rsid w:val="00C451F7"/>
    <w:rsid w:val="00C47024"/>
    <w:rsid w:val="00C51296"/>
    <w:rsid w:val="00C52650"/>
    <w:rsid w:val="00C54885"/>
    <w:rsid w:val="00C5787A"/>
    <w:rsid w:val="00C605B8"/>
    <w:rsid w:val="00C60F36"/>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6DE9"/>
    <w:rsid w:val="00C96EDE"/>
    <w:rsid w:val="00CA2B92"/>
    <w:rsid w:val="00CA36F0"/>
    <w:rsid w:val="00CA3B35"/>
    <w:rsid w:val="00CA4918"/>
    <w:rsid w:val="00CA669C"/>
    <w:rsid w:val="00CA7510"/>
    <w:rsid w:val="00CA7E3D"/>
    <w:rsid w:val="00CB09F9"/>
    <w:rsid w:val="00CB22E5"/>
    <w:rsid w:val="00CB31C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F61"/>
    <w:rsid w:val="00D72805"/>
    <w:rsid w:val="00D72F07"/>
    <w:rsid w:val="00D7448A"/>
    <w:rsid w:val="00D7564B"/>
    <w:rsid w:val="00D75654"/>
    <w:rsid w:val="00D75C59"/>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E06FF"/>
    <w:rsid w:val="00DE0C3B"/>
    <w:rsid w:val="00DE259F"/>
    <w:rsid w:val="00DE2FB9"/>
    <w:rsid w:val="00DE318B"/>
    <w:rsid w:val="00DE3699"/>
    <w:rsid w:val="00DE578F"/>
    <w:rsid w:val="00DF315E"/>
    <w:rsid w:val="00DF48F9"/>
    <w:rsid w:val="00DF5EE2"/>
    <w:rsid w:val="00DF7014"/>
    <w:rsid w:val="00E01870"/>
    <w:rsid w:val="00E03B72"/>
    <w:rsid w:val="00E06DB1"/>
    <w:rsid w:val="00E06F0A"/>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115B"/>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1167"/>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AD5"/>
    <w:rsid w:val="00F83C73"/>
    <w:rsid w:val="00F8525E"/>
    <w:rsid w:val="00F86E11"/>
    <w:rsid w:val="00F909BF"/>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D6B8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C12B5110-053B-440D-8656-5DF4E97CB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85</Pages>
  <Words>48178</Words>
  <Characters>274619</Characters>
  <Application>Microsoft Office Word</Application>
  <DocSecurity>0</DocSecurity>
  <Lines>2288</Lines>
  <Paragraphs>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3</cp:revision>
  <cp:lastPrinted>2025-03-25T19:17:00Z</cp:lastPrinted>
  <dcterms:created xsi:type="dcterms:W3CDTF">2025-03-25T19:17:00Z</dcterms:created>
  <dcterms:modified xsi:type="dcterms:W3CDTF">2025-03-25T19:30:00Z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id="FhY0Fds7"/&gt;&lt;style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