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5F" w:rsidRPr="000C5B59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ИСР 1.</w:t>
      </w:r>
      <w:r w:rsidR="001F784E" w:rsidRPr="000C5B59">
        <w:rPr>
          <w:rFonts w:ascii="Times New Roman" w:hAnsi="Times New Roman" w:cs="Times New Roman"/>
          <w:sz w:val="28"/>
          <w:szCs w:val="28"/>
        </w:rPr>
        <w:t>9</w:t>
      </w:r>
    </w:p>
    <w:p w:rsidR="001F784E" w:rsidRPr="000C5B59" w:rsidRDefault="001F784E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Изучить Постановление Главного государственного санитарного врача РФ </w:t>
      </w:r>
    </w:p>
    <w:p w:rsidR="001F784E" w:rsidRPr="000C5B59" w:rsidRDefault="001F784E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от 21.06.2016 N 81 </w:t>
      </w:r>
    </w:p>
    <w:p w:rsidR="00E27C5F" w:rsidRPr="000C5B59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0C5B59" w:rsidRDefault="00E27C5F" w:rsidP="001F7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ИВТ 3</w:t>
      </w:r>
      <w:bookmarkStart w:id="0" w:name="_GoBack"/>
      <w:bookmarkEnd w:id="0"/>
      <w:r w:rsidRPr="000C5B59">
        <w:rPr>
          <w:rFonts w:ascii="Times New Roman" w:hAnsi="Times New Roman" w:cs="Times New Roman"/>
          <w:sz w:val="28"/>
          <w:szCs w:val="28"/>
        </w:rPr>
        <w:t xml:space="preserve"> курс, 2021</w:t>
      </w:r>
    </w:p>
    <w:p w:rsidR="00103626" w:rsidRPr="000C5B59" w:rsidRDefault="00103626" w:rsidP="001F784E">
      <w:pPr>
        <w:rPr>
          <w:rFonts w:ascii="Times New Roman" w:hAnsi="Times New Roman" w:cs="Times New Roman"/>
          <w:sz w:val="28"/>
          <w:szCs w:val="28"/>
        </w:rPr>
      </w:pP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I. Общие положения и область применения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II. Микроклимат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2.1.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2.2.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2.1. Оптимальные величины параметров микроклимата на рабочих местах производственных помещений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2.2. Допустимые величины параметров микроклимата на рабочих местах производственных помещений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2.3.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</w:r>
      <w:proofErr w:type="gramEnd"/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2.4. Допустимые величины ТНС-индекса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2.3.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2.5. Минимальное количество участков измерения температуры, относительной влажности и скорости движения воздуха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III. Шум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3.1.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3.2.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>3.3.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IV. Вибрация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4.1.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4.2.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4.1. Предельно допустимые значения и уровни производственной вибрации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4.3.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V. Инфразвук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5.1.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5.2.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5.1. Предельно допустимые уровни инфразвука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5.3.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5.4. Санитарно-эпидемиологические требования к защите от инфразвука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VI. Воздушный и контактный ультразвук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6.1.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6.2.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6.1. Предельно допустимые уровни звукового давления воздушного ультразвука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6.2. Предельно допустимые уровни контактного ультразвука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6.3.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6.4. Требования по ограничению неблагоприятного влияния ультразвука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VII. Электрические, магнитные, электромагнитные поля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7.1.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7.2.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7.1. ПДУ постоянного магнитного поля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>Таблица 7.2. ПДУ синусоидального (периодического) магнитного поля частотой 50 Гц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7.3. ПДУ воздействия импульсных МП частотой 50 Гц в зависимости от режима генерации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7.4. ПДУ энергетических экспозиций ЭМП диапазона частот &gt;= 30 кГц - 300 ГГц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7.5 Максимальные ПДУ напряженности и плотности потока энергии ЭМП диапазона частот &gt;= 30 кГц - 300 ГГц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7.6. ПДУ электромагнитных полей на рабочих местах пользователей ПК и другими средствами ИКТ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7.3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VIII. Лазерное излучение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8.1.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8.2.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8.1. Соотношения для определения H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при однократном действии на глаза и кожу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коллимированного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или рассеянного лазерного излучения в диапазоне I (180 &lt; лямбда &lt;= 380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). Ограничивающая апертура - 1,1 x 10 -3 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8.2. Предельные однократные суточные дозы H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пду_Сигма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(3 x 10 4) при действии на глаза и кожу лазерным излучением в спектральном диапазоне I (180 &lt; лямбда &lt;= 380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8.3. Соотношения для определения H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при однократном действии на глаза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коллимированного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лазерного излучения в спектральном диапазоне II (380 &lt; лямбда &lt;= 1400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). Время действия меньше 1 с. Ограничивающая апертура - 7 x 10 -3 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8.4. Соотношения для определения E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при однократном действии на глаза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коллимированного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лазерного излучения в спектральном диапазоне II (380 &lt; лямбда &lt;= 1400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). Время действия больше 1 с. Ограничивающая апертура - 7 x 10 -3) 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8.6. Соотношения для определения H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при однократном действии на кожу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коллимированного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или рассеянного лазерного излучения в спектральном диапазоне II (380 &lt; лямбда &lt;= 1400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). Ограничивающая апертура - 1,1 x 10 -3 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8.7. Соотношения для определения H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пду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при однократном действии на глаза и кожу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коллимированного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или рассеянного лазерного излучения в спектральном диапазоне III (1400 &lt; лямбда &lt;= 10 5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>). Ограничивающая апертура - 1,1 x 10 -3 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8.3.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8.8. Примерные размеры (в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>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IX. Ультрафиолетовое излучение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9.1.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9.2. Нормируемые показатели и параметры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9.3.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X. Освещение на рабочих местах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10.1. Общие положения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10.2. Нормируемые показатели и параметры освещенности на рабочем месте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10.1. Разряды зрительных работ при больших расстояниях от различаемых объектов до глаз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Таблица 10.3. Допустимые уровни яркости рабочих поверхностей по условиям отраженной блескости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10.3. Требования к организации контроля и методам измерения параметров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1. Характеристика отдельных категорий работ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1.1. Категории работ на основе общих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энерготрат</w:t>
      </w:r>
      <w:proofErr w:type="spellEnd"/>
      <w:r w:rsidRPr="000C5B59">
        <w:rPr>
          <w:rFonts w:ascii="Times New Roman" w:hAnsi="Times New Roman" w:cs="Times New Roman"/>
          <w:sz w:val="28"/>
          <w:szCs w:val="28"/>
        </w:rPr>
        <w:t xml:space="preserve"> организма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>Приложение 2. Алгоритм определения ТНС-индекса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3.1. Допустимая продолжительность пребывания на рабочих местах при температуре воздуха выше допустимых величин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3.2. Допустимая продолжительность пребывания на рабочих местах при температуре воздуха ниже допустимых величин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5.1. Требования к подбору комплекта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СИЗ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в зависимости от условий эксплуатации и степени их теплоизоляции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5.2. Требования к подбору головных уборов в зависимости от их теплоизоляции, применительно к различным климатическим поясам (регионам)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5.3. Требования к подбору обуви в зависимости от степени теплоизоляции, применительно к различным климатическим поясам (регионам)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5.4. Требования к подбору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СИЗ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рук от пониженных температур в зависимости от их теплоизоляции, применительно к различным климатическим поясам (регионам)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0C5B59">
        <w:rPr>
          <w:rFonts w:ascii="Times New Roman" w:hAnsi="Times New Roman" w:cs="Times New Roman"/>
          <w:sz w:val="28"/>
          <w:szCs w:val="28"/>
        </w:rPr>
        <w:t>дБА</w:t>
      </w:r>
      <w:proofErr w:type="spellEnd"/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7. Направление осей при измерениях вибрации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9. Требования к освещению рабочих мест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9.1. Требования к освещению рабочих мест на промышленных предприятиях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9.2. Требования к освещению рабочих мест в помещениях общественных зданий, а также сопутствующих им производственных помещениях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Учреждения общего образования, начального, среднего и высшего специального образования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Детские дошкольные учреждения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Санатории, дома отдыха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Предприятия общественного питания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Магазины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Предприятия бытового обслуживания населения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Учреждения, осуществляющие медицинскую деятельность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Палатные отделения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Операционный блок, реанимационный зал, перевязочные, родовые отделения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Отделения консультативного приема, кабинеты диагностики и лечения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Лаборатории медицинских учреждений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Стерилизационные помещения и дезинфекционные помещения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B59">
        <w:rPr>
          <w:rFonts w:ascii="Times New Roman" w:hAnsi="Times New Roman" w:cs="Times New Roman"/>
          <w:sz w:val="28"/>
          <w:szCs w:val="28"/>
        </w:rPr>
        <w:t>Патолого-анатомическое</w:t>
      </w:r>
      <w:proofErr w:type="gramEnd"/>
      <w:r w:rsidRPr="000C5B59">
        <w:rPr>
          <w:rFonts w:ascii="Times New Roman" w:hAnsi="Times New Roman" w:cs="Times New Roman"/>
          <w:sz w:val="28"/>
          <w:szCs w:val="28"/>
        </w:rPr>
        <w:t xml:space="preserve"> отделение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Помещения пищеблоков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Аптеки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lastRenderedPageBreak/>
        <w:t>Центры гигиены и эпидемиологии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Станции скорой и неотложной медицинской помощи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Молочные кухни, раздаточные пункты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Вокзалы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10. Группы административных районов по ресурсам светового климата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sz w:val="28"/>
          <w:szCs w:val="28"/>
        </w:rPr>
        <w:t>Приложение 11. Нормирование и организация контроля уровня ослабления геомагнитного поля</w:t>
      </w:r>
    </w:p>
    <w:p w:rsidR="001F784E" w:rsidRPr="000C5B59" w:rsidRDefault="001F784E" w:rsidP="001F784E">
      <w:pPr>
        <w:rPr>
          <w:rFonts w:ascii="Times New Roman" w:hAnsi="Times New Roman" w:cs="Times New Roman"/>
          <w:sz w:val="28"/>
          <w:szCs w:val="28"/>
        </w:rPr>
      </w:pPr>
    </w:p>
    <w:sectPr w:rsidR="001F784E" w:rsidRPr="000C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0C5B59"/>
    <w:rsid w:val="00103626"/>
    <w:rsid w:val="001177A1"/>
    <w:rsid w:val="001F784E"/>
    <w:rsid w:val="00234B8D"/>
    <w:rsid w:val="003F7EED"/>
    <w:rsid w:val="008A24F8"/>
    <w:rsid w:val="00933A94"/>
    <w:rsid w:val="00BB350A"/>
    <w:rsid w:val="00D463C6"/>
    <w:rsid w:val="00E2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5</cp:revision>
  <cp:lastPrinted>2021-02-09T18:24:00Z</cp:lastPrinted>
  <dcterms:created xsi:type="dcterms:W3CDTF">2021-02-09T16:00:00Z</dcterms:created>
  <dcterms:modified xsi:type="dcterms:W3CDTF">2021-02-09T19:23:00Z</dcterms:modified>
</cp:coreProperties>
</file>