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60"/>
          <w:szCs w:val="60"/>
          <w:color w:val="8A1538"/>
        </w:rPr>
        <w:t xml:space="preserve">As-Built System Overview</w:t>
      </w:r>
    </w:p>
    <w:p>
      <w:pPr>
        <w:jc w:val="center"/>
        <w:spacing w:after="60"/>
      </w:pPr>
      <w:r>
        <w:rPr>
          <w:sz w:val="30"/>
          <w:szCs w:val="30"/>
          <w:color w:val="26191E"/>
        </w:rPr>
        <w:t xml:space="preserve">Records Destruction System</w:t>
      </w:r>
    </w:p>
    <w:p>
      <w:pPr>
        <w:jc w:val="center"/>
        <w:spacing w:after="200"/>
      </w:pPr>
      <w:r>
        <w:rPr>
          <w:sz w:val="20"/>
          <w:szCs w:val="20"/>
          <w:color w:val="5A4A50"/>
        </w:rPr>
        <w:t xml:space="preserve">Ministry of Education and Higher Education · State of Qatar</w:t>
      </w:r>
    </w:p>
    <w:p>
      <w:pPr>
        <w:jc w:val="center"/>
        <w:spacing w:after="360"/>
      </w:pPr>
      <w:r>
        <w:rPr>
          <w:i/>
          <w:sz w:val="20"/>
          <w:szCs w:val="20"/>
          <w:color w:val="5A4A50"/>
        </w:rPr>
        <w:t xml:space="preserve">A factual, technical description of what the system does today, derived directly from the codebase — not a business requirements document (see BRD skeleton for that).</w:t>
      </w:r>
    </w:p>
    <w:p>
      <w:pPr>
        <w:pBdr>
          <w:bottom w:val="single" w:sz="6" w:space="1" w:color="E4DCCC"/>
        </w:pBdr>
        <w:spacing w:before="80" w:after="200"/>
      </w:pPr>
    </w:p>
    <w:p>
      <w:pPr>
        <w:pStyle w:val="Heading1"/>
        <w:spacing w:before="380" w:after="140"/>
      </w:pPr>
      <w:r>
        <w:rPr>
          <w:b/>
          <w:sz w:val="40"/>
          <w:szCs w:val="40"/>
          <w:color w:val="8A1538"/>
        </w:rPr>
        <w:t xml:space="preserve">1. Purpose</w:t>
      </w:r>
    </w:p>
    <w:p>
      <w:pPr>
        <w:spacing w:after="120"/>
      </w:pPr>
      <w:r>
        <w:t xml:space="preserve">Replaces the ministry's paper “استمارة إتلاف وثائق” (records destruction request form) with a web application: a records-creating unit submits a request listing what it wants to destroy, four internal parties sign off on it, and an administrator reviews and formally approves or rejects it before physical destruction takes place.</w:t>
      </w:r>
    </w:p>
    <w:p>
      <w:pPr>
        <w:pStyle w:val="Heading1"/>
        <w:spacing w:before="380" w:after="140"/>
      </w:pPr>
      <w:r>
        <w:rPr>
          <w:b/>
          <w:sz w:val="40"/>
          <w:szCs w:val="40"/>
          <w:color w:val="8A1538"/>
        </w:rPr>
        <w:t xml:space="preserve">2. Architecture &amp; Technology</w:t>
      </w:r>
    </w:p>
    <w:tbl>
      <w:tblPr>
        <w:tblW w:w="0" w:type="auto"/>
        <w:tblBorders>
          <w:top w:val="single" w:sz="4" w:color="E4DCCC"/>
          <w:left w:val="single" w:sz="4" w:color="E4DCCC"/>
          <w:bottom w:val="single" w:sz="4" w:color="E4DCCC"/>
          <w:right w:val="single" w:sz="4" w:color="E4DCCC"/>
          <w:insideH w:val="single" w:sz="4" w:color="E4DCCC"/>
          <w:insideV w:val="single" w:sz="4" w:color="E4DCCC"/>
        </w:tblBorders>
      </w:tblPr>
      <w:tblGrid>
        <w:gridCol w:w="2600"/>
        <w:gridCol w:w="6600"/>
      </w:tblGrid>
      <w:tr>
        <w:tc>
          <w:tcPr>
            <w:tcW w:w="2600" w:type="dxa"/>
            <w:shd w:val="clear" w:fill="8A1538"/>
            <w:vAlign w:val="center"/>
          </w:tcPr>
          <w:p>
            <w:pPr>
              <w:spacing w:before="50" w:after="50"/>
            </w:pPr>
            <w:r>
              <w:rPr>
                <w:b/>
                <w:sz w:val="20"/>
                <w:szCs w:val="20"/>
                <w:color w:val="FFFFFF"/>
              </w:rPr>
              <w:t xml:space="preserve">Layer</w:t>
            </w:r>
          </w:p>
        </w:tc>
        <w:tc>
          <w:tcPr>
            <w:tcW w:w="6600" w:type="dxa"/>
            <w:shd w:val="clear" w:fill="8A1538"/>
            <w:vAlign w:val="center"/>
          </w:tcPr>
          <w:p>
            <w:pPr>
              <w:spacing w:before="50" w:after="50"/>
            </w:pPr>
            <w:r>
              <w:rPr>
                <w:b/>
                <w:sz w:val="20"/>
                <w:szCs w:val="20"/>
                <w:color w:val="FFFFFF"/>
              </w:rPr>
              <w:t xml:space="preserve">Technology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50" w:after="50"/>
            </w:pPr>
            <w:r>
              <w:rPr>
                <w:sz w:val="20"/>
                <w:szCs w:val="20"/>
                <w:color w:val="26191E"/>
              </w:rPr>
              <w:t xml:space="preserve">Backend</w:t>
            </w:r>
          </w:p>
        </w:tc>
        <w:tc>
          <w:tcPr>
            <w:tcW w:w="6600" w:type="dxa"/>
            <w:vAlign w:val="center"/>
          </w:tcPr>
          <w:p>
            <w:pPr>
              <w:spacing w:before="50" w:after="50"/>
            </w:pPr>
            <w:r>
              <w:rPr>
                <w:sz w:val="20"/>
                <w:szCs w:val="20"/>
                <w:color w:val="26191E"/>
              </w:rPr>
              <w:t xml:space="preserve">.NET 10, C#, Clean Architecture (Domain → Application → Infrastructure → Api)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50" w:after="50"/>
            </w:pPr>
            <w:r>
              <w:rPr>
                <w:sz w:val="20"/>
                <w:szCs w:val="20"/>
                <w:color w:val="26191E"/>
              </w:rPr>
              <w:t xml:space="preserve">Frontend</w:t>
            </w:r>
          </w:p>
        </w:tc>
        <w:tc>
          <w:tcPr>
            <w:tcW w:w="6600" w:type="dxa"/>
            <w:vAlign w:val="center"/>
          </w:tcPr>
          <w:p>
            <w:pPr>
              <w:spacing w:before="50" w:after="50"/>
            </w:pPr>
            <w:r>
              <w:rPr>
                <w:sz w:val="20"/>
                <w:szCs w:val="20"/>
                <w:color w:val="26191E"/>
              </w:rPr>
              <w:t xml:space="preserve">Angular 21 — standalone components, signals, zoneless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50" w:after="50"/>
            </w:pPr>
            <w:r>
              <w:rPr>
                <w:sz w:val="20"/>
                <w:szCs w:val="20"/>
                <w:color w:val="26191E"/>
              </w:rPr>
              <w:t xml:space="preserve">Database</w:t>
            </w:r>
          </w:p>
        </w:tc>
        <w:tc>
          <w:tcPr>
            <w:tcW w:w="6600" w:type="dxa"/>
            <w:vAlign w:val="center"/>
          </w:tcPr>
          <w:p>
            <w:pPr>
              <w:spacing w:before="50" w:after="50"/>
            </w:pPr>
            <w:r>
              <w:rPr>
                <w:sz w:val="20"/>
                <w:szCs w:val="20"/>
                <w:color w:val="26191E"/>
              </w:rPr>
              <w:t xml:space="preserve">SQL Server, accessed via EF Core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50" w:after="50"/>
            </w:pPr>
            <w:r>
              <w:rPr>
                <w:sz w:val="20"/>
                <w:szCs w:val="20"/>
                <w:color w:val="26191E"/>
              </w:rPr>
              <w:t xml:space="preserve">Authentication</w:t>
            </w:r>
          </w:p>
        </w:tc>
        <w:tc>
          <w:tcPr>
            <w:tcW w:w="6600" w:type="dxa"/>
            <w:vAlign w:val="center"/>
          </w:tcPr>
          <w:p>
            <w:pPr>
              <w:spacing w:before="50" w:after="50"/>
            </w:pPr>
            <w:r>
              <w:rPr>
                <w:sz w:val="20"/>
                <w:szCs w:val="20"/>
                <w:color w:val="26191E"/>
              </w:rPr>
              <w:t xml:space="preserve">ASP.NET Core Identity + JWT bearer tokens</w:t>
            </w:r>
          </w:p>
        </w:tc>
      </w:tr>
      <w:tr>
        <w:tc>
          <w:tcPr>
            <w:tcW w:w="2600" w:type="dxa"/>
            <w:vAlign w:val="center"/>
          </w:tcPr>
          <w:p>
            <w:pPr>
              <w:spacing w:before="50" w:after="50"/>
            </w:pPr>
            <w:r>
              <w:rPr>
                <w:sz w:val="20"/>
                <w:szCs w:val="20"/>
                <w:color w:val="26191E"/>
              </w:rPr>
              <w:t xml:space="preserve">Document generation</w:t>
            </w:r>
          </w:p>
        </w:tc>
        <w:tc>
          <w:tcPr>
            <w:tcW w:w="6600" w:type="dxa"/>
            <w:vAlign w:val="center"/>
          </w:tcPr>
          <w:p>
            <w:pPr>
              <w:spacing w:before="50" w:after="50"/>
            </w:pPr>
            <w:r>
              <w:rPr>
                <w:sz w:val="20"/>
                <w:szCs w:val="20"/>
                <w:color w:val="26191E"/>
              </w:rPr>
              <w:t xml:space="preserve">QuestPDF (PDF), OpenXML SDK (Word, Excel via ClosedXML)</w:t>
            </w:r>
          </w:p>
        </w:tc>
      </w:tr>
    </w:tbl>
    <w:p>
      <w:pPr>
        <w:spacing w:after="160"/>
      </w:pPr>
    </w:p>
    <w:p>
      <w:pPr>
        <w:pStyle w:val="Heading1"/>
        <w:spacing w:before="380" w:after="140"/>
      </w:pPr>
      <w:r>
        <w:rPr>
          <w:b/>
          <w:sz w:val="40"/>
          <w:szCs w:val="40"/>
          <w:color w:val="8A1538"/>
        </w:rPr>
        <w:t xml:space="preserve">3. Authentication &amp; Access</w:t>
      </w:r>
    </w:p>
    <w:p>
      <w:pPr>
        <w:spacing w:after="50"/>
        <w:ind w:left="340"/>
      </w:pPr>
      <w:r>
        <w:t xml:space="preserve">•  </w:t>
      </w:r>
      <w:r>
        <w:rPr>
          <w:b/>
        </w:rPr>
        <w:t xml:space="preserve">Self-registration</w:t>
      </w:r>
      <w:r>
        <w:t xml:space="preserve"> — no admin approval step. Restricted to email addresses ending in </w:t>
      </w:r>
      <w:r>
        <w:rPr>
          <w:sz w:val="20"/>
          <w:szCs w:val="20"/>
          <w:color w:val="6E4E1E"/>
          <w:rFonts w:ascii="Consolas" w:hAnsi="Consolas" w:cs="Consolas"/>
          <w:shd w:val="clear" w:fill="F1ECE2"/>
        </w:rPr>
        <w:t xml:space="preserve">@education.qa</w:t>
      </w:r>
      <w:r>
        <w:t xml:space="preserve"> or </w:t>
      </w:r>
      <w:r>
        <w:rPr>
          <w:sz w:val="20"/>
          <w:szCs w:val="20"/>
          <w:color w:val="6E4E1E"/>
          <w:rFonts w:ascii="Consolas" w:hAnsi="Consolas" w:cs="Consolas"/>
          <w:shd w:val="clear" w:fill="F1ECE2"/>
        </w:rPr>
        <w:t xml:space="preserve">@edu.gov.qa</w:t>
      </w:r>
      <w:r>
        <w:t xml:space="preserve">.</w:t>
      </w:r>
    </w:p>
    <w:p>
      <w:pPr>
        <w:spacing w:after="50"/>
        <w:ind w:left="340"/>
      </w:pPr>
      <w:r>
        <w:t xml:space="preserve">•  </w:t>
      </w:r>
      <w:r>
        <w:rPr>
          <w:b/>
        </w:rPr>
        <w:t xml:space="preserve">Password policy</w:t>
      </w:r>
      <w:r>
        <w:t xml:space="preserve"> — minimum 10 characters, requires uppercase, lowercase, digit, and special character.</w:t>
      </w:r>
    </w:p>
    <w:p>
      <w:pPr>
        <w:spacing w:after="50"/>
        <w:ind w:left="340"/>
      </w:pPr>
      <w:r>
        <w:t xml:space="preserve">•  </w:t>
      </w:r>
      <w:r>
        <w:rPr>
          <w:b/>
        </w:rPr>
        <w:t xml:space="preserve">First-login profile completion</w:t>
      </w:r>
      <w:r>
        <w:t xml:space="preserve"> — a new account has no name/department until the user fills them in; enforced by a route guard before any other page is reachable.</w:t>
      </w:r>
    </w:p>
    <w:p>
      <w:pPr>
        <w:spacing w:after="160"/>
        <w:ind w:left="340"/>
      </w:pPr>
      <w:r>
        <w:t xml:space="preserve">•  </w:t>
      </w:r>
      <w:r>
        <w:rPr>
          <w:b/>
        </w:rPr>
        <w:t xml:space="preserve">Two roles</w:t>
      </w:r>
      <w:r>
        <w:t xml:space="preserve">: </w:t>
      </w:r>
      <w:r>
        <w:rPr>
          <w:sz w:val="20"/>
          <w:szCs w:val="20"/>
          <w:color w:val="6E4E1E"/>
          <w:rFonts w:ascii="Consolas" w:hAnsi="Consolas" w:cs="Consolas"/>
          <w:shd w:val="clear" w:fill="F1ECE2"/>
        </w:rPr>
        <w:t xml:space="preserve">User</w:t>
      </w:r>
      <w:r>
        <w:t xml:space="preserve"> (default) and </w:t>
      </w:r>
      <w:r>
        <w:rPr>
          <w:sz w:val="20"/>
          <w:szCs w:val="20"/>
          <w:color w:val="6E4E1E"/>
          <w:rFonts w:ascii="Consolas" w:hAnsi="Consolas" w:cs="Consolas"/>
          <w:shd w:val="clear" w:fill="F1ECE2"/>
        </w:rPr>
        <w:t xml:space="preserve">Admin</w:t>
      </w:r>
      <w:r>
        <w:t xml:space="preserve"> (promoted manually by an existing admin).</w:t>
      </w:r>
    </w:p>
    <w:p>
      <w:pPr>
        <w:pStyle w:val="Heading1"/>
        <w:spacing w:before="380" w:after="140"/>
      </w:pPr>
      <w:r>
        <w:rPr>
          <w:b/>
          <w:sz w:val="40"/>
          <w:szCs w:val="40"/>
          <w:color w:val="8A1538"/>
        </w:rPr>
        <w:t xml:space="preserve">4. Core Domain Model</w:t>
      </w:r>
    </w:p>
    <w:p>
      <w:pPr>
        <w:spacing w:after="120"/>
      </w:pPr>
      <w:r>
        <w:rPr>
          <w:b/>
        </w:rPr>
        <w:t xml:space="preserve">DestructionRequest</w:t>
      </w:r>
      <w:r>
        <w:t xml:space="preserve"> → a list of </w:t>
      </w:r>
      <w:r>
        <w:rPr>
          <w:b/>
        </w:rPr>
        <w:t xml:space="preserve">DestructionRecord</w:t>
      </w:r>
      <w:r>
        <w:t xml:space="preserve"> line items, plus four signature blocks (Creator Unit, Legal Affairs, Internal Audit, Records Management), each storing a name, date, and signature image.</w:t>
      </w:r>
    </w:p>
    <w:p>
      <w:pPr>
        <w:spacing w:after="120"/>
      </w:pPr>
      <w:r>
        <w:t xml:space="preserve">Status lifecycle: </w:t>
      </w:r>
      <w:r>
        <w:rPr>
          <w:b/>
          <w:color w:val="5A4A50"/>
        </w:rPr>
        <w:t xml:space="preserve">Draft</w:t>
      </w:r>
      <w:r>
        <w:t xml:space="preserve"> → </w:t>
      </w:r>
      <w:r>
        <w:rPr>
          <w:b/>
          <w:color w:val="8A6A1E"/>
        </w:rPr>
        <w:t xml:space="preserve">Submitted</w:t>
      </w:r>
      <w:r>
        <w:t xml:space="preserve"> → </w:t>
      </w:r>
      <w:r>
        <w:rPr>
          <w:b/>
          <w:color w:val="0F8A72"/>
        </w:rPr>
        <w:t xml:space="preserve">Approved</w:t>
      </w:r>
      <w:r>
        <w:t xml:space="preserve"> or </w:t>
      </w:r>
      <w:r>
        <w:rPr>
          <w:b/>
          <w:color w:val="B23A38"/>
        </w:rPr>
        <w:t xml:space="preserve">Rejected</w:t>
      </w:r>
      <w:r>
        <w:t xml:space="preserve"> (rejected requests can be edited and resubmitted by their owner).</w:t>
      </w:r>
    </w:p>
    <w:p>
      <w:pPr>
        <w:spacing w:after="120"/>
      </w:pPr>
      <w:r>
        <w:t xml:space="preserve">Departments are hierarchical: Department → SubDepartment (self-referencing via ParentId, arbitrary depth).</w:t>
      </w:r>
    </w:p>
    <w:p>
      <w:pPr>
        <w:spacing w:after="120"/>
      </w:pPr>
      <w:r>
        <w:t xml:space="preserve">A separate boolean tracks whether an Approved request's records have actually been physically destroyed — independent from the paperwork approval itself.</w:t>
      </w:r>
    </w:p>
    <w:p>
      <w:pPr>
        <w:pStyle w:val="Heading1"/>
        <w:spacing w:before="380" w:after="140"/>
      </w:pPr>
      <w:r>
        <w:rPr>
          <w:b/>
          <w:sz w:val="40"/>
          <w:szCs w:val="40"/>
          <w:color w:val="8A1538"/>
        </w:rPr>
        <w:t xml:space="preserve">5. Functional Capabilities</w:t>
      </w:r>
    </w:p>
    <w:p>
      <w:pPr>
        <w:pStyle w:val="Heading2"/>
        <w:keepNext/>
        <w:spacing w:before="200" w:after="80"/>
      </w:pPr>
      <w:r>
        <w:rPr>
          <w:b/>
          <w:sz w:val="26"/>
          <w:szCs w:val="26"/>
          <w:color w:val="26191E"/>
        </w:rPr>
        <w:t xml:space="preserve">Regular users</w:t>
      </w:r>
    </w:p>
    <w:p>
      <w:pPr>
        <w:spacing w:after="50"/>
        <w:ind w:left="340"/>
      </w:pPr>
      <w:r>
        <w:t xml:space="preserve">•  </w:t>
      </w:r>
      <w:r>
        <w:t xml:space="preserve">Submit a destruction request (5-section form) or save it as a private draft</w:t>
      </w:r>
    </w:p>
    <w:p>
      <w:pPr>
        <w:spacing w:after="50"/>
        <w:ind w:left="340"/>
      </w:pPr>
      <w:r>
        <w:t xml:space="preserve">•  </w:t>
      </w:r>
      <w:r>
        <w:t xml:space="preserve">Edit their own request while it is Draft or Rejected</w:t>
      </w:r>
    </w:p>
    <w:p>
      <w:pPr>
        <w:spacing w:after="50"/>
        <w:ind w:left="340"/>
      </w:pPr>
      <w:r>
        <w:t xml:space="preserve">•  </w:t>
      </w:r>
      <w:r>
        <w:t xml:space="preserve">View and filter their own submission history</w:t>
      </w:r>
    </w:p>
    <w:p>
      <w:pPr>
        <w:spacing w:after="160"/>
        <w:ind w:left="340"/>
      </w:pPr>
      <w:r>
        <w:t xml:space="preserve">•  </w:t>
      </w:r>
      <w:r>
        <w:t xml:space="preserve">Download the official PDF/Word form once a request is Approved</w:t>
      </w:r>
    </w:p>
    <w:p>
      <w:pPr>
        <w:pStyle w:val="Heading2"/>
        <w:keepNext/>
        <w:spacing w:before="200" w:after="80"/>
      </w:pPr>
      <w:r>
        <w:rPr>
          <w:b/>
          <w:sz w:val="26"/>
          <w:szCs w:val="26"/>
          <w:color w:val="26191E"/>
        </w:rPr>
        <w:t xml:space="preserve">Administrators</w:t>
      </w:r>
    </w:p>
    <w:p>
      <w:pPr>
        <w:spacing w:after="50"/>
        <w:ind w:left="340"/>
      </w:pPr>
      <w:r>
        <w:t xml:space="preserve">•  </w:t>
      </w:r>
      <w:r>
        <w:t xml:space="preserve">Dashboard with submission counts by status (drafts excluded/private)</w:t>
      </w:r>
    </w:p>
    <w:p>
      <w:pPr>
        <w:spacing w:after="50"/>
        <w:ind w:left="340"/>
      </w:pPr>
      <w:r>
        <w:t xml:space="preserve">•  </w:t>
      </w:r>
      <w:r>
        <w:t xml:space="preserve">View and filter every non-draft submission across all users</w:t>
      </w:r>
    </w:p>
    <w:p>
      <w:pPr>
        <w:spacing w:after="50"/>
        <w:ind w:left="340"/>
      </w:pPr>
      <w:r>
        <w:t xml:space="preserve">•  </w:t>
      </w:r>
      <w:r>
        <w:t xml:space="preserve">Approve or reject a request, with an optional note attached on rejection</w:t>
      </w:r>
    </w:p>
    <w:p>
      <w:pPr>
        <w:spacing w:after="50"/>
        <w:ind w:left="340"/>
      </w:pPr>
      <w:r>
        <w:t xml:space="preserve">•  </w:t>
      </w:r>
      <w:r>
        <w:t xml:space="preserve">Mark an Approved request as physically destroyed (separately from approval), with an undo</w:t>
      </w:r>
    </w:p>
    <w:p>
      <w:pPr>
        <w:spacing w:after="50"/>
        <w:ind w:left="340"/>
      </w:pPr>
      <w:r>
        <w:t xml:space="preserve">•  </w:t>
      </w:r>
      <w:r>
        <w:t xml:space="preserve">Edit or soft-delete any user's request</w:t>
      </w:r>
    </w:p>
    <w:p>
      <w:pPr>
        <w:spacing w:after="50"/>
        <w:ind w:left="340"/>
      </w:pPr>
      <w:r>
        <w:t xml:space="preserve">•  </w:t>
      </w:r>
      <w:r>
        <w:t xml:space="preserve">Manage existing user accounts: edit name/department/role, activate/deactivate, soft-delete</w:t>
      </w:r>
    </w:p>
    <w:p>
      <w:pPr>
        <w:spacing w:after="160"/>
        <w:ind w:left="340"/>
      </w:pPr>
      <w:r>
        <w:t xml:space="preserve">•  </w:t>
      </w:r>
      <w:r>
        <w:t xml:space="preserve">Export an Excel summary of every Approved, not-yet-destroyed request (the official “كشف الإتلاف”)</w:t>
      </w:r>
    </w:p>
    <w:p>
      <w:pPr>
        <w:pStyle w:val="Heading1"/>
        <w:spacing w:before="380" w:after="140"/>
      </w:pPr>
      <w:r>
        <w:rPr>
          <w:b/>
          <w:sz w:val="40"/>
          <w:szCs w:val="40"/>
          <w:color w:val="8A1538"/>
        </w:rPr>
        <w:t xml:space="preserve">6. Data Handling</w:t>
      </w:r>
    </w:p>
    <w:p>
      <w:pPr>
        <w:spacing w:after="50"/>
        <w:ind w:left="340"/>
      </w:pPr>
      <w:r>
        <w:t xml:space="preserve">•  </w:t>
      </w:r>
      <w:r>
        <w:rPr>
          <w:b/>
        </w:rPr>
        <w:t xml:space="preserve">Soft delete only</w:t>
      </w:r>
      <w:r>
        <w:t xml:space="preserve"> — every entity carries IsDeleted/DeletedAt; a SoftDeleteInterceptor and per-entity query filters enforce this at the ORM level. No endpoint performs a physical delete.</w:t>
      </w:r>
    </w:p>
    <w:p>
      <w:pPr>
        <w:spacing w:after="50"/>
        <w:ind w:left="340"/>
      </w:pPr>
      <w:r>
        <w:t xml:space="preserve">•  </w:t>
      </w:r>
      <w:r>
        <w:rPr>
          <w:b/>
        </w:rPr>
        <w:t xml:space="preserve">Bilingual UI</w:t>
      </w:r>
      <w:r>
        <w:t xml:space="preserve"> — every interface string exists in both Arabic and English (JSON resource files), with automatic RTL/LTR layout switching.</w:t>
      </w:r>
    </w:p>
    <w:p>
      <w:pPr>
        <w:spacing w:after="160"/>
        <w:ind w:left="340"/>
      </w:pPr>
      <w:r>
        <w:t xml:space="preserve">•  </w:t>
      </w:r>
      <w:r>
        <w:rPr>
          <w:b/>
        </w:rPr>
        <w:t xml:space="preserve">Secrets</w:t>
      </w:r>
      <w:r>
        <w:t xml:space="preserve"> — connection strings, JWT signing key, and seed admin credentials are read from configuration (user-secrets locally / environment variables in production), never committed.</w:t>
      </w:r>
    </w:p>
    <w:p>
      <w:pPr>
        <w:pStyle w:val="Heading1"/>
        <w:spacing w:before="380" w:after="140"/>
      </w:pPr>
      <w:r>
        <w:rPr>
          <w:b/>
          <w:sz w:val="40"/>
          <w:szCs w:val="40"/>
          <w:color w:val="8A1538"/>
        </w:rPr>
        <w:t xml:space="preserve">7. Known Gaps (as of this document)</w:t>
      </w:r>
    </w:p>
    <w:p>
      <w:pPr>
        <w:spacing w:after="80"/>
      </w:pPr>
      <w:r>
        <w:rPr>
          <w:i/>
        </w:rPr>
        <w:t xml:space="preserve">The following were discussed during development but are </w:t>
      </w:r>
      <w:r>
        <w:rPr>
          <w:b/>
          <w:i/>
        </w:rPr>
        <w:t xml:space="preserve">not yet implemented</w:t>
      </w:r>
      <w:r>
        <w:rPr>
          <w:i/>
        </w:rPr>
        <w:t xml:space="preserve">:</w:t>
      </w:r>
    </w:p>
    <w:p>
      <w:pPr>
        <w:spacing w:after="50"/>
        <w:ind w:left="340"/>
      </w:pPr>
      <w:r>
        <w:t xml:space="preserve">•  </w:t>
      </w:r>
      <w:r>
        <w:t xml:space="preserve">No outbound notifications (email or in-app) when a request's status changes</w:t>
      </w:r>
    </w:p>
    <w:p>
      <w:pPr>
        <w:spacing w:after="50"/>
        <w:ind w:left="340"/>
      </w:pPr>
      <w:r>
        <w:t xml:space="preserve">•  </w:t>
      </w:r>
      <w:r>
        <w:t xml:space="preserve">Authentication is app-managed self-registration, not federated single sign-on against the ministry's own identity provider</w:t>
      </w:r>
    </w:p>
    <w:sectPr>
      <w:pgSz w:w="12240" w:h="15840"/>
      <w:pgMar w:top="1080" w:right="1260" w:bottom="1080" w:left="126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color w:val="26191E"/>
      </w:rPr>
    </w:rPrDefault>
    <w:pPrDefault>
      <w:pPr>
        <w:spacing w:line="288" w:lineRule="auto"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0" w:after="140"/>
      <w:pBdr>
        <w:bottom w:val="single" w:sz="12" w:space="6" w:color="8A1538"/>
      </w:pBdr>
    </w:pPr>
    <w:rPr>
      <w:b/>
      <w:color w:val="8A1538"/>
      <w:sz w:val="30"/>
    </w:rPr>
  </w:style>
  <w:style w:type="paragraph" w:styleId="Heading2">
    <w:name w:val="heading 2"/>
    <w:basedOn w:val="Normal"/>
    <w:next w:val="Normal"/>
    <w:rPr>
      <w:b/>
      <w:color w:val="26191E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Records Destruction System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As-Built System Overview — Records Destruction System</dc:title>
  <dc:creator>Ministry of Education and Higher Education</dc:creator>
</cp:coreProperties>
</file>