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800" w:after="40"/>
      </w:pPr>
      <w:r>
        <w:rPr>
          <w:b/>
          <w:sz w:val="64"/>
          <w:szCs w:val="64"/>
          <w:color w:val="8A1538"/>
        </w:rPr>
        <w:t xml:space="preserve">Business Requirements Document</w:t>
      </w:r>
    </w:p>
    <w:p>
      <w:pPr>
        <w:jc w:val="center"/>
        <w:spacing w:after="10"/>
      </w:pPr>
      <w:r>
        <w:rPr>
          <w:sz w:val="36"/>
          <w:szCs w:val="36"/>
          <w:color w:val="26191E"/>
        </w:rPr>
        <w:t xml:space="preserve">Records Destruction System</w:t>
      </w:r>
    </w:p>
    <w:p>
      <w:pPr>
        <w:jc w:val="center"/>
        <w:spacing w:after="260"/>
      </w:pPr>
      <w:r>
        <w:rPr>
          <w:sz w:val="22"/>
          <w:szCs w:val="22"/>
          <w:color w:val="5A4A50"/>
        </w:rPr>
        <w:t xml:space="preserve">Ministry of Education and Higher Education — State of Qatar</w:t>
      </w:r>
    </w:p>
    <w:p>
      <w:pPr>
        <w:pBdr>
          <w:bottom w:val="single" w:sz="8" w:space="4" w:color="8A1538"/>
        </w:pBdr>
        <w:spacing w:before="120" w:after="240"/>
      </w:pP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Pr>
      <w:tblGrid>
        <w:gridCol w:w="3000"/>
        <w:gridCol w:w="6200"/>
      </w:tblGrid>
      <w:tr>
        <w:tc>
          <w:tcPr>
            <w:tcW w:w="3000" w:type="dxa"/>
            <w:shd w:val="clear" w:fill="8A1538"/>
            <w:vAlign w:val="center"/>
          </w:tcPr>
          <w:p>
            <w:pPr>
              <w:spacing w:before="50" w:after="50"/>
            </w:pPr>
            <w:r>
              <w:rPr>
                <w:b/>
                <w:sz w:val="20"/>
                <w:szCs w:val="20"/>
                <w:color w:val="FFFFFF"/>
              </w:rPr>
              <w:t xml:space="preserve">Field</w:t>
            </w:r>
          </w:p>
        </w:tc>
        <w:tc>
          <w:tcPr>
            <w:tcW w:w="6200" w:type="dxa"/>
            <w:shd w:val="clear" w:fill="8A1538"/>
            <w:vAlign w:val="center"/>
          </w:tcPr>
          <w:p>
            <w:pPr>
              <w:spacing w:before="50" w:after="50"/>
            </w:pPr>
            <w:r>
              <w:rPr>
                <w:b/>
                <w:sz w:val="20"/>
                <w:szCs w:val="20"/>
                <w:color w:val="FFFFFF"/>
              </w:rPr>
              <w:t xml:space="preserve">Value</w:t>
            </w:r>
          </w:p>
        </w:tc>
      </w:tr>
      <w:tr>
        <w:tc>
          <w:tcPr>
            <w:tcW w:w="3000" w:type="dxa"/>
            <w:vAlign w:val="center"/>
          </w:tcPr>
          <w:p>
            <w:pPr>
              <w:spacing w:before="50" w:after="50"/>
            </w:pPr>
            <w:r>
              <w:rPr>
                <w:sz w:val="20"/>
                <w:szCs w:val="20"/>
                <w:color w:val="26191E"/>
              </w:rPr>
              <w:t xml:space="preserve">Document Title</w:t>
            </w:r>
          </w:p>
        </w:tc>
        <w:tc>
          <w:tcPr>
            <w:tcW w:w="6200" w:type="dxa"/>
            <w:vAlign w:val="center"/>
          </w:tcPr>
          <w:p>
            <w:pPr>
              <w:spacing w:before="50" w:after="50"/>
            </w:pPr>
            <w:r>
              <w:rPr>
                <w:sz w:val="20"/>
                <w:szCs w:val="20"/>
                <w:color w:val="26191E"/>
              </w:rPr>
              <w:t xml:space="preserve">Business Requirements Document — Records Destruction System</w:t>
            </w:r>
          </w:p>
        </w:tc>
      </w:tr>
      <w:tr>
        <w:tc>
          <w:tcPr>
            <w:tcW w:w="3000" w:type="dxa"/>
            <w:vAlign w:val="center"/>
          </w:tcPr>
          <w:p>
            <w:pPr>
              <w:spacing w:before="50" w:after="50"/>
            </w:pPr>
            <w:r>
              <w:rPr>
                <w:sz w:val="20"/>
                <w:szCs w:val="20"/>
                <w:color w:val="26191E"/>
              </w:rPr>
              <w:t xml:space="preserve">Project Name</w:t>
            </w:r>
          </w:p>
        </w:tc>
        <w:tc>
          <w:tcPr>
            <w:tcW w:w="6200" w:type="dxa"/>
            <w:vAlign w:val="center"/>
          </w:tcPr>
          <w:p>
            <w:pPr>
              <w:spacing w:before="50" w:after="50"/>
            </w:pPr>
            <w:r>
              <w:rPr>
                <w:sz w:val="20"/>
                <w:szCs w:val="20"/>
                <w:color w:val="26191E"/>
              </w:rPr>
              <w:t xml:space="preserve">Records Destruction System</w:t>
            </w:r>
          </w:p>
        </w:tc>
      </w:tr>
      <w:tr>
        <w:tc>
          <w:tcPr>
            <w:tcW w:w="3000" w:type="dxa"/>
            <w:vAlign w:val="center"/>
          </w:tcPr>
          <w:p>
            <w:pPr>
              <w:spacing w:before="50" w:after="50"/>
            </w:pPr>
            <w:r>
              <w:rPr>
                <w:sz w:val="20"/>
                <w:szCs w:val="20"/>
                <w:color w:val="26191E"/>
              </w:rPr>
              <w:t xml:space="preserve">Beneficiary</w:t>
            </w:r>
          </w:p>
        </w:tc>
        <w:tc>
          <w:tcPr>
            <w:tcW w:w="6200" w:type="dxa"/>
            <w:vAlign w:val="center"/>
          </w:tcPr>
          <w:p>
            <w:pPr>
              <w:spacing w:before="50" w:after="50"/>
            </w:pPr>
            <w:r>
              <w:rPr>
                <w:sz w:val="20"/>
                <w:szCs w:val="20"/>
                <w:color w:val="26191E"/>
              </w:rPr>
              <w:t xml:space="preserve">Ministry of Education and Higher Education — State of Qatar</w:t>
            </w:r>
          </w:p>
        </w:tc>
      </w:tr>
      <w:tr>
        <w:tc>
          <w:tcPr>
            <w:tcW w:w="3000" w:type="dxa"/>
            <w:vAlign w:val="center"/>
          </w:tcPr>
          <w:p>
            <w:pPr>
              <w:spacing w:before="50" w:after="50"/>
            </w:pPr>
            <w:r>
              <w:rPr>
                <w:sz w:val="20"/>
                <w:szCs w:val="20"/>
                <w:color w:val="26191E"/>
              </w:rPr>
              <w:t xml:space="preserve">Prepared For</w:t>
            </w:r>
          </w:p>
        </w:tc>
        <w:tc>
          <w:tcPr>
            <w:tcW w:w="6200" w:type="dxa"/>
            <w:vAlign w:val="center"/>
          </w:tcPr>
          <w:p>
            <w:pPr>
              <w:spacing w:before="50" w:after="50"/>
            </w:pPr>
            <w:r>
              <w:rPr>
                <w:sz w:val="20"/>
                <w:szCs w:val="20"/>
                <w:color w:val="26191E"/>
              </w:rPr>
              <w:t xml:space="preserve">Technical Office (المكتب الفني)</w:t>
            </w:r>
          </w:p>
        </w:tc>
      </w:tr>
      <w:tr>
        <w:tc>
          <w:tcPr>
            <w:tcW w:w="3000" w:type="dxa"/>
            <w:vAlign w:val="center"/>
          </w:tcPr>
          <w:p>
            <w:pPr>
              <w:spacing w:before="50" w:after="50"/>
            </w:pPr>
            <w:r>
              <w:rPr>
                <w:sz w:val="20"/>
                <w:szCs w:val="20"/>
                <w:color w:val="26191E"/>
              </w:rPr>
              <w:t xml:space="preserve">Document Version</w:t>
            </w:r>
          </w:p>
        </w:tc>
        <w:tc>
          <w:tcPr>
            <w:tcW w:w="6200" w:type="dxa"/>
            <w:vAlign w:val="center"/>
          </w:tcPr>
          <w:p>
            <w:pPr>
              <w:spacing w:before="50" w:after="50"/>
            </w:pPr>
            <w:r>
              <w:rPr>
                <w:sz w:val="20"/>
                <w:szCs w:val="20"/>
                <w:color w:val="26191E"/>
              </w:rPr>
              <w:t xml:space="preserve">0.1</w:t>
            </w:r>
          </w:p>
        </w:tc>
      </w:tr>
      <w:tr>
        <w:tc>
          <w:tcPr>
            <w:tcW w:w="3000" w:type="dxa"/>
            <w:vAlign w:val="center"/>
          </w:tcPr>
          <w:p>
            <w:pPr>
              <w:spacing w:before="50" w:after="50"/>
            </w:pPr>
            <w:r>
              <w:rPr>
                <w:sz w:val="20"/>
                <w:szCs w:val="20"/>
                <w:color w:val="26191E"/>
              </w:rPr>
              <w:t xml:space="preserve">Issue Date</w:t>
            </w:r>
          </w:p>
        </w:tc>
        <w:tc>
          <w:tcPr>
            <w:tcW w:w="6200" w:type="dxa"/>
            <w:vAlign w:val="center"/>
          </w:tcPr>
          <w:p>
            <w:pPr>
              <w:spacing w:before="50" w:after="50"/>
            </w:pPr>
            <w:r>
              <w:rPr>
                <w:sz w:val="20"/>
                <w:szCs w:val="20"/>
                <w:color w:val="26191E"/>
              </w:rPr>
              <w:t xml:space="preserve">August 2026</w:t>
            </w:r>
          </w:p>
        </w:tc>
      </w:tr>
      <w:tr>
        <w:tc>
          <w:tcPr>
            <w:tcW w:w="3000" w:type="dxa"/>
            <w:vAlign w:val="center"/>
          </w:tcPr>
          <w:p>
            <w:pPr>
              <w:spacing w:before="50" w:after="50"/>
            </w:pPr>
            <w:r>
              <w:rPr>
                <w:sz w:val="20"/>
                <w:szCs w:val="20"/>
                <w:color w:val="26191E"/>
              </w:rPr>
              <w:t xml:space="preserve">Document Status</w:t>
            </w:r>
          </w:p>
        </w:tc>
        <w:tc>
          <w:tcPr>
            <w:tcW w:w="6200" w:type="dxa"/>
            <w:vAlign w:val="center"/>
          </w:tcPr>
          <w:p>
            <w:pPr>
              <w:spacing w:before="50" w:after="50"/>
            </w:pPr>
            <w:r>
              <w:rPr>
                <w:sz w:val="20"/>
                <w:szCs w:val="20"/>
                <w:color w:val="26191E"/>
              </w:rPr>
              <w:t xml:space="preserve">Reviewed</w:t>
            </w:r>
          </w:p>
        </w:tc>
      </w:tr>
      <w:tr>
        <w:tc>
          <w:tcPr>
            <w:tcW w:w="3000" w:type="dxa"/>
            <w:vAlign w:val="center"/>
          </w:tcPr>
          <w:p>
            <w:pPr>
              <w:spacing w:before="50" w:after="50"/>
            </w:pPr>
            <w:r>
              <w:rPr>
                <w:sz w:val="20"/>
                <w:szCs w:val="20"/>
                <w:color w:val="26191E"/>
              </w:rPr>
              <w:t xml:space="preserve">Classification</w:t>
            </w:r>
          </w:p>
        </w:tc>
        <w:tc>
          <w:tcPr>
            <w:tcW w:w="6200" w:type="dxa"/>
            <w:vAlign w:val="center"/>
          </w:tcPr>
          <w:p>
            <w:pPr>
              <w:spacing w:before="50" w:after="50"/>
            </w:pPr>
            <w:r>
              <w:rPr>
                <w:sz w:val="20"/>
                <w:szCs w:val="20"/>
                <w:color w:val="26191E"/>
              </w:rPr>
              <w:t xml:space="preserve">Internal use only</w:t>
            </w:r>
          </w:p>
        </w:tc>
      </w:tr>
    </w:tbl>
    <w:p>
      <w:pPr>
        <w:spacing w:after="160"/>
      </w:pPr>
    </w:p>
    <w:p>
      <w:pPr>
        <w:pageBreakBefore/>
        <w:pStyle w:val="Heading1"/>
        <w:spacing w:before="300" w:after="100"/>
      </w:pPr>
      <w:r>
        <w:rPr>
          <w:b/>
          <w:sz w:val="32"/>
          <w:szCs w:val="32"/>
          <w:color w:val="8A1538"/>
        </w:rPr>
        <w:t xml:space="preserve">Table of Contents</w:t>
      </w:r>
    </w:p>
    <w:p>
      <w:r>
        <w:fldChar w:fldCharType="begin" w:dirty="true"/>
      </w:r>
      <w:r>
        <w:instrText xml:space="preserve"> TOC \o "1-2" \h \z \u </w:instrText>
      </w:r>
      <w:r>
        <w:fldChar w:fldCharType="separate"/>
      </w:r>
      <w:r>
        <w:rPr>
          <w:color w:val="5A4A50"/>
          <w:i/>
        </w:rPr>
        <w:t xml:space="preserve">(Right-click and select "Update Field" to generate the table of contents.)</w:t>
      </w:r>
      <w:r>
        <w:fldChar w:fldCharType="end"/>
      </w:r>
    </w:p>
    <w:p>
      <w:pPr>
        <w:pageBreakBefore/>
        <w:pStyle w:val="Heading1"/>
        <w:spacing w:before="380" w:after="140"/>
      </w:pPr>
      <w:r>
        <w:rPr>
          <w:b/>
          <w:sz w:val="40"/>
          <w:szCs w:val="40"/>
          <w:color w:val="8A1538"/>
        </w:rPr>
        <w:t xml:space="preserve">1. Executive Summary</w:t>
      </w:r>
    </w:p>
    <w:p>
      <w:pPr>
        <w:spacing w:after="120"/>
      </w:pPr>
      <w:r>
        <w:t xml:space="preserve">The Records Destruction System is a web application developed by the Ministry of Education and Higher Education to digitize the official records-destruction request process (the “استمارة إتلاف وثائق” form), replacing the previous manual, paper-based workflow.</w:t>
      </w:r>
    </w:p>
    <w:p>
      <w:pPr>
        <w:spacing w:after="120"/>
      </w:pPr>
      <w:r>
        <w:t xml:space="preserve">The system provides a bilingual (Arabic/English), role-based platform that lets ministry staff submit destruction requests electronically, capture digital sign-off from the four concerned parties (Creator Unit, Legal Affairs, Internal Audit, Records Management), and allows an administrator to review, approve, or reject each request. Once approved, the actual physical destruction is tracked separately from the paperwork decision. Approved requests are exported as official PDF and Word documents, and a periodic Excel export bundles every request ready for physical destruction.</w:t>
      </w:r>
    </w:p>
    <w:p>
      <w:pPr>
        <w:pageBreakBefore/>
        <w:pStyle w:val="Heading1"/>
        <w:spacing w:before="380" w:after="140"/>
      </w:pPr>
      <w:r>
        <w:rPr>
          <w:b/>
          <w:sz w:val="40"/>
          <w:szCs w:val="40"/>
          <w:color w:val="8A1538"/>
        </w:rPr>
        <w:t xml:space="preserve">2. Project Background</w:t>
      </w:r>
    </w:p>
    <w:p>
      <w:pPr>
        <w:spacing w:after="120"/>
      </w:pPr>
      <w:r>
        <w:t xml:space="preserve">The ministry follows a records-management framework that requires departments to formally document the destruction of records that have exceeded their retention period, using a standard form requiring sign-off from four parties before destruction is approved. This process was previously paper-based; this system moves it to a fully digital workflow with a permanent audit trail — no data is ever physically deleted.</w:t>
      </w:r>
    </w:p>
    <w:p>
      <w:pPr>
        <w:pageBreakBefore/>
        <w:pStyle w:val="Heading1"/>
        <w:spacing w:before="380" w:after="140"/>
      </w:pPr>
      <w:r>
        <w:rPr>
          <w:b/>
          <w:sz w:val="40"/>
          <w:szCs w:val="40"/>
          <w:color w:val="8A1538"/>
        </w:rPr>
        <w:t xml:space="preserve">3. Project Scope</w:t>
      </w:r>
    </w:p>
    <w:p>
      <w:pPr>
        <w:pStyle w:val="Heading2"/>
        <w:keepNext/>
        <w:spacing w:before="200" w:after="80"/>
      </w:pPr>
      <w:r>
        <w:rPr>
          <w:b/>
          <w:sz w:val="26"/>
          <w:szCs w:val="26"/>
          <w:color w:val="26191E"/>
        </w:rPr>
        <w:t xml:space="preserve">3.1 In Scope</w:t>
      </w:r>
    </w:p>
    <w:p>
      <w:pPr>
        <w:spacing w:after="60"/>
        <w:ind w:left="360"/>
      </w:pPr>
      <w:r>
        <w:t xml:space="preserve">•  </w:t>
      </w:r>
      <w:r>
        <w:t xml:space="preserve">Self-service account registration, restricted to email addresses ending in the ministry's domains (@education.qa / @edu.gov.qa)</w:t>
      </w:r>
    </w:p>
    <w:p>
      <w:pPr>
        <w:spacing w:after="60"/>
        <w:ind w:left="360"/>
      </w:pPr>
      <w:r>
        <w:t xml:space="preserve">•  </w:t>
      </w:r>
      <w:r>
        <w:t xml:space="preserve">Mandatory profile completion (name and department) on first login</w:t>
      </w:r>
    </w:p>
    <w:p>
      <w:pPr>
        <w:spacing w:after="60"/>
        <w:ind w:left="360"/>
      </w:pPr>
      <w:r>
        <w:t xml:space="preserve">•  </w:t>
      </w:r>
      <w:r>
        <w:t xml:space="preserve">Electronic submission of destruction requests, or saving them as a draft for later completion</w:t>
      </w:r>
    </w:p>
    <w:p>
      <w:pPr>
        <w:spacing w:after="60"/>
        <w:ind w:left="360"/>
      </w:pPr>
      <w:r>
        <w:t xml:space="preserve">•  </w:t>
      </w:r>
      <w:r>
        <w:t xml:space="preserve">Multi-party digital sign-off: Creator Unit, Legal Affairs, Internal Audit, Records Management</w:t>
      </w:r>
    </w:p>
    <w:p>
      <w:pPr>
        <w:spacing w:after="60"/>
        <w:ind w:left="360"/>
      </w:pPr>
      <w:r>
        <w:t xml:space="preserve">•  </w:t>
      </w:r>
      <w:r>
        <w:t xml:space="preserve">Selecting the administrative unit via a self-referencing, unlimited-depth organizational hierarchy</w:t>
      </w:r>
    </w:p>
    <w:p>
      <w:pPr>
        <w:spacing w:after="60"/>
        <w:ind w:left="360"/>
      </w:pPr>
      <w:r>
        <w:t xml:space="preserve">•  </w:t>
      </w:r>
      <w:r>
        <w:t xml:space="preserve">Administrator review, approval, or rejection of requests, with an optional note</w:t>
      </w:r>
    </w:p>
    <w:p>
      <w:pPr>
        <w:spacing w:after="60"/>
        <w:ind w:left="360"/>
      </w:pPr>
      <w:r>
        <w:t xml:space="preserve">•  </w:t>
      </w:r>
      <w:r>
        <w:t xml:space="preserve">Tracking of physical destruction, independent of request approval</w:t>
      </w:r>
    </w:p>
    <w:p>
      <w:pPr>
        <w:spacing w:after="60"/>
        <w:ind w:left="360"/>
      </w:pPr>
      <w:r>
        <w:t xml:space="preserve">•  </w:t>
      </w:r>
      <w:r>
        <w:t xml:space="preserve">Generating PDF and Word documents for approved requests, and an Excel export of everything ready for destruction</w:t>
      </w:r>
    </w:p>
    <w:p>
      <w:pPr>
        <w:spacing w:after="60"/>
        <w:ind w:left="360"/>
      </w:pPr>
      <w:r>
        <w:t xml:space="preserve">•  </w:t>
      </w:r>
      <w:r>
        <w:t xml:space="preserve">Administrator management of user accounts (edit, activate/deactivate, delete)</w:t>
      </w:r>
    </w:p>
    <w:p>
      <w:pPr>
        <w:spacing w:after="60"/>
        <w:ind w:left="360"/>
      </w:pPr>
      <w:r>
        <w:t xml:space="preserve">•  </w:t>
      </w:r>
      <w:r>
        <w:t xml:space="preserve">A fully bilingual interface (Arabic RTL / English LTR)</w:t>
      </w:r>
    </w:p>
    <w:p>
      <w:pPr>
        <w:pStyle w:val="Heading2"/>
        <w:keepNext/>
        <w:spacing w:before="200" w:after="80"/>
      </w:pPr>
      <w:r>
        <w:rPr>
          <w:b/>
          <w:sz w:val="26"/>
          <w:szCs w:val="26"/>
          <w:color w:val="26191E"/>
        </w:rPr>
        <w:t xml:space="preserve">3.2 Out of Scope</w:t>
      </w:r>
    </w:p>
    <w:p>
      <w:pPr>
        <w:spacing w:after="60"/>
        <w:ind w:left="360"/>
      </w:pPr>
      <w:r>
        <w:t xml:space="preserve">•  </w:t>
      </w:r>
      <w:r>
        <w:t xml:space="preserve">Federated single sign-on (SSO) against the ministry's own identity provider (Azure AD) — registration is currently self-service with a password</w:t>
      </w:r>
    </w:p>
    <w:p>
      <w:pPr>
        <w:spacing w:after="60"/>
        <w:ind w:left="360"/>
      </w:pPr>
      <w:r>
        <w:t xml:space="preserve">•  </w:t>
      </w:r>
      <w:r>
        <w:t xml:space="preserve">Automated notifications (email or in-app) when a request's status changes</w:t>
      </w:r>
    </w:p>
    <w:p>
      <w:pPr>
        <w:spacing w:after="60"/>
        <w:ind w:left="360"/>
      </w:pPr>
      <w:r>
        <w:t xml:space="preserve">•  </w:t>
      </w:r>
      <w:r>
        <w:t xml:space="preserve">Use by entities outside the Ministry of Education and Higher Education</w:t>
      </w:r>
    </w:p>
    <w:p>
      <w:pPr>
        <w:spacing w:after="60"/>
        <w:ind w:left="360"/>
      </w:pPr>
      <w:r>
        <w:t xml:space="preserve">•  </w:t>
      </w:r>
      <w:r>
        <w:t xml:space="preserve">A standalone mobile application</w:t>
      </w:r>
    </w:p>
    <w:p>
      <w:pPr>
        <w:pageBreakBefore/>
        <w:pStyle w:val="Heading1"/>
        <w:spacing w:before="380" w:after="140"/>
      </w:pPr>
      <w:r>
        <w:rPr>
          <w:b/>
          <w:sz w:val="40"/>
          <w:szCs w:val="40"/>
          <w:color w:val="8A1538"/>
        </w:rPr>
        <w:t xml:space="preserve">4. Roles &amp; Responsibilities</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Pr>
      <w:tblGrid>
        <w:gridCol w:w="3600"/>
        <w:gridCol w:w="2200"/>
        <w:gridCol w:w="3400"/>
      </w:tblGrid>
      <w:tr>
        <w:tc>
          <w:tcPr>
            <w:tcW w:w="3600" w:type="dxa"/>
            <w:shd w:val="clear" w:fill="8A1538"/>
            <w:vAlign w:val="center"/>
          </w:tcPr>
          <w:p>
            <w:pPr>
              <w:spacing w:before="50" w:after="50"/>
            </w:pPr>
            <w:r>
              <w:rPr>
                <w:b/>
                <w:sz w:val="20"/>
                <w:szCs w:val="20"/>
                <w:color w:val="FFFFFF"/>
              </w:rPr>
              <w:t xml:space="preserve">Party</w:t>
            </w:r>
          </w:p>
        </w:tc>
        <w:tc>
          <w:tcPr>
            <w:tcW w:w="2200" w:type="dxa"/>
            <w:shd w:val="clear" w:fill="8A1538"/>
            <w:vAlign w:val="center"/>
          </w:tcPr>
          <w:p>
            <w:pPr>
              <w:spacing w:before="50" w:after="50"/>
            </w:pPr>
            <w:r>
              <w:rPr>
                <w:b/>
                <w:sz w:val="20"/>
                <w:szCs w:val="20"/>
                <w:color w:val="FFFFFF"/>
              </w:rPr>
              <w:t xml:space="preserve">Role</w:t>
            </w:r>
          </w:p>
        </w:tc>
        <w:tc>
          <w:tcPr>
            <w:tcW w:w="3400" w:type="dxa"/>
            <w:shd w:val="clear" w:fill="8A1538"/>
            <w:vAlign w:val="center"/>
          </w:tcPr>
          <w:p>
            <w:pPr>
              <w:spacing w:before="50" w:after="50"/>
            </w:pPr>
            <w:r>
              <w:rPr>
                <w:b/>
                <w:sz w:val="20"/>
                <w:szCs w:val="20"/>
                <w:color w:val="FFFFFF"/>
              </w:rPr>
              <w:t xml:space="preserve">Interest</w:t>
            </w:r>
          </w:p>
        </w:tc>
      </w:tr>
      <w:tr>
        <w:tc>
          <w:tcPr>
            <w:tcW w:w="3600" w:type="dxa"/>
            <w:vAlign w:val="center"/>
          </w:tcPr>
          <w:p>
            <w:pPr>
              <w:spacing w:before="50" w:after="50"/>
            </w:pPr>
            <w:r>
              <w:rPr>
                <w:sz w:val="20"/>
                <w:szCs w:val="20"/>
                <w:color w:val="26191E"/>
              </w:rPr>
              <w:t xml:space="preserve">Staff in administrative units and schools</w:t>
            </w:r>
          </w:p>
        </w:tc>
        <w:tc>
          <w:tcPr>
            <w:tcW w:w="2200" w:type="dxa"/>
            <w:vAlign w:val="center"/>
          </w:tcPr>
          <w:p>
            <w:pPr>
              <w:spacing w:before="50" w:after="50"/>
            </w:pPr>
            <w:r>
              <w:rPr>
                <w:sz w:val="20"/>
                <w:szCs w:val="20"/>
                <w:color w:val="26191E"/>
              </w:rPr>
              <w:t xml:space="preserve">Submitters</w:t>
            </w:r>
          </w:p>
        </w:tc>
        <w:tc>
          <w:tcPr>
            <w:tcW w:w="3400" w:type="dxa"/>
            <w:vAlign w:val="center"/>
          </w:tcPr>
          <w:p>
            <w:pPr>
              <w:spacing w:before="50" w:after="50"/>
            </w:pPr>
            <w:r>
              <w:rPr>
                <w:sz w:val="20"/>
                <w:szCs w:val="20"/>
                <w:color w:val="26191E"/>
              </w:rPr>
              <w:t xml:space="preserve">Submit and track destruction requests for their own unit</w:t>
            </w:r>
          </w:p>
        </w:tc>
      </w:tr>
      <w:tr>
        <w:tc>
          <w:tcPr>
            <w:tcW w:w="3600" w:type="dxa"/>
            <w:vAlign w:val="center"/>
          </w:tcPr>
          <w:p>
            <w:pPr>
              <w:spacing w:before="50" w:after="50"/>
            </w:pPr>
            <w:r>
              <w:rPr>
                <w:sz w:val="20"/>
                <w:szCs w:val="20"/>
                <w:color w:val="26191E"/>
              </w:rPr>
              <w:t xml:space="preserve">Creator Unit / Legal Affairs / Internal Audit / Records Management</w:t>
            </w:r>
          </w:p>
        </w:tc>
        <w:tc>
          <w:tcPr>
            <w:tcW w:w="2200" w:type="dxa"/>
            <w:vAlign w:val="center"/>
          </w:tcPr>
          <w:p>
            <w:pPr>
              <w:spacing w:before="50" w:after="50"/>
            </w:pPr>
            <w:r>
              <w:rPr>
                <w:sz w:val="20"/>
                <w:szCs w:val="20"/>
                <w:color w:val="26191E"/>
              </w:rPr>
              <w:t xml:space="preserve">Digital signatories</w:t>
            </w:r>
          </w:p>
        </w:tc>
        <w:tc>
          <w:tcPr>
            <w:tcW w:w="3400" w:type="dxa"/>
            <w:vAlign w:val="center"/>
          </w:tcPr>
          <w:p>
            <w:pPr>
              <w:spacing w:before="50" w:after="50"/>
            </w:pPr>
            <w:r>
              <w:rPr>
                <w:sz w:val="20"/>
                <w:szCs w:val="20"/>
                <w:color w:val="26191E"/>
              </w:rPr>
              <w:t xml:space="preserve">Sign off on the form as part of the approval cycle</w:t>
            </w:r>
          </w:p>
        </w:tc>
      </w:tr>
      <w:tr>
        <w:tc>
          <w:tcPr>
            <w:tcW w:w="3600" w:type="dxa"/>
            <w:vAlign w:val="center"/>
          </w:tcPr>
          <w:p>
            <w:pPr>
              <w:spacing w:before="50" w:after="50"/>
            </w:pPr>
            <w:r>
              <w:rPr>
                <w:sz w:val="20"/>
                <w:szCs w:val="20"/>
                <w:color w:val="26191E"/>
              </w:rPr>
              <w:t xml:space="preserve">Technical Office (المكتب الفني)</w:t>
            </w:r>
          </w:p>
        </w:tc>
        <w:tc>
          <w:tcPr>
            <w:tcW w:w="2200" w:type="dxa"/>
            <w:vAlign w:val="center"/>
          </w:tcPr>
          <w:p>
            <w:pPr>
              <w:spacing w:before="50" w:after="50"/>
            </w:pPr>
            <w:r>
              <w:rPr>
                <w:sz w:val="20"/>
                <w:szCs w:val="20"/>
                <w:color w:val="26191E"/>
              </w:rPr>
              <w:t xml:space="preserve">System administrator</w:t>
            </w:r>
          </w:p>
        </w:tc>
        <w:tc>
          <w:tcPr>
            <w:tcW w:w="3400" w:type="dxa"/>
            <w:vAlign w:val="center"/>
          </w:tcPr>
          <w:p>
            <w:pPr>
              <w:spacing w:before="50" w:after="50"/>
            </w:pPr>
            <w:r>
              <w:rPr>
                <w:sz w:val="20"/>
                <w:szCs w:val="20"/>
                <w:color w:val="26191E"/>
              </w:rPr>
              <w:t xml:space="preserve">Review, approve, or reject requests; track physical destruction; manage user accounts</w:t>
            </w:r>
          </w:p>
        </w:tc>
      </w:tr>
      <w:tr>
        <w:tc>
          <w:tcPr>
            <w:tcW w:w="3600" w:type="dxa"/>
            <w:vAlign w:val="center"/>
          </w:tcPr>
          <w:p>
            <w:pPr>
              <w:spacing w:before="50" w:after="50"/>
            </w:pPr>
            <w:r>
              <w:rPr>
                <w:sz w:val="20"/>
                <w:szCs w:val="20"/>
                <w:color w:val="26191E"/>
              </w:rPr>
              <w:t xml:space="preserve">National Archives of Qatar (NAQ)</w:t>
            </w:r>
          </w:p>
        </w:tc>
        <w:tc>
          <w:tcPr>
            <w:tcW w:w="2200" w:type="dxa"/>
            <w:vAlign w:val="center"/>
          </w:tcPr>
          <w:p>
            <w:pPr>
              <w:spacing w:before="50" w:after="50"/>
            </w:pPr>
            <w:r>
              <w:rPr>
                <w:sz w:val="20"/>
                <w:szCs w:val="20"/>
                <w:color w:val="26191E"/>
              </w:rPr>
              <w:t xml:space="preserve">External oversight body</w:t>
            </w:r>
          </w:p>
        </w:tc>
        <w:tc>
          <w:tcPr>
            <w:tcW w:w="3400" w:type="dxa"/>
            <w:vAlign w:val="center"/>
          </w:tcPr>
          <w:p>
            <w:pPr>
              <w:spacing w:before="50" w:after="50"/>
            </w:pPr>
            <w:r>
              <w:rPr>
                <w:sz w:val="20"/>
                <w:szCs w:val="20"/>
                <w:color w:val="26191E"/>
              </w:rPr>
              <w:t xml:space="preserve">Receives the final destruction schedule (Excel export) for approved requests</w:t>
            </w:r>
          </w:p>
        </w:tc>
      </w:tr>
    </w:tbl>
    <w:p>
      <w:pPr>
        <w:spacing w:after="160"/>
      </w:pPr>
    </w:p>
    <w:p>
      <w:pPr>
        <w:pageBreakBefore/>
        <w:pStyle w:val="Heading1"/>
        <w:spacing w:before="380" w:after="140"/>
      </w:pPr>
      <w:r>
        <w:rPr>
          <w:b/>
          <w:sz w:val="40"/>
          <w:szCs w:val="40"/>
          <w:color w:val="8A1538"/>
        </w:rPr>
        <w:t xml:space="preserve">5. Functional Requirements</w:t>
      </w:r>
    </w:p>
    <w:p>
      <w:pPr>
        <w:pStyle w:val="Heading2"/>
        <w:keepNext/>
        <w:spacing w:before="200" w:after="80"/>
      </w:pPr>
      <w:r>
        <w:rPr>
          <w:b/>
          <w:sz w:val="26"/>
          <w:szCs w:val="26"/>
          <w:color w:val="26191E"/>
        </w:rPr>
        <w:t xml:space="preserve">5.1 Registration &amp; Authentication</w:t>
      </w:r>
    </w:p>
    <w:p>
      <w:pPr>
        <w:spacing w:after="60"/>
        <w:ind w:left="360"/>
      </w:pPr>
      <w:r>
        <w:t xml:space="preserve">•  </w:t>
      </w:r>
      <w:r>
        <w:rPr>
          <w:b/>
          <w:color w:val="8A1538"/>
        </w:rPr>
        <w:t xml:space="preserve">MT-01  </w:t>
      </w:r>
      <w:r>
        <w:t xml:space="preserve">The system shall support two roles: Admin and User.</w:t>
      </w:r>
    </w:p>
    <w:p>
      <w:pPr>
        <w:spacing w:after="60"/>
        <w:ind w:left="360"/>
      </w:pPr>
      <w:r>
        <w:t xml:space="preserve">•  </w:t>
      </w:r>
      <w:r>
        <w:rPr>
          <w:b/>
          <w:color w:val="8A1538"/>
        </w:rPr>
        <w:t xml:space="preserve">MT-02  </w:t>
      </w:r>
      <w:r>
        <w:t xml:space="preserve">Any user whose email address ends in @education.qa or @edu.gov.qa shall be able to create an account without prior administrator approval.</w:t>
      </w:r>
    </w:p>
    <w:p>
      <w:pPr>
        <w:spacing w:after="60"/>
        <w:ind w:left="360"/>
      </w:pPr>
      <w:r>
        <w:t xml:space="preserve">•  </w:t>
      </w:r>
      <w:r>
        <w:rPr>
          <w:b/>
          <w:color w:val="8A1538"/>
        </w:rPr>
        <w:t xml:space="preserve">MT-03  </w:t>
      </w:r>
      <w:r>
        <w:t xml:space="preserve">The password shall require at least 10 characters, including an uppercase letter, a lowercase letter, a digit, and a special character, validated live as the user types.</w:t>
      </w:r>
    </w:p>
    <w:p>
      <w:pPr>
        <w:spacing w:after="60"/>
        <w:ind w:left="360"/>
      </w:pPr>
      <w:r>
        <w:t xml:space="preserve">•  </w:t>
      </w:r>
      <w:r>
        <w:rPr>
          <w:b/>
          <w:color w:val="8A1538"/>
        </w:rPr>
        <w:t xml:space="preserve">MT-04  </w:t>
      </w:r>
      <w:r>
        <w:t xml:space="preserve">A new account shall be required to enter its full name and department on first login, before accessing any other page.</w:t>
      </w:r>
    </w:p>
    <w:p>
      <w:pPr>
        <w:spacing w:after="60"/>
        <w:ind w:left="360"/>
      </w:pPr>
      <w:r>
        <w:t xml:space="preserve">•  </w:t>
      </w:r>
      <w:r>
        <w:rPr>
          <w:b/>
          <w:color w:val="8A1538"/>
        </w:rPr>
        <w:t xml:space="preserve">MT-05  </w:t>
      </w:r>
      <w:r>
        <w:t xml:space="preserve">Deactivated accounts shall be blocked from signing in.</w:t>
      </w:r>
    </w:p>
    <w:p>
      <w:pPr>
        <w:spacing w:after="60"/>
        <w:ind w:left="360"/>
      </w:pPr>
      <w:r>
        <w:t xml:space="preserve">•  </w:t>
      </w:r>
      <w:r>
        <w:rPr>
          <w:b/>
          <w:color w:val="8A1538"/>
        </w:rPr>
        <w:t xml:space="preserve">MT-06  </w:t>
      </w:r>
      <w:r>
        <w:t xml:space="preserve">Only an existing administrator shall be able to promote a regular user account to the Admin role.</w:t>
      </w:r>
    </w:p>
    <w:p>
      <w:pPr>
        <w:pStyle w:val="Heading2"/>
        <w:keepNext/>
        <w:spacing w:before="200" w:after="80"/>
      </w:pPr>
      <w:r>
        <w:rPr>
          <w:b/>
          <w:sz w:val="26"/>
          <w:szCs w:val="26"/>
          <w:color w:val="26191E"/>
        </w:rPr>
        <w:t xml:space="preserve">5.2 Destruction Request Form</w:t>
      </w:r>
    </w:p>
    <w:p>
      <w:pPr>
        <w:spacing w:after="60"/>
        <w:ind w:left="360"/>
      </w:pPr>
      <w:r>
        <w:t xml:space="preserve">•  </w:t>
      </w:r>
      <w:r>
        <w:rPr>
          <w:b/>
          <w:color w:val="8A1538"/>
        </w:rPr>
        <w:t xml:space="preserve">MT-07  </w:t>
      </w:r>
      <w:r>
        <w:t xml:space="preserve">A user shall be able to create a new destruction request, comprising the concerned party and destruction number, administrative unit details, records data, the records list, and signatures.</w:t>
      </w:r>
    </w:p>
    <w:p>
      <w:pPr>
        <w:spacing w:after="60"/>
        <w:ind w:left="360"/>
      </w:pPr>
      <w:r>
        <w:t xml:space="preserve">•  </w:t>
      </w:r>
      <w:r>
        <w:rPr>
          <w:b/>
          <w:color w:val="8A1538"/>
        </w:rPr>
        <w:t xml:space="preserve">MT-08  </w:t>
      </w:r>
      <w:r>
        <w:t xml:space="preserve">The system shall support a self-referencing, unlimited-depth organizational hierarchy (department → unit → section).</w:t>
      </w:r>
    </w:p>
    <w:p>
      <w:pPr>
        <w:spacing w:after="60"/>
        <w:ind w:left="360"/>
      </w:pPr>
      <w:r>
        <w:t xml:space="preserve">•  </w:t>
      </w:r>
      <w:r>
        <w:rPr>
          <w:b/>
          <w:color w:val="8A1538"/>
        </w:rPr>
        <w:t xml:space="preserve">MT-09  </w:t>
      </w:r>
      <w:r>
        <w:t xml:space="preserve">Multiple record lines shall be addable to a single request, each including title, original-or-copy, records type, storage medium, retention rule number, and volume.</w:t>
      </w:r>
    </w:p>
    <w:p>
      <w:pPr>
        <w:spacing w:after="60"/>
        <w:ind w:left="360"/>
      </w:pPr>
      <w:r>
        <w:t xml:space="preserve">•  </w:t>
      </w:r>
      <w:r>
        <w:rPr>
          <w:b/>
          <w:color w:val="8A1538"/>
        </w:rPr>
        <w:t xml:space="preserve">MT-10  </w:t>
      </w:r>
      <w:r>
        <w:t xml:space="preserve">A request shall be savable as a private draft for later completion, bypassing required-field validation.</w:t>
      </w:r>
    </w:p>
    <w:p>
      <w:pPr>
        <w:spacing w:after="60"/>
        <w:ind w:left="360"/>
      </w:pPr>
      <w:r>
        <w:t xml:space="preserve">•  </w:t>
      </w:r>
      <w:r>
        <w:rPr>
          <w:b/>
          <w:color w:val="8A1538"/>
        </w:rPr>
        <w:t xml:space="preserve">MT-11  </w:t>
      </w:r>
      <w:r>
        <w:t xml:space="preserve">A request shall be submittable for review only once every required field is complete and valid.</w:t>
      </w:r>
    </w:p>
    <w:p>
      <w:pPr>
        <w:spacing w:after="60"/>
        <w:ind w:left="360"/>
      </w:pPr>
      <w:r>
        <w:t xml:space="preserve">•  </w:t>
      </w:r>
      <w:r>
        <w:rPr>
          <w:b/>
          <w:color w:val="8A1538"/>
        </w:rPr>
        <w:t xml:space="preserve">MT-12  </w:t>
      </w:r>
      <w:r>
        <w:t xml:space="preserve">A user shall be able to edit their own request only while it is Draft or Rejected; Submitted and Approved requests are locked to them.</w:t>
      </w:r>
    </w:p>
    <w:p>
      <w:pPr>
        <w:pStyle w:val="Heading2"/>
        <w:keepNext/>
        <w:spacing w:before="200" w:after="80"/>
      </w:pPr>
      <w:r>
        <w:rPr>
          <w:b/>
          <w:sz w:val="26"/>
          <w:szCs w:val="26"/>
          <w:color w:val="26191E"/>
        </w:rPr>
        <w:t xml:space="preserve">5.3 Digital Signatures</w:t>
      </w:r>
    </w:p>
    <w:p>
      <w:pPr>
        <w:spacing w:after="60"/>
        <w:ind w:left="360"/>
      </w:pPr>
      <w:r>
        <w:t xml:space="preserve">•  </w:t>
      </w:r>
      <w:r>
        <w:rPr>
          <w:b/>
          <w:color w:val="8A1538"/>
        </w:rPr>
        <w:t xml:space="preserve">MT-13  </w:t>
      </w:r>
      <w:r>
        <w:t xml:space="preserve">The form shall include four signature blocks — Creator Unit, Legal Affairs, Internal Audit, Records Management — each capturing a name, a date, and a signature.</w:t>
      </w:r>
    </w:p>
    <w:p>
      <w:pPr>
        <w:spacing w:after="60"/>
        <w:ind w:left="360"/>
      </w:pPr>
      <w:r>
        <w:t xml:space="preserve">•  </w:t>
      </w:r>
      <w:r>
        <w:rPr>
          <w:b/>
          <w:color w:val="8A1538"/>
        </w:rPr>
        <w:t xml:space="preserve">MT-14  </w:t>
      </w:r>
      <w:r>
        <w:t xml:space="preserve">Each block shall support drawing a signature directly (mouse or touch) or uploading a signature image, which is automatically resized to keep request payloads small.</w:t>
      </w:r>
    </w:p>
    <w:p>
      <w:pPr>
        <w:pStyle w:val="Heading2"/>
        <w:keepNext/>
        <w:spacing w:before="200" w:after="80"/>
      </w:pPr>
      <w:r>
        <w:rPr>
          <w:b/>
          <w:sz w:val="26"/>
          <w:szCs w:val="26"/>
          <w:color w:val="26191E"/>
        </w:rPr>
        <w:t xml:space="preserve">5.4 Review &amp; Approval</w:t>
      </w:r>
    </w:p>
    <w:p>
      <w:pPr>
        <w:spacing w:after="60"/>
        <w:ind w:left="360"/>
      </w:pPr>
      <w:r>
        <w:t xml:space="preserve">•  </w:t>
      </w:r>
      <w:r>
        <w:rPr>
          <w:b/>
          <w:color w:val="8A1538"/>
        </w:rPr>
        <w:t xml:space="preserve">MT-15  </w:t>
      </w:r>
      <w:r>
        <w:t xml:space="preserve">An administrator shall be able to view every submitted request from every user, excluding drafts, which remain private to their owner.</w:t>
      </w:r>
    </w:p>
    <w:p>
      <w:pPr>
        <w:spacing w:after="60"/>
        <w:ind w:left="360"/>
      </w:pPr>
      <w:r>
        <w:t xml:space="preserve">•  </w:t>
      </w:r>
      <w:r>
        <w:rPr>
          <w:b/>
          <w:color w:val="8A1538"/>
        </w:rPr>
        <w:t xml:space="preserve">MT-16  </w:t>
      </w:r>
      <w:r>
        <w:t xml:space="preserve">An administrator shall be able to filter requests by date range and status.</w:t>
      </w:r>
    </w:p>
    <w:p>
      <w:pPr>
        <w:spacing w:after="60"/>
        <w:ind w:left="360"/>
      </w:pPr>
      <w:r>
        <w:t xml:space="preserve">•  </w:t>
      </w:r>
      <w:r>
        <w:rPr>
          <w:b/>
          <w:color w:val="8A1538"/>
        </w:rPr>
        <w:t xml:space="preserve">MT-17  </w:t>
      </w:r>
      <w:r>
        <w:t xml:space="preserve">An administrator shall be able to approve or reject a request, optionally attaching a note visible to the submitter.</w:t>
      </w:r>
    </w:p>
    <w:p>
      <w:pPr>
        <w:spacing w:after="60"/>
        <w:ind w:left="360"/>
      </w:pPr>
      <w:r>
        <w:t xml:space="preserve">•  </w:t>
      </w:r>
      <w:r>
        <w:rPr>
          <w:b/>
          <w:color w:val="8A1538"/>
        </w:rPr>
        <w:t xml:space="preserve">MT-18  </w:t>
      </w:r>
      <w:r>
        <w:t xml:space="preserve">Once a rejected request is edited and re-saved by its owner, the administrator's note shall be cleared automatically, as it no longer applies.</w:t>
      </w:r>
    </w:p>
    <w:p>
      <w:pPr>
        <w:spacing w:after="60"/>
        <w:ind w:left="360"/>
      </w:pPr>
      <w:r>
        <w:t xml:space="preserve">•  </w:t>
      </w:r>
      <w:r>
        <w:rPr>
          <w:b/>
          <w:color w:val="8A1538"/>
        </w:rPr>
        <w:t xml:space="preserve">MT-19  </w:t>
      </w:r>
      <w:r>
        <w:t xml:space="preserve">An administrator shall be able to edit or delete (soft delete only) any request in the system.</w:t>
      </w:r>
    </w:p>
    <w:p>
      <w:pPr>
        <w:pStyle w:val="Heading2"/>
        <w:keepNext/>
        <w:spacing w:before="200" w:after="80"/>
      </w:pPr>
      <w:r>
        <w:rPr>
          <w:b/>
          <w:sz w:val="26"/>
          <w:szCs w:val="26"/>
          <w:color w:val="26191E"/>
        </w:rPr>
        <w:t xml:space="preserve">5.5 Physical Destruction Tracking</w:t>
      </w:r>
    </w:p>
    <w:p>
      <w:pPr>
        <w:spacing w:after="60"/>
        <w:ind w:left="360"/>
      </w:pPr>
      <w:r>
        <w:t xml:space="preserve">•  </w:t>
      </w:r>
      <w:r>
        <w:rPr>
          <w:b/>
          <w:color w:val="8A1538"/>
        </w:rPr>
        <w:t xml:space="preserve">MT-20  </w:t>
      </w:r>
      <w:r>
        <w:t xml:space="preserve">For Approved requests only, an administrator shall be able to record whether the physical destruction has actually taken place, independently of the approval decision itself.</w:t>
      </w:r>
    </w:p>
    <w:p>
      <w:pPr>
        <w:spacing w:after="60"/>
        <w:ind w:left="360"/>
      </w:pPr>
      <w:r>
        <w:t xml:space="preserve">•  </w:t>
      </w:r>
      <w:r>
        <w:rPr>
          <w:b/>
          <w:color w:val="8A1538"/>
        </w:rPr>
        <w:t xml:space="preserve">MT-21  </w:t>
      </w:r>
      <w:r>
        <w:t xml:space="preserve">The system shall record who marked the destruction and when, and shall allow this to be undone.</w:t>
      </w:r>
    </w:p>
    <w:p>
      <w:pPr>
        <w:pStyle w:val="Heading2"/>
        <w:keepNext/>
        <w:spacing w:before="200" w:after="80"/>
      </w:pPr>
      <w:r>
        <w:rPr>
          <w:b/>
          <w:sz w:val="26"/>
          <w:szCs w:val="26"/>
          <w:color w:val="26191E"/>
        </w:rPr>
        <w:t xml:space="preserve">5.6 User Management</w:t>
      </w:r>
    </w:p>
    <w:p>
      <w:pPr>
        <w:spacing w:after="60"/>
        <w:ind w:left="360"/>
      </w:pPr>
      <w:r>
        <w:t xml:space="preserve">•  </w:t>
      </w:r>
      <w:r>
        <w:rPr>
          <w:b/>
          <w:color w:val="8A1538"/>
        </w:rPr>
        <w:t xml:space="preserve">MT-22  </w:t>
      </w:r>
      <w:r>
        <w:t xml:space="preserve">An administrator shall be able to view every user account, with name, email, department, role, and active status.</w:t>
      </w:r>
    </w:p>
    <w:p>
      <w:pPr>
        <w:spacing w:after="60"/>
        <w:ind w:left="360"/>
      </w:pPr>
      <w:r>
        <w:t xml:space="preserve">•  </w:t>
      </w:r>
      <w:r>
        <w:rPr>
          <w:b/>
          <w:color w:val="8A1538"/>
        </w:rPr>
        <w:t xml:space="preserve">MT-23  </w:t>
      </w:r>
      <w:r>
        <w:t xml:space="preserve">An administrator shall be able to edit a user's name, department, or role; activate or deactivate the account; or delete it (soft delete only).</w:t>
      </w:r>
    </w:p>
    <w:p>
      <w:pPr>
        <w:spacing w:after="60"/>
        <w:ind w:left="360"/>
      </w:pPr>
      <w:r>
        <w:t xml:space="preserve">•  </w:t>
      </w:r>
      <w:r>
        <w:rPr>
          <w:b/>
          <w:color w:val="8A1538"/>
        </w:rPr>
        <w:t xml:space="preserve">MT-24  </w:t>
      </w:r>
      <w:r>
        <w:t xml:space="preserve">An administrator shall not be able to manually create new accounts — accounts are created exclusively through self-registration (see 6.1).</w:t>
      </w:r>
    </w:p>
    <w:p>
      <w:pPr>
        <w:pStyle w:val="Heading2"/>
        <w:keepNext/>
        <w:spacing w:before="200" w:after="80"/>
      </w:pPr>
      <w:r>
        <w:rPr>
          <w:b/>
          <w:sz w:val="26"/>
          <w:szCs w:val="26"/>
          <w:color w:val="26191E"/>
        </w:rPr>
        <w:t xml:space="preserve">5.7 Document Generation (PDF / Word / Excel)</w:t>
      </w:r>
    </w:p>
    <w:p>
      <w:pPr>
        <w:spacing w:after="60"/>
        <w:ind w:left="360"/>
      </w:pPr>
      <w:r>
        <w:t xml:space="preserve">•  </w:t>
      </w:r>
      <w:r>
        <w:rPr>
          <w:b/>
          <w:color w:val="8A1538"/>
        </w:rPr>
        <w:t xml:space="preserve">MT-25  </w:t>
      </w:r>
      <w:r>
        <w:t xml:space="preserve">An official PDF and Word document shall be generated for Approved requests only, matching the National Archives of Qatar's standard destruction-request form.</w:t>
      </w:r>
    </w:p>
    <w:p>
      <w:pPr>
        <w:spacing w:after="60"/>
        <w:ind w:left="360"/>
      </w:pPr>
      <w:r>
        <w:t xml:space="preserve">•  </w:t>
      </w:r>
      <w:r>
        <w:rPr>
          <w:b/>
          <w:color w:val="8A1538"/>
        </w:rPr>
        <w:t xml:space="preserve">MT-26  </w:t>
      </w:r>
      <w:r>
        <w:t xml:space="preserve">An administrator shall be able to export an Excel summary of every Approved, not-yet-physically-destroyed request, for submission to the National Archives of Qatar.</w:t>
      </w:r>
    </w:p>
    <w:p>
      <w:pPr>
        <w:spacing w:after="60"/>
        <w:ind w:left="360"/>
      </w:pPr>
      <w:r>
        <w:t xml:space="preserve">•  </w:t>
      </w:r>
      <w:r>
        <w:rPr>
          <w:b/>
          <w:color w:val="8A1538"/>
        </w:rPr>
        <w:t xml:space="preserve">MT-27  </w:t>
      </w:r>
      <w:r>
        <w:t xml:space="preserve">PDF, Word, and Excel generation shall render Arabic text using the Lusail typeface, the ministry's official brand font.</w:t>
      </w:r>
    </w:p>
    <w:p>
      <w:pPr>
        <w:pStyle w:val="Heading2"/>
        <w:keepNext/>
        <w:spacing w:before="200" w:after="80"/>
      </w:pPr>
      <w:r>
        <w:rPr>
          <w:b/>
          <w:sz w:val="26"/>
          <w:szCs w:val="26"/>
          <w:color w:val="26191E"/>
        </w:rPr>
        <w:t xml:space="preserve">5.8 Bilingual Support</w:t>
      </w:r>
    </w:p>
    <w:p>
      <w:pPr>
        <w:spacing w:after="60"/>
        <w:ind w:left="360"/>
      </w:pPr>
      <w:r>
        <w:t xml:space="preserve">•  </w:t>
      </w:r>
      <w:r>
        <w:rPr>
          <w:b/>
          <w:color w:val="8A1538"/>
        </w:rPr>
        <w:t xml:space="preserve">MT-28  </w:t>
      </w:r>
      <w:r>
        <w:t xml:space="preserve">The system shall support fully switching between Arabic and English from any page, including sign-in and registration.</w:t>
      </w:r>
    </w:p>
    <w:p>
      <w:pPr>
        <w:spacing w:after="60"/>
        <w:ind w:left="360"/>
      </w:pPr>
      <w:r>
        <w:t xml:space="preserve">•  </w:t>
      </w:r>
      <w:r>
        <w:rPr>
          <w:b/>
          <w:color w:val="8A1538"/>
        </w:rPr>
        <w:t xml:space="preserve">MT-29  </w:t>
      </w:r>
      <w:r>
        <w:t xml:space="preserve">The interface shall switch automatically between right-to-left (Arabic) and left-to-right (English) layout based on the selected language.</w:t>
      </w:r>
    </w:p>
    <w:p>
      <w:pPr>
        <w:pageBreakBefore/>
        <w:pStyle w:val="Heading1"/>
        <w:spacing w:before="380" w:after="140"/>
      </w:pPr>
      <w:r>
        <w:rPr>
          <w:b/>
          <w:sz w:val="40"/>
          <w:szCs w:val="40"/>
          <w:color w:val="8A1538"/>
        </w:rPr>
        <w:t xml:space="preserve">6. Non-Functional Requirements</w:t>
      </w:r>
    </w:p>
    <w:p>
      <w:pPr>
        <w:spacing w:after="60"/>
        <w:ind w:left="360"/>
      </w:pPr>
      <w:r>
        <w:t xml:space="preserve">•  </w:t>
      </w:r>
      <w:r>
        <w:t xml:space="preserve">Security: every endpoint requires JWT authentication except sign-in and registration; registration is restricted to the ministry's two email domains, and passwords are subject to a mandatory complexity policy.</w:t>
      </w:r>
    </w:p>
    <w:p>
      <w:pPr>
        <w:spacing w:after="60"/>
        <w:ind w:left="360"/>
      </w:pPr>
      <w:r>
        <w:t xml:space="preserve">•  </w:t>
      </w:r>
      <w:r>
        <w:t xml:space="preserve">API protection: rate limiting is applied to API endpoints, with a hard cap on request body size to prevent oversized uploads.</w:t>
      </w:r>
    </w:p>
    <w:p>
      <w:pPr>
        <w:spacing w:after="60"/>
        <w:ind w:left="360"/>
      </w:pPr>
      <w:r>
        <w:t xml:space="preserve">•  </w:t>
      </w:r>
      <w:r>
        <w:t xml:space="preserve">Data integrity: every entity is soft-deleted only (no physical deletion from the database), enforced centrally via a save-interceptor and automatic query filters on every entity.</w:t>
      </w:r>
    </w:p>
    <w:p>
      <w:pPr>
        <w:spacing w:after="60"/>
        <w:ind w:left="360"/>
      </w:pPr>
      <w:r>
        <w:t xml:space="preserve">•  </w:t>
      </w:r>
      <w:r>
        <w:t xml:space="preserve">Scalability: a Clean Architecture layering (Domain → Application → Infrastructure → Api) separates business logic from technical detail.</w:t>
      </w:r>
    </w:p>
    <w:p>
      <w:pPr>
        <w:spacing w:after="60"/>
        <w:ind w:left="360"/>
      </w:pPr>
      <w:r>
        <w:t xml:space="preserve">•  </w:t>
      </w:r>
      <w:r>
        <w:t xml:space="preserve">Compatibility: a modern web interface (Angular 21 + Bootstrap 5), compatible with current browsers.</w:t>
      </w:r>
    </w:p>
    <w:p>
      <w:pPr>
        <w:pageBreakBefore/>
        <w:pStyle w:val="Heading1"/>
        <w:spacing w:before="380" w:after="140"/>
      </w:pPr>
      <w:r>
        <w:rPr>
          <w:b/>
          <w:sz w:val="40"/>
          <w:szCs w:val="40"/>
          <w:color w:val="8A1538"/>
        </w:rPr>
        <w:t xml:space="preserve">7. Technical Architecture</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Pr>
      <w:tblGrid>
        <w:gridCol w:w="3000"/>
        <w:gridCol w:w="6200"/>
      </w:tblGrid>
      <w:tr>
        <w:tc>
          <w:tcPr>
            <w:tcW w:w="3000" w:type="dxa"/>
            <w:shd w:val="clear" w:fill="8A1538"/>
            <w:vAlign w:val="center"/>
          </w:tcPr>
          <w:p>
            <w:pPr>
              <w:spacing w:before="50" w:after="50"/>
            </w:pPr>
            <w:r>
              <w:rPr>
                <w:b/>
                <w:sz w:val="20"/>
                <w:szCs w:val="20"/>
                <w:color w:val="FFFFFF"/>
              </w:rPr>
              <w:t xml:space="preserve">Item</w:t>
            </w:r>
          </w:p>
        </w:tc>
        <w:tc>
          <w:tcPr>
            <w:tcW w:w="6200" w:type="dxa"/>
            <w:shd w:val="clear" w:fill="8A1538"/>
            <w:vAlign w:val="center"/>
          </w:tcPr>
          <w:p>
            <w:pPr>
              <w:spacing w:before="50" w:after="50"/>
            </w:pPr>
            <w:r>
              <w:rPr>
                <w:b/>
                <w:sz w:val="20"/>
                <w:szCs w:val="20"/>
                <w:color w:val="FFFFFF"/>
              </w:rPr>
              <w:t xml:space="preserve">Detail</w:t>
            </w:r>
          </w:p>
        </w:tc>
      </w:tr>
      <w:tr>
        <w:tc>
          <w:tcPr>
            <w:tcW w:w="3000" w:type="dxa"/>
            <w:vAlign w:val="center"/>
          </w:tcPr>
          <w:p>
            <w:pPr>
              <w:spacing w:before="50" w:after="50"/>
            </w:pPr>
            <w:r>
              <w:rPr>
                <w:sz w:val="20"/>
                <w:szCs w:val="20"/>
                <w:color w:val="26191E"/>
              </w:rPr>
              <w:t xml:space="preserve">Backend</w:t>
            </w:r>
          </w:p>
        </w:tc>
        <w:tc>
          <w:tcPr>
            <w:tcW w:w="6200" w:type="dxa"/>
            <w:vAlign w:val="center"/>
          </w:tcPr>
          <w:p>
            <w:pPr>
              <w:spacing w:before="50" w:after="50"/>
            </w:pPr>
            <w:r>
              <w:rPr>
                <w:sz w:val="20"/>
                <w:szCs w:val="20"/>
                <w:color w:val="26191E"/>
              </w:rPr>
              <w:t xml:space="preserve">.NET 10 / C#, Clean Architecture</w:t>
            </w:r>
          </w:p>
        </w:tc>
      </w:tr>
      <w:tr>
        <w:tc>
          <w:tcPr>
            <w:tcW w:w="3000" w:type="dxa"/>
            <w:vAlign w:val="center"/>
          </w:tcPr>
          <w:p>
            <w:pPr>
              <w:spacing w:before="50" w:after="50"/>
            </w:pPr>
            <w:r>
              <w:rPr>
                <w:sz w:val="20"/>
                <w:szCs w:val="20"/>
                <w:color w:val="26191E"/>
              </w:rPr>
              <w:t xml:space="preserve">Frontend</w:t>
            </w:r>
          </w:p>
        </w:tc>
        <w:tc>
          <w:tcPr>
            <w:tcW w:w="6200" w:type="dxa"/>
            <w:vAlign w:val="center"/>
          </w:tcPr>
          <w:p>
            <w:pPr>
              <w:spacing w:before="50" w:after="50"/>
            </w:pPr>
            <w:r>
              <w:rPr>
                <w:sz w:val="20"/>
                <w:szCs w:val="20"/>
                <w:color w:val="26191E"/>
              </w:rPr>
              <w:t xml:space="preserve">Angular 21 — standalone components, signals, zoneless, Bootstrap 5</w:t>
            </w:r>
          </w:p>
        </w:tc>
      </w:tr>
      <w:tr>
        <w:tc>
          <w:tcPr>
            <w:tcW w:w="3000" w:type="dxa"/>
            <w:vAlign w:val="center"/>
          </w:tcPr>
          <w:p>
            <w:pPr>
              <w:spacing w:before="50" w:after="50"/>
            </w:pPr>
            <w:r>
              <w:rPr>
                <w:sz w:val="20"/>
                <w:szCs w:val="20"/>
                <w:color w:val="26191E"/>
              </w:rPr>
              <w:t xml:space="preserve">Database</w:t>
            </w:r>
          </w:p>
        </w:tc>
        <w:tc>
          <w:tcPr>
            <w:tcW w:w="6200" w:type="dxa"/>
            <w:vAlign w:val="center"/>
          </w:tcPr>
          <w:p>
            <w:pPr>
              <w:spacing w:before="50" w:after="50"/>
            </w:pPr>
            <w:r>
              <w:rPr>
                <w:sz w:val="20"/>
                <w:szCs w:val="20"/>
                <w:color w:val="26191E"/>
              </w:rPr>
              <w:t xml:space="preserve">SQL Server via Entity Framework Core</w:t>
            </w:r>
          </w:p>
        </w:tc>
      </w:tr>
      <w:tr>
        <w:tc>
          <w:tcPr>
            <w:tcW w:w="3000" w:type="dxa"/>
            <w:vAlign w:val="center"/>
          </w:tcPr>
          <w:p>
            <w:pPr>
              <w:spacing w:before="50" w:after="50"/>
            </w:pPr>
            <w:r>
              <w:rPr>
                <w:sz w:val="20"/>
                <w:szCs w:val="20"/>
                <w:color w:val="26191E"/>
              </w:rPr>
              <w:t xml:space="preserve">Authentication</w:t>
            </w:r>
          </w:p>
        </w:tc>
        <w:tc>
          <w:tcPr>
            <w:tcW w:w="6200" w:type="dxa"/>
            <w:vAlign w:val="center"/>
          </w:tcPr>
          <w:p>
            <w:pPr>
              <w:spacing w:before="50" w:after="50"/>
            </w:pPr>
            <w:r>
              <w:rPr>
                <w:sz w:val="20"/>
                <w:szCs w:val="20"/>
                <w:color w:val="26191E"/>
              </w:rPr>
              <w:t xml:space="preserve">ASP.NET Core Identity + JWT Bearer tokens</w:t>
            </w:r>
          </w:p>
        </w:tc>
      </w:tr>
      <w:tr>
        <w:tc>
          <w:tcPr>
            <w:tcW w:w="3000" w:type="dxa"/>
            <w:vAlign w:val="center"/>
          </w:tcPr>
          <w:p>
            <w:pPr>
              <w:spacing w:before="50" w:after="50"/>
            </w:pPr>
            <w:r>
              <w:rPr>
                <w:sz w:val="20"/>
                <w:szCs w:val="20"/>
                <w:color w:val="26191E"/>
              </w:rPr>
              <w:t xml:space="preserve">PDF generation</w:t>
            </w:r>
          </w:p>
        </w:tc>
        <w:tc>
          <w:tcPr>
            <w:tcW w:w="6200" w:type="dxa"/>
            <w:vAlign w:val="center"/>
          </w:tcPr>
          <w:p>
            <w:pPr>
              <w:spacing w:before="50" w:after="50"/>
            </w:pPr>
            <w:r>
              <w:rPr>
                <w:sz w:val="20"/>
                <w:szCs w:val="20"/>
                <w:color w:val="26191E"/>
              </w:rPr>
              <w:t xml:space="preserve">QuestPDF</w:t>
            </w:r>
          </w:p>
        </w:tc>
      </w:tr>
      <w:tr>
        <w:tc>
          <w:tcPr>
            <w:tcW w:w="3000" w:type="dxa"/>
            <w:vAlign w:val="center"/>
          </w:tcPr>
          <w:p>
            <w:pPr>
              <w:spacing w:before="50" w:after="50"/>
            </w:pPr>
            <w:r>
              <w:rPr>
                <w:sz w:val="20"/>
                <w:szCs w:val="20"/>
                <w:color w:val="26191E"/>
              </w:rPr>
              <w:t xml:space="preserve">Word / Excel generation</w:t>
            </w:r>
          </w:p>
        </w:tc>
        <w:tc>
          <w:tcPr>
            <w:tcW w:w="6200" w:type="dxa"/>
            <w:vAlign w:val="center"/>
          </w:tcPr>
          <w:p>
            <w:pPr>
              <w:spacing w:before="50" w:after="50"/>
            </w:pPr>
            <w:r>
              <w:rPr>
                <w:sz w:val="20"/>
                <w:szCs w:val="20"/>
                <w:color w:val="26191E"/>
              </w:rPr>
              <w:t xml:space="preserve">OpenXML SDK / ClosedXML</w:t>
            </w:r>
          </w:p>
        </w:tc>
      </w:tr>
      <w:tr>
        <w:tc>
          <w:tcPr>
            <w:tcW w:w="3000" w:type="dxa"/>
            <w:vAlign w:val="center"/>
          </w:tcPr>
          <w:p>
            <w:pPr>
              <w:spacing w:before="50" w:after="50"/>
            </w:pPr>
            <w:r>
              <w:rPr>
                <w:sz w:val="20"/>
                <w:szCs w:val="20"/>
                <w:color w:val="26191E"/>
              </w:rPr>
              <w:t xml:space="preserve">Brand typography</w:t>
            </w:r>
          </w:p>
        </w:tc>
        <w:tc>
          <w:tcPr>
            <w:tcW w:w="6200" w:type="dxa"/>
            <w:vAlign w:val="center"/>
          </w:tcPr>
          <w:p>
            <w:pPr>
              <w:spacing w:before="50" w:after="50"/>
            </w:pPr>
            <w:r>
              <w:rPr>
                <w:sz w:val="20"/>
                <w:szCs w:val="20"/>
                <w:color w:val="26191E"/>
              </w:rPr>
              <w:t xml:space="preserve">Lusail (official government identity), Tajawal, Inter</w:t>
            </w:r>
          </w:p>
        </w:tc>
      </w:tr>
      <w:tr>
        <w:tc>
          <w:tcPr>
            <w:tcW w:w="3000" w:type="dxa"/>
            <w:vAlign w:val="center"/>
          </w:tcPr>
          <w:p>
            <w:pPr>
              <w:spacing w:before="50" w:after="50"/>
            </w:pPr>
            <w:r>
              <w:rPr>
                <w:sz w:val="20"/>
                <w:szCs w:val="20"/>
                <w:color w:val="26191E"/>
              </w:rPr>
              <w:t xml:space="preserve">Code repository</w:t>
            </w:r>
          </w:p>
        </w:tc>
        <w:tc>
          <w:tcPr>
            <w:tcW w:w="6200" w:type="dxa"/>
            <w:vAlign w:val="center"/>
          </w:tcPr>
          <w:p>
            <w:pPr>
              <w:spacing w:before="50" w:after="50"/>
            </w:pPr>
            <w:r>
              <w:rPr>
                <w:sz w:val="20"/>
                <w:szCs w:val="20"/>
                <w:color w:val="26191E"/>
              </w:rPr>
              <w:t xml:space="preserve">github.com/Fouz85/Document-Management</w:t>
            </w:r>
          </w:p>
        </w:tc>
      </w:tr>
    </w:tbl>
    <w:p>
      <w:pPr>
        <w:spacing w:after="160"/>
      </w:pPr>
    </w:p>
    <w:p>
      <w:pPr>
        <w:pageBreakBefore/>
        <w:pStyle w:val="Heading1"/>
        <w:spacing w:before="380" w:after="140"/>
      </w:pPr>
      <w:r>
        <w:rPr>
          <w:b/>
          <w:sz w:val="40"/>
          <w:szCs w:val="40"/>
          <w:color w:val="8A1538"/>
        </w:rPr>
        <w:t xml:space="preserve">8. Permissions</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Pr>
      <w:tblGrid>
        <w:gridCol w:w="4400"/>
        <w:gridCol w:w="2400"/>
        <w:gridCol w:w="2400"/>
      </w:tblGrid>
      <w:tr>
        <w:tc>
          <w:tcPr>
            <w:tcW w:w="4400" w:type="dxa"/>
            <w:shd w:val="clear" w:fill="8A1538"/>
            <w:vAlign w:val="center"/>
          </w:tcPr>
          <w:p>
            <w:pPr>
              <w:spacing w:before="50" w:after="50"/>
            </w:pPr>
            <w:r>
              <w:rPr>
                <w:b/>
                <w:sz w:val="20"/>
                <w:szCs w:val="20"/>
                <w:color w:val="FFFFFF"/>
              </w:rPr>
              <w:t xml:space="preserve">Function / Action</w:t>
            </w:r>
          </w:p>
        </w:tc>
        <w:tc>
          <w:tcPr>
            <w:tcW w:w="2400" w:type="dxa"/>
            <w:shd w:val="clear" w:fill="8A1538"/>
            <w:vAlign w:val="center"/>
          </w:tcPr>
          <w:p>
            <w:pPr>
              <w:spacing w:before="50" w:after="50"/>
            </w:pPr>
            <w:r>
              <w:rPr>
                <w:b/>
                <w:sz w:val="20"/>
                <w:szCs w:val="20"/>
                <w:color w:val="FFFFFF"/>
              </w:rPr>
              <w:t xml:space="preserve">User</w:t>
            </w:r>
          </w:p>
        </w:tc>
        <w:tc>
          <w:tcPr>
            <w:tcW w:w="2400" w:type="dxa"/>
            <w:shd w:val="clear" w:fill="8A1538"/>
            <w:vAlign w:val="center"/>
          </w:tcPr>
          <w:p>
            <w:pPr>
              <w:spacing w:before="50" w:after="50"/>
            </w:pPr>
            <w:r>
              <w:rPr>
                <w:b/>
                <w:sz w:val="20"/>
                <w:szCs w:val="20"/>
                <w:color w:val="FFFFFF"/>
              </w:rPr>
              <w:t xml:space="preserve">Admin</w:t>
            </w:r>
          </w:p>
        </w:tc>
      </w:tr>
      <w:tr>
        <w:tc>
          <w:tcPr>
            <w:tcW w:w="4400" w:type="dxa"/>
            <w:vAlign w:val="center"/>
          </w:tcPr>
          <w:p>
            <w:pPr>
              <w:spacing w:before="50" w:after="50"/>
            </w:pPr>
            <w:r>
              <w:rPr>
                <w:sz w:val="20"/>
                <w:szCs w:val="20"/>
                <w:color w:val="26191E"/>
              </w:rPr>
              <w:t xml:space="preserve">Submit a request / save as draft</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r>
        <w:tc>
          <w:tcPr>
            <w:tcW w:w="4400" w:type="dxa"/>
            <w:vAlign w:val="center"/>
          </w:tcPr>
          <w:p>
            <w:pPr>
              <w:spacing w:before="50" w:after="50"/>
            </w:pPr>
            <w:r>
              <w:rPr>
                <w:sz w:val="20"/>
                <w:szCs w:val="20"/>
                <w:color w:val="26191E"/>
              </w:rPr>
              <w:t xml:space="preserve">Edit a request</w:t>
            </w:r>
          </w:p>
        </w:tc>
        <w:tc>
          <w:tcPr>
            <w:tcW w:w="2400" w:type="dxa"/>
            <w:vAlign w:val="center"/>
          </w:tcPr>
          <w:p>
            <w:pPr>
              <w:spacing w:before="50" w:after="50"/>
            </w:pPr>
            <w:r>
              <w:rPr>
                <w:sz w:val="20"/>
                <w:szCs w:val="20"/>
                <w:color w:val="26191E"/>
              </w:rPr>
              <w:t xml:space="preserve">✓ (Draft/Rejected only)</w:t>
            </w:r>
          </w:p>
        </w:tc>
        <w:tc>
          <w:tcPr>
            <w:tcW w:w="2400" w:type="dxa"/>
            <w:vAlign w:val="center"/>
          </w:tcPr>
          <w:p>
            <w:pPr>
              <w:spacing w:before="50" w:after="50"/>
            </w:pPr>
            <w:r>
              <w:rPr>
                <w:sz w:val="20"/>
                <w:szCs w:val="20"/>
                <w:color w:val="26191E"/>
              </w:rPr>
              <w:t xml:space="preserve">✓ (any status)</w:t>
            </w:r>
          </w:p>
        </w:tc>
      </w:tr>
      <w:tr>
        <w:tc>
          <w:tcPr>
            <w:tcW w:w="4400" w:type="dxa"/>
            <w:vAlign w:val="center"/>
          </w:tcPr>
          <w:p>
            <w:pPr>
              <w:spacing w:before="50" w:after="50"/>
            </w:pPr>
            <w:r>
              <w:rPr>
                <w:sz w:val="20"/>
                <w:szCs w:val="20"/>
                <w:color w:val="26191E"/>
              </w:rPr>
              <w:t xml:space="preserve">View request details &amp; signatures</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r>
        <w:tc>
          <w:tcPr>
            <w:tcW w:w="4400" w:type="dxa"/>
            <w:vAlign w:val="center"/>
          </w:tcPr>
          <w:p>
            <w:pPr>
              <w:spacing w:before="50" w:after="50"/>
            </w:pPr>
            <w:r>
              <w:rPr>
                <w:sz w:val="20"/>
                <w:szCs w:val="20"/>
                <w:color w:val="26191E"/>
              </w:rPr>
              <w:t xml:space="preserve">View request list</w:t>
            </w:r>
          </w:p>
        </w:tc>
        <w:tc>
          <w:tcPr>
            <w:tcW w:w="2400" w:type="dxa"/>
            <w:vAlign w:val="center"/>
          </w:tcPr>
          <w:p>
            <w:pPr>
              <w:spacing w:before="50" w:after="50"/>
            </w:pPr>
            <w:r>
              <w:rPr>
                <w:sz w:val="20"/>
                <w:szCs w:val="20"/>
                <w:color w:val="26191E"/>
              </w:rPr>
              <w:t xml:space="preserve">✓ (own requests)</w:t>
            </w:r>
          </w:p>
        </w:tc>
        <w:tc>
          <w:tcPr>
            <w:tcW w:w="2400" w:type="dxa"/>
            <w:vAlign w:val="center"/>
          </w:tcPr>
          <w:p>
            <w:pPr>
              <w:spacing w:before="50" w:after="50"/>
            </w:pPr>
            <w:r>
              <w:rPr>
                <w:sz w:val="20"/>
                <w:szCs w:val="20"/>
                <w:color w:val="26191E"/>
              </w:rPr>
              <w:t xml:space="preserve">✓ (excluding others' drafts)</w:t>
            </w:r>
          </w:p>
        </w:tc>
      </w:tr>
      <w:tr>
        <w:tc>
          <w:tcPr>
            <w:tcW w:w="4400" w:type="dxa"/>
            <w:vAlign w:val="center"/>
          </w:tcPr>
          <w:p>
            <w:pPr>
              <w:spacing w:before="50" w:after="50"/>
            </w:pPr>
            <w:r>
              <w:rPr>
                <w:sz w:val="20"/>
                <w:szCs w:val="20"/>
                <w:color w:val="26191E"/>
              </w:rPr>
              <w:t xml:space="preserve">Approve / reject requests</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r>
        <w:tc>
          <w:tcPr>
            <w:tcW w:w="4400" w:type="dxa"/>
            <w:vAlign w:val="center"/>
          </w:tcPr>
          <w:p>
            <w:pPr>
              <w:spacing w:before="50" w:after="50"/>
            </w:pPr>
            <w:r>
              <w:rPr>
                <w:sz w:val="20"/>
                <w:szCs w:val="20"/>
                <w:color w:val="26191E"/>
              </w:rPr>
              <w:t xml:space="preserve">Mark / undo physical destruction</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r>
        <w:tc>
          <w:tcPr>
            <w:tcW w:w="4400" w:type="dxa"/>
            <w:vAlign w:val="center"/>
          </w:tcPr>
          <w:p>
            <w:pPr>
              <w:spacing w:before="50" w:after="50"/>
            </w:pPr>
            <w:r>
              <w:rPr>
                <w:sz w:val="20"/>
                <w:szCs w:val="20"/>
                <w:color w:val="26191E"/>
              </w:rPr>
              <w:t xml:space="preserve">Download PDF / Word</w:t>
            </w:r>
          </w:p>
        </w:tc>
        <w:tc>
          <w:tcPr>
            <w:tcW w:w="2400" w:type="dxa"/>
            <w:vAlign w:val="center"/>
          </w:tcPr>
          <w:p>
            <w:pPr>
              <w:spacing w:before="50" w:after="50"/>
            </w:pPr>
            <w:r>
              <w:rPr>
                <w:sz w:val="20"/>
                <w:szCs w:val="20"/>
                <w:color w:val="26191E"/>
              </w:rPr>
              <w:t xml:space="preserve">✓ (own, approved)</w:t>
            </w:r>
          </w:p>
        </w:tc>
        <w:tc>
          <w:tcPr>
            <w:tcW w:w="2400" w:type="dxa"/>
            <w:vAlign w:val="center"/>
          </w:tcPr>
          <w:p>
            <w:pPr>
              <w:spacing w:before="50" w:after="50"/>
            </w:pPr>
            <w:r>
              <w:rPr>
                <w:sz w:val="20"/>
                <w:szCs w:val="20"/>
                <w:color w:val="26191E"/>
              </w:rPr>
              <w:t xml:space="preserve">✓ (all approved)</w:t>
            </w:r>
          </w:p>
        </w:tc>
      </w:tr>
      <w:tr>
        <w:tc>
          <w:tcPr>
            <w:tcW w:w="4400" w:type="dxa"/>
            <w:vAlign w:val="center"/>
          </w:tcPr>
          <w:p>
            <w:pPr>
              <w:spacing w:before="50" w:after="50"/>
            </w:pPr>
            <w:r>
              <w:rPr>
                <w:sz w:val="20"/>
                <w:szCs w:val="20"/>
                <w:color w:val="26191E"/>
              </w:rPr>
              <w:t xml:space="preserve">Export Excel (destruction schedule)</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r>
        <w:tc>
          <w:tcPr>
            <w:tcW w:w="4400" w:type="dxa"/>
            <w:vAlign w:val="center"/>
          </w:tcPr>
          <w:p>
            <w:pPr>
              <w:spacing w:before="50" w:after="50"/>
            </w:pPr>
            <w:r>
              <w:rPr>
                <w:sz w:val="20"/>
                <w:szCs w:val="20"/>
                <w:color w:val="26191E"/>
              </w:rPr>
              <w:t xml:space="preserve">Delete requests (soft delete)</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r>
        <w:tc>
          <w:tcPr>
            <w:tcW w:w="4400" w:type="dxa"/>
            <w:vAlign w:val="center"/>
          </w:tcPr>
          <w:p>
            <w:pPr>
              <w:spacing w:before="50" w:after="50"/>
            </w:pPr>
            <w:r>
              <w:rPr>
                <w:sz w:val="20"/>
                <w:szCs w:val="20"/>
                <w:color w:val="26191E"/>
              </w:rPr>
              <w:t xml:space="preserve">Manage users (edit / activate / delete)</w:t>
            </w:r>
          </w:p>
        </w:tc>
        <w:tc>
          <w:tcPr>
            <w:tcW w:w="2400" w:type="dxa"/>
            <w:vAlign w:val="center"/>
          </w:tcPr>
          <w:p>
            <w:pPr>
              <w:spacing w:before="50" w:after="50"/>
            </w:pPr>
            <w:r>
              <w:rPr>
                <w:sz w:val="20"/>
                <w:szCs w:val="20"/>
                <w:color w:val="26191E"/>
              </w:rPr>
              <w:t xml:space="preserve">✗</w:t>
            </w:r>
          </w:p>
        </w:tc>
        <w:tc>
          <w:tcPr>
            <w:tcW w:w="2400" w:type="dxa"/>
            <w:vAlign w:val="center"/>
          </w:tcPr>
          <w:p>
            <w:pPr>
              <w:spacing w:before="50" w:after="50"/>
            </w:pPr>
            <w:r>
              <w:rPr>
                <w:sz w:val="20"/>
                <w:szCs w:val="20"/>
                <w:color w:val="26191E"/>
              </w:rPr>
              <w:t xml:space="preserve">✓</w:t>
            </w:r>
          </w:p>
        </w:tc>
      </w:tr>
    </w:tbl>
    <w:p>
      <w:pPr>
        <w:spacing w:after="160"/>
      </w:pPr>
    </w:p>
    <w:p>
      <w:pPr>
        <w:pageBreakBefore/>
        <w:pStyle w:val="Heading1"/>
        <w:spacing w:before="380" w:after="140"/>
      </w:pPr>
      <w:r>
        <w:rPr>
          <w:b/>
          <w:sz w:val="40"/>
          <w:szCs w:val="40"/>
          <w:color w:val="8A1538"/>
        </w:rPr>
        <w:t xml:space="preserve">9. Organizational Structure</w:t>
      </w:r>
    </w:p>
    <w:p>
      <w:pPr>
        <w:spacing w:after="120"/>
      </w:pPr>
      <w:r>
        <w:t xml:space="preserve">The system uses a self-referencing hierarchy rather than a fixed number of levels: each top-level department can contain sub-departments, and each sub-department can itself contain further sub-departments, to an unlimited depth. This allows complex structures — such as schools, entered as free-text units under a “Schools” department — without constraining the system to a rigid three-tier scheme.</w:t>
      </w:r>
    </w:p>
    <w:p>
      <w:pPr>
        <w:spacing w:after="120"/>
      </w:pPr>
      <w:r>
        <w:t xml:space="preserve">The system currently has 8 top-level departments and 121 pre-seeded sub-departments/sections, matching the ministry's official structure.</w:t>
      </w:r>
    </w:p>
    <w:p>
      <w:pPr>
        <w:pageBreakBefore/>
        <w:pStyle w:val="Heading1"/>
        <w:spacing w:before="380" w:after="140"/>
      </w:pPr>
      <w:r>
        <w:rPr>
          <w:b/>
          <w:sz w:val="40"/>
          <w:szCs w:val="40"/>
          <w:color w:val="8A1538"/>
        </w:rPr>
        <w:t xml:space="preserve">10. Workflow</w:t>
      </w:r>
    </w:p>
    <w:p>
      <w:pPr>
        <w:pStyle w:val="Heading2"/>
        <w:keepNext/>
        <w:spacing w:before="200" w:after="80"/>
      </w:pPr>
      <w:r>
        <w:rPr>
          <w:b/>
          <w:sz w:val="26"/>
          <w:szCs w:val="26"/>
          <w:color w:val="26191E"/>
        </w:rPr>
        <w:t xml:space="preserve">10.1 Registration &amp; Submission Flow</w:t>
      </w:r>
    </w:p>
    <w:p>
      <w:pPr>
        <w:spacing w:after="70"/>
      </w:pPr>
      <w:r>
        <w:rPr>
          <w:b/>
          <w:color w:val="8A1538"/>
        </w:rPr>
        <w:t xml:space="preserve">Step 1 — </w:t>
      </w:r>
      <w:r>
        <w:t xml:space="preserve">The user creates an account with a ministry-domain email address and a password meeting the security policy.</w:t>
      </w:r>
    </w:p>
    <w:p>
      <w:pPr>
        <w:spacing w:after="70"/>
      </w:pPr>
      <w:r>
        <w:rPr>
          <w:b/>
          <w:color w:val="8A1538"/>
        </w:rPr>
        <w:t xml:space="preserve">Step 2 — </w:t>
      </w:r>
      <w:r>
        <w:t xml:space="preserve">On first login, the user is required to complete their profile (full name and department) before accessing any other page.</w:t>
      </w:r>
    </w:p>
    <w:p>
      <w:pPr>
        <w:spacing w:after="70"/>
      </w:pPr>
      <w:r>
        <w:rPr>
          <w:b/>
          <w:color w:val="8A1538"/>
        </w:rPr>
        <w:t xml:space="preserve">Step 3 — </w:t>
      </w:r>
      <w:r>
        <w:t xml:space="preserve">The user clicks “New Request” to open the destruction request form.</w:t>
      </w:r>
    </w:p>
    <w:p>
      <w:pPr>
        <w:spacing w:after="70"/>
      </w:pPr>
      <w:r>
        <w:rPr>
          <w:b/>
          <w:color w:val="8A1538"/>
        </w:rPr>
        <w:t xml:space="preserve">Step 4 — </w:t>
      </w:r>
      <w:r>
        <w:t xml:space="preserve">The user fills in administrative-unit details, records data, and the records list.</w:t>
      </w:r>
    </w:p>
    <w:p>
      <w:pPr>
        <w:spacing w:after="70"/>
      </w:pPr>
      <w:r>
        <w:rPr>
          <w:b/>
          <w:color w:val="8A1538"/>
        </w:rPr>
        <w:t xml:space="preserve">Step 5 — </w:t>
      </w:r>
      <w:r>
        <w:t xml:space="preserve">The four parties sign digitally, either by drawing or uploading an image.</w:t>
      </w:r>
    </w:p>
    <w:p>
      <w:pPr>
        <w:spacing w:after="70"/>
      </w:pPr>
      <w:r>
        <w:rPr>
          <w:b/>
          <w:color w:val="8A1538"/>
        </w:rPr>
        <w:t xml:space="preserve">Step 6 — </w:t>
      </w:r>
      <w:r>
        <w:t xml:space="preserve">The user saves the request as a draft, or submits it for review.</w:t>
      </w:r>
    </w:p>
    <w:p>
      <w:pPr>
        <w:pStyle w:val="Heading2"/>
        <w:keepNext/>
        <w:spacing w:before="200" w:after="80"/>
      </w:pPr>
      <w:r>
        <w:rPr>
          <w:b/>
          <w:sz w:val="26"/>
          <w:szCs w:val="26"/>
          <w:color w:val="26191E"/>
        </w:rPr>
        <w:t xml:space="preserve">10.2 Approval &amp; Destruction Tracking Flow</w:t>
      </w:r>
    </w:p>
    <w:p>
      <w:pPr>
        <w:spacing w:after="70"/>
      </w:pPr>
      <w:r>
        <w:rPr>
          <w:b/>
          <w:color w:val="8A1538"/>
        </w:rPr>
        <w:t xml:space="preserve">Step 1 — </w:t>
      </w:r>
      <w:r>
        <w:t xml:space="preserve">The administrator views submitted requests in “All Submissions” or the dashboard.</w:t>
      </w:r>
    </w:p>
    <w:p>
      <w:pPr>
        <w:spacing w:after="70"/>
      </w:pPr>
      <w:r>
        <w:rPr>
          <w:b/>
          <w:color w:val="8A1538"/>
        </w:rPr>
        <w:t xml:space="preserve">Step 2 — </w:t>
      </w:r>
      <w:r>
        <w:t xml:space="preserve">The administrator opens the request's details and reviews every field and signature.</w:t>
      </w:r>
    </w:p>
    <w:p>
      <w:pPr>
        <w:spacing w:after="70"/>
      </w:pPr>
      <w:r>
        <w:rPr>
          <w:b/>
          <w:color w:val="8A1538"/>
        </w:rPr>
        <w:t xml:space="preserve">Step 3 — </w:t>
      </w:r>
      <w:r>
        <w:t xml:space="preserve">The administrator adds an optional note and decides to approve or reject.</w:t>
      </w:r>
    </w:p>
    <w:p>
      <w:pPr>
        <w:spacing w:after="70"/>
      </w:pPr>
      <w:r>
        <w:rPr>
          <w:b/>
          <w:color w:val="8A1538"/>
        </w:rPr>
        <w:t xml:space="preserve">Step 4 — </w:t>
      </w:r>
      <w:r>
        <w:t xml:space="preserve">On rejection, the request returns to the submitter, with the note, to correct and resubmit.</w:t>
      </w:r>
    </w:p>
    <w:p>
      <w:pPr>
        <w:spacing w:after="70"/>
      </w:pPr>
      <w:r>
        <w:rPr>
          <w:b/>
          <w:color w:val="8A1538"/>
        </w:rPr>
        <w:t xml:space="preserve">Step 5 — </w:t>
      </w:r>
      <w:r>
        <w:t xml:space="preserve">On approval, PDF and Word download buttons become available to both the submitter and the administrator.</w:t>
      </w:r>
    </w:p>
    <w:p>
      <w:pPr>
        <w:spacing w:after="70"/>
      </w:pPr>
      <w:r>
        <w:rPr>
          <w:b/>
          <w:color w:val="8A1538"/>
        </w:rPr>
        <w:t xml:space="preserve">Step 6 — </w:t>
      </w:r>
      <w:r>
        <w:t xml:space="preserve">Once physical destruction actually takes place, the administrator marks it on the request's details page, which excludes it from the next Excel export.</w:t>
      </w:r>
    </w:p>
    <w:p>
      <w:pPr>
        <w:pageBreakBefore/>
        <w:pStyle w:val="Heading1"/>
        <w:spacing w:before="380" w:after="140"/>
      </w:pPr>
      <w:r>
        <w:rPr>
          <w:b/>
          <w:sz w:val="40"/>
          <w:szCs w:val="40"/>
          <w:color w:val="8A1538"/>
        </w:rPr>
        <w:t xml:space="preserve">11. Constraints &amp; Assumptions</w:t>
      </w:r>
    </w:p>
    <w:p>
      <w:pPr>
        <w:pStyle w:val="Heading2"/>
        <w:keepNext/>
        <w:spacing w:before="200" w:after="80"/>
      </w:pPr>
      <w:r>
        <w:rPr>
          <w:b/>
          <w:sz w:val="26"/>
          <w:szCs w:val="26"/>
          <w:color w:val="26191E"/>
        </w:rPr>
        <w:t xml:space="preserve">11.1 Constraints</w:t>
      </w:r>
    </w:p>
    <w:p>
      <w:pPr>
        <w:spacing w:after="60"/>
        <w:ind w:left="360"/>
      </w:pPr>
      <w:r>
        <w:t xml:space="preserve">•  </w:t>
      </w:r>
      <w:r>
        <w:t xml:space="preserve">Identity verification relies solely on matching the email domain (@education.qa / @edu.gov.qa) — there is no verification of the account holder's identity beyond that.</w:t>
      </w:r>
    </w:p>
    <w:p>
      <w:pPr>
        <w:spacing w:after="60"/>
        <w:ind w:left="360"/>
      </w:pPr>
      <w:r>
        <w:t xml:space="preserve">•  </w:t>
      </w:r>
      <w:r>
        <w:t xml:space="preserve">Current authentication is self-service with a password, not the ministry's unified account (SSO); moving to that requires Azure AD credentials from the ministry's IT department.</w:t>
      </w:r>
    </w:p>
    <w:p>
      <w:pPr>
        <w:spacing w:after="60"/>
        <w:ind w:left="360"/>
      </w:pPr>
      <w:r>
        <w:t xml:space="preserve">•  </w:t>
      </w:r>
      <w:r>
        <w:t xml:space="preserve">There is currently no automated notification (email or in-app) when a request's status changes — the user must sign in to see it.</w:t>
      </w:r>
    </w:p>
    <w:p>
      <w:pPr>
        <w:pStyle w:val="Heading2"/>
        <w:keepNext/>
        <w:spacing w:before="200" w:after="80"/>
      </w:pPr>
      <w:r>
        <w:rPr>
          <w:b/>
          <w:sz w:val="26"/>
          <w:szCs w:val="26"/>
          <w:color w:val="26191E"/>
        </w:rPr>
        <w:t xml:space="preserve">11.2 Assumptions</w:t>
      </w:r>
    </w:p>
    <w:p>
      <w:pPr>
        <w:spacing w:after="60"/>
        <w:ind w:left="360"/>
      </w:pPr>
      <w:r>
        <w:t xml:space="preserve">•  </w:t>
      </w:r>
      <w:r>
        <w:t xml:space="preserve">Organizational structure data (departments and units) is pre-populated and matches the ministry's official structure.</w:t>
      </w:r>
    </w:p>
    <w:p>
      <w:pPr>
        <w:spacing w:after="60"/>
        <w:ind w:left="360"/>
      </w:pPr>
      <w:r>
        <w:t xml:space="preserve">•  </w:t>
      </w:r>
      <w:r>
        <w:t xml:space="preserve">All users have a modern browser supporting HTML5 Canvas (for drawing signatures).</w:t>
      </w:r>
    </w:p>
    <w:p>
      <w:pPr>
        <w:pageBreakBefore/>
        <w:pStyle w:val="Heading1"/>
        <w:spacing w:before="380" w:after="140"/>
      </w:pPr>
      <w:r>
        <w:rPr>
          <w:b/>
          <w:sz w:val="40"/>
          <w:szCs w:val="40"/>
          <w:color w:val="8A1538"/>
        </w:rPr>
        <w:t xml:space="preserve">12. Recent Changes Implemented</w:t>
      </w:r>
    </w:p>
    <w:p>
      <w:pPr>
        <w:spacing w:after="60"/>
        <w:ind w:left="360"/>
      </w:pPr>
      <w:r>
        <w:t xml:space="preserve">•  </w:t>
      </w:r>
      <w:r>
        <w:t xml:space="preserve">Switched the system's primary typeface (PDF, Word, Excel, and the web interface) to the official Lusail font, replacing the previous fonts.</w:t>
      </w:r>
    </w:p>
    <w:p>
      <w:pPr>
        <w:spacing w:after="60"/>
        <w:ind w:left="360"/>
      </w:pPr>
      <w:r>
        <w:t xml:space="preserve">•  </w:t>
      </w:r>
      <w:r>
        <w:t xml:space="preserve">Fixed the Legal Affairs section and other elements in the official Word template, which had been using a different font for some Arabic text.</w:t>
      </w:r>
    </w:p>
    <w:p>
      <w:pPr>
        <w:spacing w:after="60"/>
        <w:ind w:left="360"/>
      </w:pPr>
      <w:r>
        <w:t xml:space="preserve">•  </w:t>
      </w:r>
      <w:r>
        <w:t xml:space="preserve">Replaced the manual character-count estimate for Excel row heights with a real text-measurement function, preventing clipped text in exports.</w:t>
      </w:r>
    </w:p>
    <w:p>
      <w:pPr>
        <w:spacing w:after="60"/>
        <w:ind w:left="360"/>
      </w:pPr>
      <w:r>
        <w:t xml:space="preserve">•  </w:t>
      </w:r>
      <w:r>
        <w:t xml:space="preserve">Uploaded signature images are now automatically resized before submission, preventing oversized requests from high-resolution photos.</w:t>
      </w:r>
    </w:p>
    <w:p>
      <w:pPr>
        <w:spacing w:after="60"/>
        <w:ind w:left="360"/>
      </w:pPr>
      <w:r>
        <w:t xml:space="preserve">•  </w:t>
      </w:r>
      <w:r>
        <w:t xml:space="preserve">Fixed an empty date field in signature blocks being sent as an empty string instead of a proper null value, which the server had been rejecting.</w:t>
      </w:r>
    </w:p>
    <w:p>
      <w:pPr>
        <w:spacing w:after="60"/>
        <w:ind w:left="360"/>
      </w:pPr>
      <w:r>
        <w:t xml:space="preserve">•  </w:t>
      </w:r>
      <w:r>
        <w:t xml:space="preserve">Replaced admin-created user accounts with self-registration restricted to the ministry's email domains, plus a mandatory profile-completion step on first login.</w:t>
      </w:r>
    </w:p>
    <w:p>
      <w:pPr>
        <w:spacing w:after="60"/>
        <w:ind w:left="360"/>
      </w:pPr>
      <w:r>
        <w:t xml:space="preserve">•  </w:t>
      </w:r>
      <w:r>
        <w:t xml:space="preserve">Corrected the “Total Submissions” count on the admin dashboard, which had been incorrectly including private drafts.</w:t>
      </w:r>
    </w:p>
    <w:p>
      <w:pPr>
        <w:spacing w:after="60"/>
        <w:ind w:left="360"/>
      </w:pPr>
      <w:r>
        <w:t xml:space="preserve">•  </w:t>
      </w:r>
      <w:r>
        <w:t xml:space="preserve">Hid the top-level department name from the section column in list views (dashboard, My Requests, All Submissions), showing only the actual section name.</w:t>
      </w:r>
    </w:p>
    <w:p>
      <w:pPr>
        <w:pageBreakBefore/>
        <w:pStyle w:val="Heading1"/>
        <w:spacing w:before="380" w:after="140"/>
      </w:pPr>
      <w:r>
        <w:rPr>
          <w:b/>
          <w:sz w:val="40"/>
          <w:szCs w:val="40"/>
          <w:color w:val="8A1538"/>
        </w:rPr>
        <w:t xml:space="preserve">13. System Access Information</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Pr>
      <w:tblGrid>
        <w:gridCol w:w="3000"/>
        <w:gridCol w:w="6200"/>
      </w:tblGrid>
      <w:tr>
        <w:tc>
          <w:tcPr>
            <w:tcW w:w="3000" w:type="dxa"/>
            <w:shd w:val="clear" w:fill="8A1538"/>
            <w:vAlign w:val="center"/>
          </w:tcPr>
          <w:p>
            <w:pPr>
              <w:spacing w:before="50" w:after="50"/>
            </w:pPr>
            <w:r>
              <w:rPr>
                <w:b/>
                <w:sz w:val="20"/>
                <w:szCs w:val="20"/>
                <w:color w:val="FFFFFF"/>
              </w:rPr>
              <w:t xml:space="preserve">Item</w:t>
            </w:r>
          </w:p>
        </w:tc>
        <w:tc>
          <w:tcPr>
            <w:tcW w:w="6200" w:type="dxa"/>
            <w:shd w:val="clear" w:fill="8A1538"/>
            <w:vAlign w:val="center"/>
          </w:tcPr>
          <w:p>
            <w:pPr>
              <w:spacing w:before="50" w:after="50"/>
            </w:pPr>
            <w:r>
              <w:rPr>
                <w:b/>
                <w:sz w:val="20"/>
                <w:szCs w:val="20"/>
                <w:color w:val="FFFFFF"/>
              </w:rPr>
              <w:t xml:space="preserve">Detail</w:t>
            </w:r>
          </w:p>
        </w:tc>
      </w:tr>
      <w:tr>
        <w:tc>
          <w:tcPr>
            <w:tcW w:w="3000" w:type="dxa"/>
            <w:vAlign w:val="center"/>
          </w:tcPr>
          <w:p>
            <w:pPr>
              <w:spacing w:before="50" w:after="50"/>
            </w:pPr>
            <w:r>
              <w:rPr>
                <w:sz w:val="20"/>
                <w:szCs w:val="20"/>
                <w:color w:val="26191E"/>
              </w:rPr>
              <w:t xml:space="preserve">Code repository</w:t>
            </w:r>
          </w:p>
        </w:tc>
        <w:tc>
          <w:tcPr>
            <w:tcW w:w="6200" w:type="dxa"/>
            <w:vAlign w:val="center"/>
          </w:tcPr>
          <w:p>
            <w:pPr>
              <w:spacing w:before="50" w:after="50"/>
            </w:pPr>
            <w:r>
              <w:rPr>
                <w:sz w:val="20"/>
                <w:szCs w:val="20"/>
                <w:color w:val="26191E"/>
              </w:rPr>
              <w:t xml:space="preserve">https://github.com/Fouz85/Document-Management</w:t>
            </w:r>
          </w:p>
        </w:tc>
      </w:tr>
      <w:tr>
        <w:tc>
          <w:tcPr>
            <w:tcW w:w="3000" w:type="dxa"/>
            <w:vAlign w:val="center"/>
          </w:tcPr>
          <w:p>
            <w:pPr>
              <w:spacing w:before="50" w:after="50"/>
            </w:pPr>
            <w:r>
              <w:rPr>
                <w:sz w:val="20"/>
                <w:szCs w:val="20"/>
                <w:color w:val="26191E"/>
              </w:rPr>
              <w:t xml:space="preserve">System URL</w:t>
            </w:r>
          </w:p>
        </w:tc>
        <w:tc>
          <w:tcPr>
            <w:tcW w:w="6200" w:type="dxa"/>
            <w:vAlign w:val="center"/>
          </w:tcPr>
          <w:p>
            <w:pPr>
              <w:spacing w:before="50" w:after="50"/>
            </w:pPr>
            <w:r>
              <w:rPr>
                <w:sz w:val="20"/>
                <w:szCs w:val="20"/>
                <w:color w:val="26191E"/>
              </w:rPr>
              <w:t xml:space="preserve">Local development environment — no public URL as of this document</w:t>
            </w:r>
          </w:p>
        </w:tc>
      </w:tr>
      <w:tr>
        <w:tc>
          <w:tcPr>
            <w:tcW w:w="3000" w:type="dxa"/>
            <w:vAlign w:val="center"/>
          </w:tcPr>
          <w:p>
            <w:pPr>
              <w:spacing w:before="50" w:after="50"/>
            </w:pPr>
            <w:r>
              <w:rPr>
                <w:sz w:val="20"/>
                <w:szCs w:val="20"/>
                <w:color w:val="26191E"/>
              </w:rPr>
              <w:t xml:space="preserve">Sign-in credentials</w:t>
            </w:r>
          </w:p>
        </w:tc>
        <w:tc>
          <w:tcPr>
            <w:tcW w:w="6200" w:type="dxa"/>
            <w:vAlign w:val="center"/>
          </w:tcPr>
          <w:p>
            <w:pPr>
              <w:spacing w:before="50" w:after="50"/>
            </w:pPr>
            <w:r>
              <w:rPr>
                <w:sz w:val="20"/>
                <w:szCs w:val="20"/>
                <w:color w:val="26191E"/>
              </w:rPr>
              <w:t xml:space="preserve">Managed via local user-secrets and environment variables in production — not documented here, per the project's security policy</w:t>
            </w:r>
          </w:p>
        </w:tc>
      </w:tr>
    </w:tbl>
    <w:p>
      <w:pPr>
        <w:spacing w:after="160"/>
      </w:pPr>
    </w:p>
    <w:p>
      <w:pPr>
        <w:pageBreakBefore/>
        <w:pStyle w:val="Heading1"/>
        <w:spacing w:before="380" w:after="140"/>
      </w:pPr>
      <w:r>
        <w:rPr>
          <w:b/>
          <w:sz w:val="40"/>
          <w:szCs w:val="40"/>
          <w:color w:val="8A1538"/>
        </w:rPr>
        <w:t xml:space="preserve">14. Version History</w:t>
      </w:r>
    </w:p>
    <w:tbl>
      <w:tblPr>
        <w:tblW w:w="0" w:type="auto"/>
        <w:tblBorders>
          <w:top w:val="single" w:sz="4" w:color="E4DCCC"/>
          <w:left w:val="single" w:sz="4" w:color="E4DCCC"/>
          <w:bottom w:val="single" w:sz="4" w:color="E4DCCC"/>
          <w:right w:val="single" w:sz="4" w:color="E4DCCC"/>
          <w:insideH w:val="single" w:sz="4" w:color="E4DCCC"/>
          <w:insideV w:val="single" w:sz="4" w:color="E4DCCC"/>
        </w:tblBorders>
      </w:tblPr>
      <w:tblGrid>
        <w:gridCol w:w="1000"/>
        <w:gridCol w:w="1400"/>
        <w:gridCol w:w="3200"/>
        <w:gridCol w:w="3600"/>
      </w:tblGrid>
      <w:tr>
        <w:tc>
          <w:tcPr>
            <w:tcW w:w="1000" w:type="dxa"/>
            <w:shd w:val="clear" w:fill="8A1538"/>
            <w:vAlign w:val="center"/>
          </w:tcPr>
          <w:p>
            <w:pPr>
              <w:spacing w:before="50" w:after="50"/>
            </w:pPr>
            <w:r>
              <w:rPr>
                <w:b/>
                <w:sz w:val="20"/>
                <w:szCs w:val="20"/>
                <w:color w:val="FFFFFF"/>
              </w:rPr>
              <w:t xml:space="preserve">Version</w:t>
            </w:r>
          </w:p>
        </w:tc>
        <w:tc>
          <w:tcPr>
            <w:tcW w:w="1400" w:type="dxa"/>
            <w:shd w:val="clear" w:fill="8A1538"/>
            <w:vAlign w:val="center"/>
          </w:tcPr>
          <w:p>
            <w:pPr>
              <w:spacing w:before="50" w:after="50"/>
            </w:pPr>
            <w:r>
              <w:rPr>
                <w:b/>
                <w:sz w:val="20"/>
                <w:szCs w:val="20"/>
                <w:color w:val="FFFFFF"/>
              </w:rPr>
              <w:t xml:space="preserve">Date</w:t>
            </w:r>
          </w:p>
        </w:tc>
        <w:tc>
          <w:tcPr>
            <w:tcW w:w="3200" w:type="dxa"/>
            <w:shd w:val="clear" w:fill="8A1538"/>
            <w:vAlign w:val="center"/>
          </w:tcPr>
          <w:p>
            <w:pPr>
              <w:spacing w:before="50" w:after="50"/>
            </w:pPr>
            <w:r>
              <w:rPr>
                <w:b/>
                <w:sz w:val="20"/>
                <w:szCs w:val="20"/>
                <w:color w:val="FFFFFF"/>
              </w:rPr>
              <w:t xml:space="preserve">Description</w:t>
            </w:r>
          </w:p>
        </w:tc>
        <w:tc>
          <w:tcPr>
            <w:tcW w:w="3600" w:type="dxa"/>
            <w:shd w:val="clear" w:fill="8A1538"/>
            <w:vAlign w:val="center"/>
          </w:tcPr>
          <w:p>
            <w:pPr>
              <w:spacing w:before="50" w:after="50"/>
            </w:pPr>
            <w:r>
              <w:rPr>
                <w:b/>
                <w:sz w:val="20"/>
                <w:szCs w:val="20"/>
                <w:color w:val="FFFFFF"/>
              </w:rPr>
              <w:t xml:space="preserve">Author</w:t>
            </w:r>
          </w:p>
        </w:tc>
      </w:tr>
      <w:tr>
        <w:tc>
          <w:tcPr>
            <w:tcW w:w="1000" w:type="dxa"/>
            <w:vAlign w:val="center"/>
          </w:tcPr>
          <w:p>
            <w:pPr>
              <w:spacing w:before="50" w:after="50"/>
            </w:pPr>
            <w:r>
              <w:rPr>
                <w:sz w:val="20"/>
                <w:szCs w:val="20"/>
                <w:color w:val="26191E"/>
              </w:rPr>
              <w:t xml:space="preserve">0.1</w:t>
            </w:r>
          </w:p>
        </w:tc>
        <w:tc>
          <w:tcPr>
            <w:tcW w:w="1400" w:type="dxa"/>
            <w:vAlign w:val="center"/>
          </w:tcPr>
          <w:p>
            <w:pPr>
              <w:spacing w:before="50" w:after="50"/>
            </w:pPr>
            <w:r>
              <w:rPr>
                <w:sz w:val="20"/>
                <w:szCs w:val="20"/>
                <w:color w:val="26191E"/>
              </w:rPr>
              <w:t xml:space="preserve">August 2026</w:t>
            </w:r>
          </w:p>
        </w:tc>
        <w:tc>
          <w:tcPr>
            <w:tcW w:w="3200" w:type="dxa"/>
            <w:vAlign w:val="center"/>
          </w:tcPr>
          <w:p>
            <w:pPr>
              <w:spacing w:before="50" w:after="50"/>
            </w:pPr>
            <w:r>
              <w:rPr>
                <w:sz w:val="20"/>
                <w:szCs w:val="20"/>
                <w:color w:val="26191E"/>
              </w:rPr>
              <w:t xml:space="preserve">Initial version — reviewed</w:t>
            </w:r>
          </w:p>
        </w:tc>
        <w:tc>
          <w:tcPr>
            <w:tcW w:w="3600" w:type="dxa"/>
            <w:vAlign w:val="center"/>
          </w:tcPr>
          <w:p>
            <w:pPr>
              <w:spacing w:before="50" w:after="50"/>
            </w:pPr>
            <w:r>
              <w:rPr>
                <w:sz w:val="20"/>
                <w:szCs w:val="20"/>
                <w:color w:val="26191E"/>
              </w:rPr>
              <w:t xml:space="preserve">Technical Office (with Claude Code, derived from the current system code)</w:t>
            </w:r>
          </w:p>
        </w:tc>
      </w:tr>
    </w:tbl>
    <w:p>
      <w:pPr>
        <w:spacing w:after="160"/>
      </w:pP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eastAsia="Calibri"/>
        <w:sz w:val="22"/>
        <w:szCs w:val="22"/>
        <w:color w:val="26191E"/>
      </w:rPr>
    </w:rPrDefault>
    <w:pPrDefault>
      <w:pPr>
        <w:spacing w:line="288" w:lineRule="auto" w:after="0"/>
      </w:pPr>
    </w:pPrDefault>
  </w:docDefaults>
  <w:style w:type="paragraph" w:default="1" w:styleId="Normal">
    <w:name w:val="Normal"/>
  </w:style>
  <w:style w:type="paragraph" w:styleId="Heading1">
    <w:name w:val="heading 1"/>
    <w:basedOn w:val="Normal"/>
    <w:next w:val="Normal"/>
    <w:pPr>
      <w:spacing w:before="0" w:after="140"/>
      <w:pBdr>
        <w:bottom w:val="single" w:sz="12" w:space="6" w:color="8A1538"/>
      </w:pBdr>
    </w:pPr>
    <w:rPr>
      <w:b/>
      <w:color w:val="8A1538"/>
      <w:sz w:val="30"/>
    </w:rPr>
  </w:style>
  <w:style w:type="paragraph" w:styleId="Heading2">
    <w:name w:val="heading 2"/>
    <w:basedOn w:val="Normal"/>
    <w:next w:val="Normal"/>
    <w:rPr>
      <w:b/>
      <w:color w:val="26191E"/>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Records Destruction System</Application>
</Properties>
</file>

<file path=docProps/core.xml><?xml version="1.0" encoding="utf-8"?>
<cp:coreProperties xmlns:cp="http://schemas.openxmlformats.org/package/2006/metadata/core-properties" xmlns:dc="http://purl.org/dc/elements/1.1/" xmlns:dcterms="http://purl.org/dc/terms/" xmlns:xsi="http://www.w3.org/2001/XMLSchema-instance">
  <dc:title>Business Requirements Document — Records Destruction System</dc:title>
  <dc:creator>Ministry of Education and Higher Education</dc:creator>
</cp:coreProperties>
</file>