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after="60"/>
      </w:pPr>
      <w:r>
        <w:rPr>
          <w:b/>
          <w:sz w:val="60"/>
          <w:szCs w:val="60"/>
          <w:color w:val="8A1538"/>
        </w:rPr>
        <w:t xml:space="preserve">Records Destruction System</w:t>
      </w:r>
    </w:p>
    <w:p>
      <w:pPr>
        <w:jc w:val="center"/>
        <w:spacing w:after="60"/>
      </w:pPr>
      <w:r>
        <w:rPr>
          <w:sz w:val="26"/>
          <w:szCs w:val="26"/>
          <w:color w:val="5A4A50"/>
        </w:rPr>
        <w:t xml:space="preserve">User Manual — For All Users and Administrators</w:t>
      </w:r>
    </w:p>
    <w:p>
      <w:pPr>
        <w:jc w:val="center"/>
        <w:spacing w:after="400"/>
      </w:pPr>
      <w:r>
        <w:rPr>
          <w:sz w:val="20"/>
          <w:szCs w:val="20"/>
          <w:color w:val="5A4A50"/>
        </w:rPr>
        <w:t xml:space="preserve">Ministry of Education and Higher Education · State of Qatar</w:t>
      </w:r>
    </w:p>
    <w:p>
      <w:pPr>
        <w:pStyle w:val="Heading2"/>
        <w:keepNext/>
        <w:spacing w:before="340" w:after="80"/>
      </w:pPr>
      <w:r>
        <w:rPr>
          <w:b/>
          <w:sz w:val="32"/>
          <w:szCs w:val="32"/>
          <w:color w:val="26191E"/>
        </w:rPr>
        <w:t xml:space="preserve">About this system</w:t>
      </w:r>
    </w:p>
    <w:p>
      <w:pPr>
        <w:spacing w:after="140"/>
      </w:pPr>
      <w:r>
        <w:t xml:space="preserve">This system replaces the paper “استمارة إتلاف وثائق” workflow: a records-creating unit lists what it wants to destroy, four parties sign off, and an administrator reviews and approves the request before anything is physically destroyed. This manual covers both sides of that process — Part One for anyone submitting a request, Part Two for administrators reviewing them.</w:t>
      </w:r>
    </w:p>
    <w:p>
      <w:pPr>
        <w:pBdr>
          <w:bottom w:val="single" w:sz="6" w:space="1" w:color="E4DCCC"/>
        </w:pBdr>
        <w:spacing w:before="120" w:after="220"/>
      </w:pPr>
    </w:p>
    <w:p>
      <w:pPr>
        <w:pStyle w:val="Heading2"/>
        <w:keepNext/>
        <w:spacing w:before="340" w:after="80"/>
      </w:pPr>
      <w:r>
        <w:rPr>
          <w:b/>
          <w:sz w:val="32"/>
          <w:szCs w:val="32"/>
          <w:color w:val="26191E"/>
        </w:rPr>
        <w:t xml:space="preserve">Getting started</w:t>
      </w:r>
    </w:p>
    <w:p>
      <w:pPr>
        <w:spacing w:after="160"/>
      </w:pPr>
      <w:r>
        <w:rPr>
          <w:i/>
          <w:sz w:val="20"/>
          <w:szCs w:val="20"/>
          <w:color w:val="5A4A50"/>
        </w:rPr>
        <w:t xml:space="preserve">Applies to everyone — the same account and sign-in screen serve both regular users and administrators.</w:t>
      </w:r>
    </w:p>
    <w:p>
      <w:pPr>
        <w:spacing w:after="100"/>
        <w:ind w:left="200"/>
      </w:pPr>
      <w:r>
        <w:rPr>
          <w:b/>
          <w:color w:val="8A1538"/>
        </w:rPr>
        <w:t xml:space="preserve">1. </w:t>
      </w:r>
      <w:r>
        <w:rPr>
          <w:b/>
        </w:rPr>
        <w:t xml:space="preserve">Create an account.</w:t>
      </w:r>
      <w:r>
        <w:t xml:space="preserve"/>
      </w:r>
    </w:p>
    <w:p>
      <w:pPr>
        <w:spacing w:after="140"/>
        <w:ind w:left="560"/>
      </w:pPr>
      <w:r>
        <w:t xml:space="preserve">Open the </w:t>
      </w:r>
      <w:r>
        <w:rPr>
          <w:sz w:val="20"/>
          <w:szCs w:val="20"/>
          <w:color w:val="6E4E1E"/>
          <w:rFonts w:ascii="Consolas" w:hAnsi="Consolas" w:cs="Consolas"/>
          <w:shd w:val="clear" w:fill="F1ECE2"/>
        </w:rPr>
        <w:t xml:space="preserve">Register</w:t>
      </w:r>
      <w:r>
        <w:t xml:space="preserve"> link on the sign-in page. Registration is restricted to ministry email addresses — anything ending in </w:t>
      </w:r>
      <w:r>
        <w:rPr>
          <w:sz w:val="20"/>
          <w:szCs w:val="20"/>
          <w:color w:val="6E4E1E"/>
          <w:rFonts w:ascii="Consolas" w:hAnsi="Consolas" w:cs="Consolas"/>
          <w:shd w:val="clear" w:fill="F1ECE2"/>
        </w:rPr>
        <w:t xml:space="preserve">@education.qa</w:t>
      </w:r>
      <w:r>
        <w:t xml:space="preserve"> or </w:t>
      </w:r>
      <w:r>
        <w:rPr>
          <w:sz w:val="20"/>
          <w:szCs w:val="20"/>
          <w:color w:val="6E4E1E"/>
          <w:rFonts w:ascii="Consolas" w:hAnsi="Consolas" w:cs="Consolas"/>
          <w:shd w:val="clear" w:fill="F1ECE2"/>
        </w:rPr>
        <w:t xml:space="preserve">@edu.gov.qa</w:t>
      </w:r>
      <w:r>
        <w:t xml:space="preserve">. Choose a password of at least 10 characters with an uppercase letter, a lowercase letter, a number, and a special character; the form checks each rule live as you type.</w:t>
      </w:r>
    </w:p>
    <w:p>
      <w:pPr>
        <w:spacing w:after="60"/>
        <w:ind w:left="200"/>
      </w:pPr>
      <w:r>
        <w:rPr>
          <w:b/>
          <w:color w:val="8A1538"/>
        </w:rPr>
        <w:t xml:space="preserve">2. </w:t>
      </w:r>
      <w:r>
        <w:rPr>
          <w:b/>
        </w:rPr>
        <w:t xml:space="preserve">Complete your profile.</w:t>
      </w:r>
      <w:r>
        <w:t xml:space="preserve">  The first time you sign in, you're asked for your full name and your department (or, for schools, the school's name) before you can do anything else. This only happens once.</w:t>
      </w:r>
    </w:p>
    <w:p>
      <w:pPr>
        <w:spacing w:after="60"/>
        <w:ind w:left="200"/>
      </w:pPr>
      <w:r>
        <w:rPr>
          <w:b/>
          <w:color w:val="8A1538"/>
        </w:rPr>
        <w:t xml:space="preserve">3. </w:t>
      </w:r>
      <w:r>
        <w:rPr>
          <w:b/>
        </w:rPr>
        <w:t xml:space="preserve">Sign in.</w:t>
      </w:r>
      <w:r>
        <w:t xml:space="preserve">  Enter your email and password on the login screen at any time afterward.</w:t>
      </w:r>
    </w:p>
    <w:p>
      <w:pPr>
        <w:spacing w:after="0"/>
        <w:ind w:left="200"/>
      </w:pPr>
      <w:r>
        <w:rPr>
          <w:b/>
          <w:color w:val="8A1538"/>
        </w:rPr>
        <w:t xml:space="preserve">4. </w:t>
      </w:r>
      <w:r>
        <w:rPr>
          <w:b/>
        </w:rPr>
        <w:t xml:space="preserve">Switch language.</w:t>
      </w:r>
      <w:r>
        <w:t xml:space="preserve"/>
      </w:r>
    </w:p>
    <w:p>
      <w:pPr>
        <w:spacing w:after="140"/>
        <w:ind w:left="560"/>
      </w:pPr>
      <w:r>
        <w:t xml:space="preserve">The </w:t>
      </w:r>
      <w:r>
        <w:rPr>
          <w:sz w:val="20"/>
          <w:szCs w:val="20"/>
          <w:color w:val="6E4E1E"/>
          <w:rFonts w:ascii="Consolas" w:hAnsi="Consolas" w:cs="Consolas"/>
          <w:shd w:val="clear" w:fill="F1ECE2"/>
        </w:rPr>
        <w:t xml:space="preserve">العربية</w:t>
      </w:r>
      <w:r>
        <w:t xml:space="preserve"> / </w:t>
      </w:r>
      <w:r>
        <w:rPr>
          <w:sz w:val="20"/>
          <w:szCs w:val="20"/>
          <w:color w:val="6E4E1E"/>
          <w:rFonts w:ascii="Consolas" w:hAnsi="Consolas" w:cs="Consolas"/>
          <w:shd w:val="clear" w:fill="F1ECE2"/>
        </w:rPr>
        <w:t xml:space="preserve">English</w:t>
      </w:r>
      <w:r>
        <w:t xml:space="preserve"> toggle is available on every screen, including before you sign in. The whole layout mirrors automatically (right-to-left for Arabic, left-to-right for English).</w:t>
      </w:r>
    </w:p>
    <w:p>
      <w:pPr>
        <w:spacing w:after="100"/>
        <w:ind w:left="200"/>
      </w:pPr>
      <w:r>
        <w:rPr>
          <w:b/>
          <w:color w:val="8A1538"/>
        </w:rPr>
        <w:t xml:space="preserve">5. </w:t>
      </w:r>
      <w:r>
        <w:rPr>
          <w:b/>
        </w:rPr>
        <w:t xml:space="preserve">Sign out.</w:t>
      </w:r>
      <w:r>
        <w:t xml:space="preserve">  Use the logout icon in the top navigation bar once you're signed in.</w:t>
      </w:r>
    </w:p>
    <w:p>
      <w:pPr>
        <w:spacing w:before="60" w:after="200"/>
        <w:ind w:left="200"/>
      </w:pPr>
      <w:r>
        <w:rPr>
          <w:b/>
          <w:color w:val="8A6A1E"/>
        </w:rPr>
        <w:t xml:space="preserve">Note:  </w:t>
      </w:r>
      <w:r>
        <w:t xml:space="preserve">New accounts get regular User access automatically. Only an existing administrator can promote an account to Admin — see “Managing users” in Part Two.</w:t>
      </w:r>
    </w:p>
    <w:p>
      <w:pPr>
        <w:pBdr>
          <w:bottom w:val="single" w:sz="6" w:space="1" w:color="E4DCCC"/>
        </w:pBdr>
        <w:spacing w:before="120" w:after="220"/>
      </w:pPr>
    </w:p>
    <w:p>
      <w:pPr>
        <w:pStyle w:val="Heading1"/>
        <w:spacing w:before="480" w:after="200"/>
      </w:pPr>
      <w:r>
        <w:rPr>
          <w:b/>
          <w:sz w:val="44"/>
          <w:szCs w:val="44"/>
          <w:color w:val="8A1538"/>
        </w:rPr>
        <w:t xml:space="preserve">Part 1 — For All Users</w:t>
      </w:r>
    </w:p>
    <w:p>
      <w:pPr>
        <w:spacing w:after="200"/>
      </w:pPr>
      <w:r>
        <w:t xml:space="preserve">Submit a destruction request for your unit, save it as a draft, and track it through review.</w:t>
      </w:r>
    </w:p>
    <w:p>
      <w:pPr>
        <w:pStyle w:val="Heading2"/>
        <w:keepNext/>
        <w:spacing w:before="340" w:after="80"/>
      </w:pPr>
      <w:r>
        <w:rPr>
          <w:b/>
          <w:sz w:val="32"/>
          <w:szCs w:val="32"/>
          <w:color w:val="26191E"/>
        </w:rPr>
        <w:t xml:space="preserve">The home screen</w:t>
      </w:r>
    </w:p>
    <w:p>
      <w:pPr>
        <w:spacing w:after="140"/>
      </w:pPr>
      <w:r>
        <w:t xml:space="preserve">Once your profile is complete, signing in takes you straight to a blank request form. The top navigation bar has two links: </w:t>
      </w:r>
      <w:r>
        <w:rPr>
          <w:sz w:val="20"/>
          <w:szCs w:val="20"/>
          <w:color w:val="6E4E1E"/>
          <w:rFonts w:ascii="Consolas" w:hAnsi="Consolas" w:cs="Consolas"/>
          <w:shd w:val="clear" w:fill="F1ECE2"/>
        </w:rPr>
        <w:t xml:space="preserve">New Request</w:t>
      </w:r>
      <w:r>
        <w:t xml:space="preserve"> (this home screen) and </w:t>
      </w:r>
      <w:r>
        <w:rPr>
          <w:sz w:val="20"/>
          <w:szCs w:val="20"/>
          <w:color w:val="6E4E1E"/>
          <w:rFonts w:ascii="Consolas" w:hAnsi="Consolas" w:cs="Consolas"/>
          <w:shd w:val="clear" w:fill="F1ECE2"/>
        </w:rPr>
        <w:t xml:space="preserve">My Requests</w:t>
      </w:r>
      <w:r>
        <w:t xml:space="preserve"> (everything you've submitted so far). A third link, </w:t>
      </w:r>
      <w:r>
        <w:rPr>
          <w:sz w:val="20"/>
          <w:szCs w:val="20"/>
          <w:color w:val="6E4E1E"/>
          <w:rFonts w:ascii="Consolas" w:hAnsi="Consolas" w:cs="Consolas"/>
          <w:shd w:val="clear" w:fill="F1ECE2"/>
        </w:rPr>
        <w:t xml:space="preserve">Form Guide</w:t>
      </w:r>
      <w:r>
        <w:t xml:space="preserve">, opens the ministry's reference guide for filling out the paper-equivalent form in a new tab.</w:t>
      </w:r>
    </w:p>
    <w:p>
      <w:pPr>
        <w:pStyle w:val="Heading2"/>
        <w:keepNext/>
        <w:spacing w:before="340" w:after="80"/>
      </w:pPr>
      <w:r>
        <w:rPr>
          <w:b/>
          <w:sz w:val="32"/>
          <w:szCs w:val="32"/>
          <w:color w:val="26191E"/>
        </w:rPr>
        <w:t xml:space="preserve">Submitting a destruction request</w:t>
      </w:r>
    </w:p>
    <w:p>
      <w:pPr>
        <w:spacing w:after="160"/>
      </w:pPr>
      <w:r>
        <w:rPr>
          <w:i/>
          <w:sz w:val="20"/>
          <w:szCs w:val="20"/>
          <w:color w:val="5A4A50"/>
        </w:rPr>
        <w:t xml:space="preserve">The form has five sections, filled in top to bottom. Fields marked * are required before final submission — a draft can be saved with any of them left blank.</w:t>
      </w:r>
    </w:p>
    <w:p>
      <w:pPr>
        <w:spacing w:after="140"/>
      </w:pPr>
      <w:r>
        <w:rPr>
          <w:b/>
        </w:rPr>
        <w:t xml:space="preserve">1. Concerned party &amp; destruction number</w:t>
      </w:r>
      <w:r>
        <w:t xml:space="preserve"> — filled in automatically and read-only. The destruction number follows the ministry's numbering format (year followed by a sequence number, e.g. </w:t>
      </w:r>
      <w:r>
        <w:rPr>
          <w:sz w:val="20"/>
          <w:szCs w:val="20"/>
          <w:color w:val="6E4E1E"/>
          <w:rFonts w:ascii="Consolas" w:hAnsi="Consolas" w:cs="Consolas"/>
          <w:shd w:val="clear" w:fill="F1ECE2"/>
        </w:rPr>
        <w:t xml:space="preserve">2026\17</w:t>
      </w:r>
      <w:r>
        <w:t xml:space="preserve">).</w:t>
      </w:r>
    </w:p>
    <w:p>
      <w:pPr>
        <w:spacing w:after="80"/>
      </w:pPr>
      <w:r>
        <w:rPr>
          <w:b/>
        </w:rPr>
        <w:t xml:space="preserve">2. Administrative unit</w:t>
      </w:r>
    </w:p>
    <w:tbl>
      <w:tblPr>
        <w:tblW w:w="0" w:type="auto"/>
        <w:tblBorders>
          <w:top w:val="single" w:sz="4" w:color="E4DCCC"/>
          <w:left w:val="single" w:sz="4" w:color="E4DCCC"/>
          <w:bottom w:val="single" w:sz="4" w:color="E4DCCC"/>
          <w:right w:val="single" w:sz="4" w:color="E4DCCC"/>
          <w:insideH w:val="single" w:sz="4" w:color="E4DCCC"/>
          <w:insideV w:val="single" w:sz="4" w:color="E4DCCC"/>
        </w:tblBorders>
        <w:tblLook w:val="04A0" w:firstRow="1" w:lastRow="0" w:firstColumn="1" w:lastColumn="0" w:noHBand="0" w:noVBand="1"/>
      </w:tblPr>
      <w:tblGrid>
        <w:gridCol w:w="2400"/>
        <w:gridCol w:w="6800"/>
      </w:tblGrid>
      <w:tr>
        <w:tc>
          <w:tcPr>
            <w:tcW w:w="2400" w:type="dxa"/>
            <w:shd w:val="clear" w:fill="8A1538"/>
            <w:vAlign w:val="center"/>
          </w:tcPr>
          <w:p>
            <w:pPr>
              <w:spacing w:before="40" w:after="40"/>
            </w:pPr>
            <w:r>
              <w:rPr>
                <w:b/>
                <w:sz w:val="20"/>
                <w:szCs w:val="20"/>
                <w:color w:val="FFFFFF"/>
              </w:rPr>
              <w:t xml:space="preserve">Field</w:t>
            </w:r>
          </w:p>
        </w:tc>
        <w:tc>
          <w:tcPr>
            <w:tcW w:w="6800" w:type="dxa"/>
            <w:shd w:val="clear" w:fill="8A1538"/>
            <w:vAlign w:val="center"/>
          </w:tcPr>
          <w:p>
            <w:pPr>
              <w:spacing w:before="40" w:after="40"/>
            </w:pPr>
            <w:r>
              <w:rPr>
                <w:b/>
                <w:sz w:val="20"/>
                <w:szCs w:val="20"/>
                <w:color w:val="FFFFFF"/>
              </w:rPr>
              <w:t xml:space="preserve">What to enter</w:t>
            </w:r>
          </w:p>
        </w:tc>
      </w:tr>
      <w:tr>
        <w:tc>
          <w:tcPr>
            <w:tcW w:w="2400" w:type="dxa"/>
            <w:vAlign w:val="center"/>
          </w:tcPr>
          <w:p>
            <w:pPr>
              <w:spacing w:before="40" w:after="40"/>
            </w:pPr>
            <w:r>
              <w:rPr>
                <w:sz w:val="20"/>
                <w:szCs w:val="20"/>
                <w:color w:val="26191E"/>
              </w:rPr>
              <w:t xml:space="preserve">Department *</w:t>
            </w:r>
          </w:p>
        </w:tc>
        <w:tc>
          <w:tcPr>
            <w:tcW w:w="6800" w:type="dxa"/>
            <w:vAlign w:val="center"/>
          </w:tcPr>
          <w:p>
            <w:pPr>
              <w:spacing w:before="40" w:after="40"/>
            </w:pPr>
            <w:r>
              <w:rPr>
                <w:sz w:val="20"/>
                <w:szCs w:val="20"/>
                <w:color w:val="26191E"/>
              </w:rPr>
              <w:t xml:space="preserve">Your unit, chosen from the ministry's department list.</w:t>
            </w:r>
          </w:p>
        </w:tc>
      </w:tr>
      <w:tr>
        <w:tc>
          <w:tcPr>
            <w:tcW w:w="2400" w:type="dxa"/>
            <w:vAlign w:val="center"/>
          </w:tcPr>
          <w:p>
            <w:pPr>
              <w:spacing w:before="40" w:after="40"/>
            </w:pPr>
            <w:r>
              <w:rPr>
                <w:sz w:val="20"/>
                <w:szCs w:val="20"/>
                <w:color w:val="26191E"/>
              </w:rPr>
              <w:t xml:space="preserve">Section</w:t>
            </w:r>
          </w:p>
        </w:tc>
        <w:tc>
          <w:tcPr>
            <w:tcW w:w="6800" w:type="dxa"/>
            <w:vAlign w:val="center"/>
          </w:tcPr>
          <w:p>
            <w:pPr>
              <w:spacing w:before="40" w:after="40"/>
            </w:pPr>
            <w:r>
              <w:rPr>
                <w:sz w:val="20"/>
                <w:szCs w:val="20"/>
                <w:color w:val="26191E"/>
              </w:rPr>
              <w:t xml:space="preserve">The sub-unit within that department — or, if you chose Schools as the department, type the school's name directly instead of picking from a list.</w:t>
            </w:r>
          </w:p>
        </w:tc>
      </w:tr>
      <w:tr>
        <w:tc>
          <w:tcPr>
            <w:tcW w:w="2400" w:type="dxa"/>
            <w:vAlign w:val="center"/>
          </w:tcPr>
          <w:p>
            <w:pPr>
              <w:spacing w:before="40" w:after="40"/>
            </w:pPr>
            <w:r>
              <w:rPr>
                <w:sz w:val="20"/>
                <w:szCs w:val="20"/>
                <w:color w:val="26191E"/>
              </w:rPr>
              <w:t xml:space="preserve">Responsible Officer *</w:t>
            </w:r>
          </w:p>
        </w:tc>
        <w:tc>
          <w:tcPr>
            <w:tcW w:w="6800" w:type="dxa"/>
            <w:vAlign w:val="center"/>
          </w:tcPr>
          <w:p>
            <w:pPr>
              <w:spacing w:before="40" w:after="40"/>
            </w:pPr>
            <w:r>
              <w:rPr>
                <w:sz w:val="20"/>
                <w:szCs w:val="20"/>
                <w:color w:val="26191E"/>
              </w:rPr>
              <w:t xml:space="preserve">The name of the person accountable for this request.</w:t>
            </w:r>
          </w:p>
        </w:tc>
      </w:tr>
      <w:tr>
        <w:tc>
          <w:tcPr>
            <w:tcW w:w="2400" w:type="dxa"/>
            <w:vAlign w:val="center"/>
          </w:tcPr>
          <w:p>
            <w:pPr>
              <w:spacing w:before="40" w:after="40"/>
            </w:pPr>
            <w:r>
              <w:rPr>
                <w:sz w:val="20"/>
                <w:szCs w:val="20"/>
                <w:color w:val="26191E"/>
              </w:rPr>
              <w:t xml:space="preserve">Email *</w:t>
            </w:r>
          </w:p>
        </w:tc>
        <w:tc>
          <w:tcPr>
            <w:tcW w:w="6800" w:type="dxa"/>
            <w:vAlign w:val="center"/>
          </w:tcPr>
          <w:p>
            <w:pPr>
              <w:spacing w:before="40" w:after="40"/>
            </w:pPr>
            <w:r>
              <w:rPr>
                <w:sz w:val="20"/>
                <w:szCs w:val="20"/>
                <w:color w:val="26191E"/>
              </w:rPr>
              <w:t xml:space="preserve">A contact email for follow-up.</w:t>
            </w:r>
          </w:p>
        </w:tc>
      </w:tr>
      <w:tr>
        <w:tc>
          <w:tcPr>
            <w:tcW w:w="2400" w:type="dxa"/>
            <w:vAlign w:val="center"/>
          </w:tcPr>
          <w:p>
            <w:pPr>
              <w:spacing w:before="40" w:after="40"/>
            </w:pPr>
            <w:r>
              <w:rPr>
                <w:sz w:val="20"/>
                <w:szCs w:val="20"/>
                <w:color w:val="26191E"/>
              </w:rPr>
              <w:t xml:space="preserve">Phone *</w:t>
            </w:r>
          </w:p>
        </w:tc>
        <w:tc>
          <w:tcPr>
            <w:tcW w:w="6800" w:type="dxa"/>
            <w:vAlign w:val="center"/>
          </w:tcPr>
          <w:p>
            <w:pPr>
              <w:spacing w:before="40" w:after="40"/>
            </w:pPr>
            <w:r>
              <w:rPr>
                <w:sz w:val="20"/>
                <w:szCs w:val="20"/>
                <w:color w:val="26191E"/>
              </w:rPr>
              <w:t xml:space="preserve">An 8-digit Qatari number starting with 3, 4, 5, 6, or 7 (a leading +974 is optional).</w:t>
            </w:r>
          </w:p>
        </w:tc>
      </w:tr>
    </w:tbl>
    <w:p>
      <w:pPr>
        <w:spacing w:after="160"/>
      </w:pPr>
    </w:p>
    <w:p>
      <w:pPr>
        <w:spacing w:after="80"/>
      </w:pPr>
      <w:r>
        <w:rPr>
          <w:b/>
        </w:rPr>
        <w:t xml:space="preserve">3. Records data</w:t>
      </w:r>
    </w:p>
    <w:tbl>
      <w:tblPr>
        <w:tblW w:w="0" w:type="auto"/>
        <w:tblBorders>
          <w:top w:val="single" w:sz="4" w:color="E4DCCC"/>
          <w:left w:val="single" w:sz="4" w:color="E4DCCC"/>
          <w:bottom w:val="single" w:sz="4" w:color="E4DCCC"/>
          <w:right w:val="single" w:sz="4" w:color="E4DCCC"/>
          <w:insideH w:val="single" w:sz="4" w:color="E4DCCC"/>
          <w:insideV w:val="single" w:sz="4" w:color="E4DCCC"/>
        </w:tblBorders>
        <w:tblLook w:val="04A0" w:firstRow="1" w:lastRow="0" w:firstColumn="1" w:lastColumn="0" w:noHBand="0" w:noVBand="1"/>
      </w:tblPr>
      <w:tblGrid>
        <w:gridCol w:w="2400"/>
        <w:gridCol w:w="6800"/>
      </w:tblGrid>
      <w:tr>
        <w:tc>
          <w:tcPr>
            <w:tcW w:w="2400" w:type="dxa"/>
            <w:shd w:val="clear" w:fill="8A1538"/>
            <w:vAlign w:val="center"/>
          </w:tcPr>
          <w:p>
            <w:pPr>
              <w:spacing w:before="40" w:after="40"/>
            </w:pPr>
            <w:r>
              <w:rPr>
                <w:b/>
                <w:sz w:val="20"/>
                <w:szCs w:val="20"/>
                <w:color w:val="FFFFFF"/>
              </w:rPr>
              <w:t xml:space="preserve">Field</w:t>
            </w:r>
          </w:p>
        </w:tc>
        <w:tc>
          <w:tcPr>
            <w:tcW w:w="6800" w:type="dxa"/>
            <w:shd w:val="clear" w:fill="8A1538"/>
            <w:vAlign w:val="center"/>
          </w:tcPr>
          <w:p>
            <w:pPr>
              <w:spacing w:before="40" w:after="40"/>
            </w:pPr>
            <w:r>
              <w:rPr>
                <w:b/>
                <w:sz w:val="20"/>
                <w:szCs w:val="20"/>
                <w:color w:val="FFFFFF"/>
              </w:rPr>
              <w:t xml:space="preserve">What to enter</w:t>
            </w:r>
          </w:p>
        </w:tc>
      </w:tr>
      <w:tr>
        <w:tc>
          <w:tcPr>
            <w:tcW w:w="2400" w:type="dxa"/>
            <w:vAlign w:val="center"/>
          </w:tcPr>
          <w:p>
            <w:pPr>
              <w:spacing w:before="40" w:after="40"/>
            </w:pPr>
            <w:r>
              <w:rPr>
                <w:sz w:val="20"/>
                <w:szCs w:val="20"/>
                <w:color w:val="26191E"/>
              </w:rPr>
              <w:t xml:space="preserve">Storage Location *</w:t>
            </w:r>
          </w:p>
        </w:tc>
        <w:tc>
          <w:tcPr>
            <w:tcW w:w="6800" w:type="dxa"/>
            <w:vAlign w:val="center"/>
          </w:tcPr>
          <w:p>
            <w:pPr>
              <w:spacing w:before="40" w:after="40"/>
            </w:pPr>
            <w:r>
              <w:rPr>
                <w:sz w:val="20"/>
                <w:szCs w:val="20"/>
                <w:color w:val="26191E"/>
              </w:rPr>
              <w:t xml:space="preserve">Pick from the ministry's known storage sites, or choose Other to type a different location.</w:t>
            </w:r>
          </w:p>
        </w:tc>
      </w:tr>
      <w:tr>
        <w:tc>
          <w:tcPr>
            <w:tcW w:w="2400" w:type="dxa"/>
            <w:vAlign w:val="center"/>
          </w:tcPr>
          <w:p>
            <w:pPr>
              <w:spacing w:before="40" w:after="40"/>
            </w:pPr>
            <w:r>
              <w:rPr>
                <w:sz w:val="20"/>
                <w:szCs w:val="20"/>
                <w:color w:val="26191E"/>
              </w:rPr>
              <w:t xml:space="preserve">Total Volume *</w:t>
            </w:r>
          </w:p>
        </w:tc>
        <w:tc>
          <w:tcPr>
            <w:tcW w:w="6800" w:type="dxa"/>
            <w:vAlign w:val="center"/>
          </w:tcPr>
          <w:p>
            <w:pPr>
              <w:spacing w:before="40" w:after="40"/>
            </w:pPr>
            <w:r>
              <w:rPr>
                <w:sz w:val="20"/>
                <w:szCs w:val="20"/>
                <w:color w:val="26191E"/>
              </w:rPr>
              <w:t xml:space="preserve">Combined volume of everything listed below, in linear meters.</w:t>
            </w:r>
          </w:p>
        </w:tc>
      </w:tr>
      <w:tr>
        <w:tc>
          <w:tcPr>
            <w:tcW w:w="2400" w:type="dxa"/>
            <w:vAlign w:val="center"/>
          </w:tcPr>
          <w:p>
            <w:pPr>
              <w:spacing w:before="40" w:after="40"/>
            </w:pPr>
            <w:r>
              <w:rPr>
                <w:sz w:val="20"/>
                <w:szCs w:val="20"/>
                <w:color w:val="26191E"/>
              </w:rPr>
              <w:t xml:space="preserve">First / Last Date</w:t>
            </w:r>
          </w:p>
        </w:tc>
        <w:tc>
          <w:tcPr>
            <w:tcW w:w="6800" w:type="dxa"/>
            <w:vAlign w:val="center"/>
          </w:tcPr>
          <w:p>
            <w:pPr>
              <w:spacing w:before="40" w:after="40"/>
            </w:pPr>
            <w:r>
              <w:rPr>
                <w:sz w:val="20"/>
                <w:szCs w:val="20"/>
                <w:color w:val="26191E"/>
              </w:rPr>
              <w:t xml:space="preserve">The earliest and latest year the records span, as a whole.</w:t>
            </w:r>
          </w:p>
        </w:tc>
      </w:tr>
    </w:tbl>
    <w:p>
      <w:pPr>
        <w:spacing w:after="160"/>
      </w:pPr>
    </w:p>
    <w:p>
      <w:pPr>
        <w:spacing w:after="140"/>
      </w:pPr>
      <w:r>
        <w:rPr>
          <w:b/>
        </w:rPr>
        <w:t xml:space="preserve">4. Records list</w:t>
      </w:r>
      <w:r>
        <w:t xml:space="preserve"> — the actual items being proposed for destruction. Click </w:t>
      </w:r>
      <w:r>
        <w:rPr>
          <w:sz w:val="20"/>
          <w:szCs w:val="20"/>
          <w:color w:val="6E4E1E"/>
          <w:rFonts w:ascii="Consolas" w:hAnsi="Consolas" w:cs="Consolas"/>
          <w:shd w:val="clear" w:fill="F1ECE2"/>
        </w:rPr>
        <w:t xml:space="preserve">Add Record</w:t>
      </w:r>
      <w:r>
        <w:t xml:space="preserve"> to add a row for each; remove one with the trash icon.</w:t>
      </w:r>
    </w:p>
    <w:tbl>
      <w:tblPr>
        <w:tblW w:w="0" w:type="auto"/>
        <w:tblBorders>
          <w:top w:val="single" w:sz="4" w:color="E4DCCC"/>
          <w:left w:val="single" w:sz="4" w:color="E4DCCC"/>
          <w:bottom w:val="single" w:sz="4" w:color="E4DCCC"/>
          <w:right w:val="single" w:sz="4" w:color="E4DCCC"/>
          <w:insideH w:val="single" w:sz="4" w:color="E4DCCC"/>
          <w:insideV w:val="single" w:sz="4" w:color="E4DCCC"/>
        </w:tblBorders>
        <w:tblLook w:val="04A0" w:firstRow="1" w:lastRow="0" w:firstColumn="1" w:lastColumn="0" w:noHBand="0" w:noVBand="1"/>
      </w:tblPr>
      <w:tblGrid>
        <w:gridCol w:w="2400"/>
        <w:gridCol w:w="6800"/>
      </w:tblGrid>
      <w:tr>
        <w:tc>
          <w:tcPr>
            <w:tcW w:w="2400" w:type="dxa"/>
            <w:shd w:val="clear" w:fill="8A1538"/>
            <w:vAlign w:val="center"/>
          </w:tcPr>
          <w:p>
            <w:pPr>
              <w:spacing w:before="40" w:after="40"/>
            </w:pPr>
            <w:r>
              <w:rPr>
                <w:b/>
                <w:sz w:val="20"/>
                <w:szCs w:val="20"/>
                <w:color w:val="FFFFFF"/>
              </w:rPr>
              <w:t xml:space="preserve">Column</w:t>
            </w:r>
          </w:p>
        </w:tc>
        <w:tc>
          <w:tcPr>
            <w:tcW w:w="6800" w:type="dxa"/>
            <w:shd w:val="clear" w:fill="8A1538"/>
            <w:vAlign w:val="center"/>
          </w:tcPr>
          <w:p>
            <w:pPr>
              <w:spacing w:before="40" w:after="40"/>
            </w:pPr>
            <w:r>
              <w:rPr>
                <w:b/>
                <w:sz w:val="20"/>
                <w:szCs w:val="20"/>
                <w:color w:val="FFFFFF"/>
              </w:rPr>
              <w:t xml:space="preserve">What to enter</w:t>
            </w:r>
          </w:p>
        </w:tc>
      </w:tr>
      <w:tr>
        <w:tc>
          <w:tcPr>
            <w:tcW w:w="2400" w:type="dxa"/>
            <w:vAlign w:val="center"/>
          </w:tcPr>
          <w:p>
            <w:pPr>
              <w:spacing w:before="40" w:after="40"/>
            </w:pPr>
            <w:r>
              <w:rPr>
                <w:sz w:val="20"/>
                <w:szCs w:val="20"/>
                <w:color w:val="26191E"/>
              </w:rPr>
              <w:t xml:space="preserve">Title / Description *</w:t>
            </w:r>
          </w:p>
        </w:tc>
        <w:tc>
          <w:tcPr>
            <w:tcW w:w="6800" w:type="dxa"/>
            <w:vAlign w:val="center"/>
          </w:tcPr>
          <w:p>
            <w:pPr>
              <w:spacing w:before="40" w:after="40"/>
            </w:pPr>
            <w:r>
              <w:rPr>
                <w:sz w:val="20"/>
                <w:szCs w:val="20"/>
                <w:color w:val="26191E"/>
              </w:rPr>
              <w:t xml:space="preserve">What the record is.</w:t>
            </w:r>
          </w:p>
        </w:tc>
      </w:tr>
      <w:tr>
        <w:tc>
          <w:tcPr>
            <w:tcW w:w="2400" w:type="dxa"/>
            <w:vAlign w:val="center"/>
          </w:tcPr>
          <w:p>
            <w:pPr>
              <w:spacing w:before="40" w:after="40"/>
            </w:pPr>
            <w:r>
              <w:rPr>
                <w:sz w:val="20"/>
                <w:szCs w:val="20"/>
                <w:color w:val="26191E"/>
              </w:rPr>
              <w:t xml:space="preserve">Original or Copy *</w:t>
            </w:r>
          </w:p>
        </w:tc>
        <w:tc>
          <w:tcPr>
            <w:tcW w:w="6800" w:type="dxa"/>
            <w:vAlign w:val="center"/>
          </w:tcPr>
          <w:p>
            <w:pPr>
              <w:spacing w:before="40" w:after="40"/>
            </w:pPr>
            <w:r>
              <w:rPr>
                <w:sz w:val="20"/>
                <w:szCs w:val="20"/>
                <w:color w:val="26191E"/>
              </w:rPr>
              <w:t xml:space="preserve">Whether this is the original document or a copy.</w:t>
            </w:r>
          </w:p>
        </w:tc>
      </w:tr>
      <w:tr>
        <w:tc>
          <w:tcPr>
            <w:tcW w:w="2400" w:type="dxa"/>
            <w:vAlign w:val="center"/>
          </w:tcPr>
          <w:p>
            <w:pPr>
              <w:spacing w:before="40" w:after="40"/>
            </w:pPr>
            <w:r>
              <w:rPr>
                <w:sz w:val="20"/>
                <w:szCs w:val="20"/>
                <w:color w:val="26191E"/>
              </w:rPr>
              <w:t xml:space="preserve">Records Type *</w:t>
            </w:r>
          </w:p>
        </w:tc>
        <w:tc>
          <w:tcPr>
            <w:tcW w:w="6800" w:type="dxa"/>
            <w:vAlign w:val="center"/>
          </w:tcPr>
          <w:p>
            <w:pPr>
              <w:spacing w:before="40" w:after="40"/>
            </w:pPr>
            <w:r>
              <w:rPr>
                <w:sz w:val="20"/>
                <w:szCs w:val="20"/>
                <w:color w:val="26191E"/>
              </w:rPr>
              <w:t xml:space="preserve">Files, Registers, Maps, Engineering Designs, Photos, Booklets, Books, or Other (with a field to specify).</w:t>
            </w:r>
          </w:p>
        </w:tc>
      </w:tr>
      <w:tr>
        <w:tc>
          <w:tcPr>
            <w:tcW w:w="2400" w:type="dxa"/>
            <w:vAlign w:val="center"/>
          </w:tcPr>
          <w:p>
            <w:pPr>
              <w:spacing w:before="40" w:after="40"/>
            </w:pPr>
            <w:r>
              <w:rPr>
                <w:sz w:val="20"/>
                <w:szCs w:val="20"/>
                <w:color w:val="26191E"/>
              </w:rPr>
              <w:t xml:space="preserve">Storage Medium *</w:t>
            </w:r>
          </w:p>
        </w:tc>
        <w:tc>
          <w:tcPr>
            <w:tcW w:w="6800" w:type="dxa"/>
            <w:vAlign w:val="center"/>
          </w:tcPr>
          <w:p>
            <w:pPr>
              <w:spacing w:before="40" w:after="40"/>
            </w:pPr>
            <w:r>
              <w:rPr>
                <w:sz w:val="20"/>
                <w:szCs w:val="20"/>
                <w:color w:val="26191E"/>
              </w:rPr>
              <w:t xml:space="preserve">Paper, Electronic, Audio-Visual, or Other.</w:t>
            </w:r>
          </w:p>
        </w:tc>
      </w:tr>
      <w:tr>
        <w:tc>
          <w:tcPr>
            <w:tcW w:w="2400" w:type="dxa"/>
            <w:vAlign w:val="center"/>
          </w:tcPr>
          <w:p>
            <w:pPr>
              <w:spacing w:before="40" w:after="40"/>
            </w:pPr>
            <w:r>
              <w:rPr>
                <w:sz w:val="20"/>
                <w:szCs w:val="20"/>
                <w:color w:val="26191E"/>
              </w:rPr>
              <w:t xml:space="preserve">Retention Rule No.</w:t>
            </w:r>
          </w:p>
        </w:tc>
        <w:tc>
          <w:tcPr>
            <w:tcW w:w="6800" w:type="dxa"/>
            <w:vAlign w:val="center"/>
          </w:tcPr>
          <w:p>
            <w:pPr>
              <w:spacing w:before="40" w:after="40"/>
            </w:pPr>
            <w:r>
              <w:rPr>
                <w:sz w:val="20"/>
                <w:szCs w:val="20"/>
                <w:color w:val="26191E"/>
              </w:rPr>
              <w:t xml:space="preserve">The record retention schedule reference, if one applies.</w:t>
            </w:r>
          </w:p>
        </w:tc>
      </w:tr>
      <w:tr>
        <w:tc>
          <w:tcPr>
            <w:tcW w:w="2400" w:type="dxa"/>
            <w:vAlign w:val="center"/>
          </w:tcPr>
          <w:p>
            <w:pPr>
              <w:spacing w:before="40" w:after="40"/>
            </w:pPr>
            <w:r>
              <w:rPr>
                <w:sz w:val="20"/>
                <w:szCs w:val="20"/>
                <w:color w:val="26191E"/>
              </w:rPr>
              <w:t xml:space="preserve">First / Last Year</w:t>
            </w:r>
          </w:p>
        </w:tc>
        <w:tc>
          <w:tcPr>
            <w:tcW w:w="6800" w:type="dxa"/>
            <w:vAlign w:val="center"/>
          </w:tcPr>
          <w:p>
            <w:pPr>
              <w:spacing w:before="40" w:after="40"/>
            </w:pPr>
            <w:r>
              <w:rPr>
                <w:sz w:val="20"/>
                <w:szCs w:val="20"/>
                <w:color w:val="26191E"/>
              </w:rPr>
              <w:t xml:space="preserve">Date range for this specific item.</w:t>
            </w:r>
          </w:p>
        </w:tc>
      </w:tr>
      <w:tr>
        <w:tc>
          <w:tcPr>
            <w:tcW w:w="2400" w:type="dxa"/>
            <w:vAlign w:val="center"/>
          </w:tcPr>
          <w:p>
            <w:pPr>
              <w:spacing w:before="40" w:after="40"/>
            </w:pPr>
            <w:r>
              <w:rPr>
                <w:sz w:val="20"/>
                <w:szCs w:val="20"/>
                <w:color w:val="26191E"/>
              </w:rPr>
              <w:t xml:space="preserve">Volume *</w:t>
            </w:r>
          </w:p>
        </w:tc>
        <w:tc>
          <w:tcPr>
            <w:tcW w:w="6800" w:type="dxa"/>
            <w:vAlign w:val="center"/>
          </w:tcPr>
          <w:p>
            <w:pPr>
              <w:spacing w:before="40" w:after="40"/>
            </w:pPr>
            <w:r>
              <w:rPr>
                <w:sz w:val="20"/>
                <w:szCs w:val="20"/>
                <w:color w:val="26191E"/>
              </w:rPr>
              <w:t xml:space="preserve">This item's own volume, in linear meters.</w:t>
            </w:r>
          </w:p>
        </w:tc>
      </w:tr>
      <w:tr>
        <w:tc>
          <w:tcPr>
            <w:tcW w:w="2400" w:type="dxa"/>
            <w:vAlign w:val="center"/>
          </w:tcPr>
          <w:p>
            <w:pPr>
              <w:spacing w:before="40" w:after="40"/>
            </w:pPr>
            <w:r>
              <w:rPr>
                <w:sz w:val="20"/>
                <w:szCs w:val="20"/>
                <w:color w:val="26191E"/>
              </w:rPr>
              <w:t xml:space="preserve">Remarks</w:t>
            </w:r>
          </w:p>
        </w:tc>
        <w:tc>
          <w:tcPr>
            <w:tcW w:w="6800" w:type="dxa"/>
            <w:vAlign w:val="center"/>
          </w:tcPr>
          <w:p>
            <w:pPr>
              <w:spacing w:before="40" w:after="40"/>
            </w:pPr>
            <w:r>
              <w:rPr>
                <w:sz w:val="20"/>
                <w:szCs w:val="20"/>
                <w:color w:val="26191E"/>
              </w:rPr>
              <w:t xml:space="preserve">Anything else worth noting about this item.</w:t>
            </w:r>
          </w:p>
        </w:tc>
      </w:tr>
    </w:tbl>
    <w:p>
      <w:pPr>
        <w:spacing w:after="160"/>
      </w:pPr>
    </w:p>
    <w:p>
      <w:pPr>
        <w:spacing w:after="140"/>
      </w:pPr>
      <w:r>
        <w:rPr>
          <w:b/>
        </w:rPr>
        <w:t xml:space="preserve">5. Signatures</w:t>
      </w:r>
      <w:r>
        <w:t xml:space="preserve"> — four sign-off blocks: </w:t>
      </w:r>
      <w:r>
        <w:rPr>
          <w:i/>
        </w:rPr>
        <w:t xml:space="preserve">Creator Unit</w:t>
      </w:r>
      <w:r>
        <w:t xml:space="preserve">, </w:t>
      </w:r>
      <w:r>
        <w:rPr>
          <w:i/>
        </w:rPr>
        <w:t xml:space="preserve">Legal Affairs</w:t>
      </w:r>
      <w:r>
        <w:t xml:space="preserve">, </w:t>
      </w:r>
      <w:r>
        <w:rPr>
          <w:i/>
        </w:rPr>
        <w:t xml:space="preserve">Internal Audit</w:t>
      </w:r>
      <w:r>
        <w:t xml:space="preserve">, and </w:t>
      </w:r>
      <w:r>
        <w:rPr>
          <w:i/>
        </w:rPr>
        <w:t xml:space="preserve">Records Management</w:t>
      </w:r>
      <w:r>
        <w:t xml:space="preserve">. Each has a name, a date, and a signature.</w:t>
      </w:r>
    </w:p>
    <w:p>
      <w:pPr>
        <w:spacing w:after="60"/>
        <w:ind w:left="360"/>
      </w:pPr>
      <w:r>
        <w:t xml:space="preserve">•  </w:t>
      </w:r>
      <w:r>
        <w:t xml:space="preserve">Draw a signature directly with your mouse, finger, or stylus on the signature pad.</w:t>
      </w:r>
    </w:p>
    <w:p>
      <w:pPr>
        <w:spacing w:after="60"/>
        <w:ind w:left="360"/>
      </w:pPr>
      <w:r>
        <w:t xml:space="preserve">•  </w:t>
      </w:r>
      <w:r>
        <w:t xml:space="preserve">Or click “Upload Signature Image” to use a photo of a physical signature — it's automatically resized, so there's no need to crop or compress it first.</w:t>
      </w:r>
    </w:p>
    <w:p>
      <w:pPr>
        <w:spacing w:after="160"/>
        <w:ind w:left="360"/>
      </w:pPr>
      <w:r>
        <w:t xml:space="preserve">•  </w:t>
      </w:r>
      <w:r>
        <w:t xml:space="preserve">Click “Clear” to redo a signature block.</w:t>
      </w:r>
    </w:p>
    <w:p>
      <w:pPr>
        <w:spacing w:before="60" w:after="200"/>
        <w:ind w:left="200"/>
      </w:pPr>
      <w:r>
        <w:rPr>
          <w:b/>
          <w:color w:val="0F8A72"/>
        </w:rPr>
        <w:t xml:space="preserve">Complete Later:  </w:t>
      </w:r>
      <w:r>
        <w:t xml:space="preserve">Not ready to finish? This saves everything you've entered as a private Draft — required fields aren't enforced yet, but anything you did fill in still has to be correctly formatted (a valid email, a valid Qatari phone number, and so on).</w:t>
      </w:r>
    </w:p>
    <w:p>
      <w:pPr>
        <w:spacing w:before="60" w:after="200"/>
        <w:ind w:left="200"/>
      </w:pPr>
      <w:r>
        <w:rPr>
          <w:b/>
          <w:color w:val="8A6A1E"/>
        </w:rPr>
        <w:t xml:space="preserve">Submit:  </w:t>
      </w:r>
      <w:r>
        <w:t xml:space="preserve">Click this when the request is ready to be reviewed — every required field must be filled in and valid. Once submitted, you generally can't edit it again unless an administrator rejects it.</w:t>
      </w:r>
    </w:p>
    <w:p>
      <w:pPr>
        <w:pBdr>
          <w:bottom w:val="single" w:sz="6" w:space="1" w:color="E4DCCC"/>
        </w:pBdr>
        <w:spacing w:before="120" w:after="220"/>
      </w:pPr>
    </w:p>
    <w:p>
      <w:pPr>
        <w:pStyle w:val="Heading2"/>
        <w:keepNext/>
        <w:spacing w:before="340" w:after="80"/>
      </w:pPr>
      <w:r>
        <w:rPr>
          <w:b/>
          <w:sz w:val="32"/>
          <w:szCs w:val="32"/>
          <w:color w:val="26191E"/>
        </w:rPr>
        <w:t xml:space="preserve">My Requests</w:t>
      </w:r>
    </w:p>
    <w:p>
      <w:pPr>
        <w:spacing w:after="160"/>
      </w:pPr>
      <w:r>
        <w:rPr>
          <w:i/>
          <w:sz w:val="20"/>
          <w:szCs w:val="20"/>
          <w:color w:val="5A4A50"/>
        </w:rPr>
        <w:t xml:space="preserve">Everything you've created — drafts, submitted, approved, and rejected — lives here, visible only to you.</w:t>
      </w:r>
    </w:p>
    <w:p>
      <w:pPr>
        <w:spacing w:after="140"/>
      </w:pPr>
      <w:r>
        <w:t xml:space="preserve">Filter the list by date range or status, then use the icons on each row:</w:t>
      </w:r>
    </w:p>
    <w:p>
      <w:pPr>
        <w:spacing w:after="60"/>
        <w:ind w:left="360"/>
      </w:pPr>
      <w:r>
        <w:t xml:space="preserve">•  </w:t>
      </w:r>
      <w:r>
        <w:rPr>
          <w:b/>
        </w:rPr>
        <w:t xml:space="preserve">View</w:t>
      </w:r>
      <w:r>
        <w:t xml:space="preserve"> — opens the read-only request details page.</w:t>
      </w:r>
    </w:p>
    <w:p>
      <w:pPr>
        <w:spacing w:after="160"/>
        <w:ind w:left="360"/>
      </w:pPr>
      <w:r>
        <w:t xml:space="preserve">•  </w:t>
      </w:r>
      <w:r>
        <w:rPr>
          <w:b/>
        </w:rPr>
        <w:t xml:space="preserve">Edit</w:t>
      </w:r>
      <w:r>
        <w:t xml:space="preserve"> — only available while a request is Draft or Rejected. Once it's Submitted or Approved, it's locked — an administrator would need to reject it (or edit it directly) for you to make further changes.</w:t>
      </w:r>
    </w:p>
    <w:p>
      <w:pPr>
        <w:spacing w:after="140"/>
      </w:pPr>
      <w:r>
        <w:t xml:space="preserve">If a request shows a small note icon next to it, an administrator left a comment when rejecting it — click the icon to read what needs fixing.</w:t>
      </w:r>
    </w:p>
    <w:p>
      <w:pPr>
        <w:pStyle w:val="Heading2"/>
        <w:keepNext/>
        <w:spacing w:before="340" w:after="80"/>
      </w:pPr>
      <w:r>
        <w:rPr>
          <w:b/>
          <w:sz w:val="32"/>
          <w:szCs w:val="32"/>
          <w:color w:val="26191E"/>
        </w:rPr>
        <w:t xml:space="preserve">Request details &amp; downloads</w:t>
      </w:r>
    </w:p>
    <w:p>
      <w:pPr>
        <w:spacing w:after="140"/>
      </w:pPr>
      <w:r>
        <w:t xml:space="preserve">A full read-out of one request: every field from all five sections, plus all four signatures. Once a request reaches </w:t>
      </w:r>
      <w:r>
        <w:rPr>
          <w:b/>
          <w:color w:val="0F8A72"/>
        </w:rPr>
        <w:t xml:space="preserve">Approved</w:t>
      </w:r>
      <w:r>
        <w:t xml:space="preserve">, two download buttons appear on this page: </w:t>
      </w:r>
      <w:r>
        <w:rPr>
          <w:sz w:val="20"/>
          <w:szCs w:val="20"/>
          <w:color w:val="6E4E1E"/>
          <w:rFonts w:ascii="Consolas" w:hAnsi="Consolas" w:cs="Consolas"/>
          <w:shd w:val="clear" w:fill="F1ECE2"/>
        </w:rPr>
        <w:t xml:space="preserve">PDF</w:t>
      </w:r>
      <w:r>
        <w:t xml:space="preserve"> and </w:t>
      </w:r>
      <w:r>
        <w:rPr>
          <w:sz w:val="20"/>
          <w:szCs w:val="20"/>
          <w:color w:val="6E4E1E"/>
          <w:rFonts w:ascii="Consolas" w:hAnsi="Consolas" w:cs="Consolas"/>
          <w:shd w:val="clear" w:fill="F1ECE2"/>
        </w:rPr>
        <w:t xml:space="preserve">Word</w:t>
      </w:r>
      <w:r>
        <w:t xml:space="preserve"> — both produce the official bilingual destruction-request form, ready to print or file.</w:t>
      </w:r>
    </w:p>
    <w:p>
      <w:pPr>
        <w:pStyle w:val="Heading2"/>
        <w:keepNext/>
        <w:spacing w:before="340" w:after="80"/>
      </w:pPr>
      <w:r>
        <w:rPr>
          <w:b/>
          <w:sz w:val="32"/>
          <w:szCs w:val="32"/>
          <w:color w:val="26191E"/>
        </w:rPr>
        <w:t xml:space="preserve">Understanding statuses</w:t>
      </w:r>
    </w:p>
    <w:p>
      <w:pPr>
        <w:spacing w:after="160"/>
      </w:pPr>
      <w:r>
        <w:rPr>
          <w:i/>
          <w:sz w:val="20"/>
          <w:szCs w:val="20"/>
          <w:color w:val="5A4A50"/>
        </w:rPr>
        <w:t xml:space="preserve">A request moves through up to four states.</w:t>
      </w:r>
    </w:p>
    <w:p>
      <w:pPr>
        <w:spacing w:after="140"/>
      </w:pPr>
      <w:r>
        <w:rPr>
          <w:b/>
          <w:color w:val="6B7280"/>
        </w:rPr>
        <w:t xml:space="preserve">Draft</w:t>
      </w:r>
      <w:r>
        <w:t xml:space="preserve"> (saved with “Complete Later”, private, incomplete is fine)  →  </w:t>
      </w:r>
      <w:r>
        <w:rPr>
          <w:b/>
          <w:color w:val="8A6A1E"/>
        </w:rPr>
        <w:t xml:space="preserve">Submitted</w:t>
      </w:r>
      <w:r>
        <w:t xml:space="preserve"> (awaiting admin review)  →  </w:t>
      </w:r>
      <w:r>
        <w:rPr>
          <w:b/>
          <w:color w:val="0F8A72"/>
        </w:rPr>
        <w:t xml:space="preserve">Approved</w:t>
      </w:r>
      <w:r>
        <w:t xml:space="preserve"> (final, downloads unlocked)  </w:t>
      </w:r>
      <w:r>
        <w:rPr>
          <w:i/>
        </w:rPr>
        <w:t xml:space="preserve">or</w:t>
      </w:r>
      <w:r>
        <w:t xml:space="preserve">  </w:t>
      </w:r>
      <w:r>
        <w:rPr>
          <w:b/>
          <w:color w:val="B23A38"/>
        </w:rPr>
        <w:t xml:space="preserve">Rejected</w:t>
      </w:r>
      <w:r>
        <w:t xml:space="preserve"> (admin left a note — edit &amp; resubmit)</w:t>
      </w:r>
    </w:p>
    <w:p>
      <w:pPr>
        <w:spacing w:after="140"/>
      </w:pPr>
      <w:r>
        <w:t xml:space="preserve">A </w:t>
      </w:r>
      <w:r>
        <w:rPr>
          <w:b/>
          <w:color w:val="B23A38"/>
        </w:rPr>
        <w:t xml:space="preserve">Rejected</w:t>
      </w:r>
      <w:r>
        <w:t xml:space="preserve"> request comes back to you to fix. Once you save your changes, the administrator's note is cleared automatically — it no longer applies to what you just corrected.</w:t>
      </w:r>
    </w:p>
    <w:p>
      <w:pPr>
        <w:pBdr>
          <w:bottom w:val="single" w:sz="6" w:space="1" w:color="E4DCCC"/>
        </w:pBdr>
        <w:spacing w:before="120" w:after="220"/>
      </w:pPr>
    </w:p>
    <w:p>
      <w:pPr>
        <w:pStyle w:val="Heading1"/>
        <w:spacing w:before="480" w:after="200"/>
      </w:pPr>
      <w:r>
        <w:rPr>
          <w:b/>
          <w:sz w:val="44"/>
          <w:szCs w:val="44"/>
          <w:color w:val="8A1538"/>
        </w:rPr>
        <w:t xml:space="preserve">Part 2 — For Administrators</w:t>
      </w:r>
    </w:p>
    <w:p>
      <w:pPr>
        <w:spacing w:after="200"/>
      </w:pPr>
      <w:r>
        <w:t xml:space="preserve">Review submitted requests, approve or reject them, track physical destruction, and manage accounts.</w:t>
      </w:r>
    </w:p>
    <w:p>
      <w:pPr>
        <w:pStyle w:val="Heading2"/>
        <w:keepNext/>
        <w:spacing w:before="340" w:after="80"/>
      </w:pPr>
      <w:r>
        <w:rPr>
          <w:b/>
          <w:sz w:val="32"/>
          <w:szCs w:val="32"/>
          <w:color w:val="26191E"/>
        </w:rPr>
        <w:t xml:space="preserve">Dashboard</w:t>
      </w:r>
    </w:p>
    <w:p>
      <w:pPr>
        <w:spacing w:after="160"/>
      </w:pPr>
      <w:r>
        <w:rPr>
          <w:i/>
          <w:sz w:val="20"/>
          <w:szCs w:val="20"/>
          <w:color w:val="5A4A50"/>
        </w:rPr>
        <w:t xml:space="preserve">The landing screen for administrators, with an at-a-glance summary and the most recent activity.</w:t>
      </w:r>
    </w:p>
    <w:tbl>
      <w:tblPr>
        <w:tblW w:w="0" w:type="auto"/>
        <w:tblBorders>
          <w:top w:val="single" w:sz="4" w:color="E4DCCC"/>
          <w:left w:val="single" w:sz="4" w:color="E4DCCC"/>
          <w:bottom w:val="single" w:sz="4" w:color="E4DCCC"/>
          <w:right w:val="single" w:sz="4" w:color="E4DCCC"/>
          <w:insideH w:val="single" w:sz="4" w:color="E4DCCC"/>
          <w:insideV w:val="single" w:sz="4" w:color="E4DCCC"/>
        </w:tblBorders>
        <w:tblLook w:val="04A0" w:firstRow="1" w:lastRow="0" w:firstColumn="1" w:lastColumn="0" w:noHBand="0" w:noVBand="1"/>
      </w:tblPr>
      <w:tblGrid>
        <w:gridCol w:w="2400"/>
        <w:gridCol w:w="6800"/>
      </w:tblGrid>
      <w:tr>
        <w:tc>
          <w:tcPr>
            <w:tcW w:w="2400" w:type="dxa"/>
            <w:shd w:val="clear" w:fill="8A1538"/>
            <w:vAlign w:val="center"/>
          </w:tcPr>
          <w:p>
            <w:pPr>
              <w:spacing w:before="40" w:after="40"/>
            </w:pPr>
            <w:r>
              <w:rPr>
                <w:b/>
                <w:sz w:val="20"/>
                <w:szCs w:val="20"/>
                <w:color w:val="FFFFFF"/>
              </w:rPr>
              <w:t xml:space="preserve">Stat card</w:t>
            </w:r>
          </w:p>
        </w:tc>
        <w:tc>
          <w:tcPr>
            <w:tcW w:w="6800" w:type="dxa"/>
            <w:shd w:val="clear" w:fill="8A1538"/>
            <w:vAlign w:val="center"/>
          </w:tcPr>
          <w:p>
            <w:pPr>
              <w:spacing w:before="40" w:after="40"/>
            </w:pPr>
            <w:r>
              <w:rPr>
                <w:b/>
                <w:sz w:val="20"/>
                <w:szCs w:val="20"/>
                <w:color w:val="FFFFFF"/>
              </w:rPr>
              <w:t xml:space="preserve">What it counts</w:t>
            </w:r>
          </w:p>
        </w:tc>
      </w:tr>
      <w:tr>
        <w:tc>
          <w:tcPr>
            <w:tcW w:w="2400" w:type="dxa"/>
            <w:vAlign w:val="center"/>
          </w:tcPr>
          <w:p>
            <w:pPr>
              <w:spacing w:before="40" w:after="40"/>
            </w:pPr>
            <w:r>
              <w:rPr>
                <w:sz w:val="20"/>
                <w:szCs w:val="20"/>
                <w:color w:val="26191E"/>
              </w:rPr>
              <w:t xml:space="preserve">Total</w:t>
            </w:r>
          </w:p>
        </w:tc>
        <w:tc>
          <w:tcPr>
            <w:tcW w:w="6800" w:type="dxa"/>
            <w:vAlign w:val="center"/>
          </w:tcPr>
          <w:p>
            <w:pPr>
              <w:spacing w:before="40" w:after="40"/>
            </w:pPr>
            <w:r>
              <w:rPr>
                <w:sz w:val="20"/>
                <w:szCs w:val="20"/>
                <w:color w:val="26191E"/>
              </w:rPr>
              <w:t xml:space="preserve">Every submitted, approved, or rejected request — private drafts are never counted or shown to an administrator.</w:t>
            </w:r>
          </w:p>
        </w:tc>
      </w:tr>
      <w:tr>
        <w:tc>
          <w:tcPr>
            <w:tcW w:w="2400" w:type="dxa"/>
            <w:vAlign w:val="center"/>
          </w:tcPr>
          <w:p>
            <w:pPr>
              <w:spacing w:before="40" w:after="40"/>
            </w:pPr>
            <w:r>
              <w:rPr>
                <w:sz w:val="20"/>
                <w:szCs w:val="20"/>
                <w:color w:val="26191E"/>
              </w:rPr>
              <w:t xml:space="preserve">Submitted</w:t>
            </w:r>
          </w:p>
        </w:tc>
        <w:tc>
          <w:tcPr>
            <w:tcW w:w="6800" w:type="dxa"/>
            <w:vAlign w:val="center"/>
          </w:tcPr>
          <w:p>
            <w:pPr>
              <w:spacing w:before="40" w:after="40"/>
            </w:pPr>
            <w:r>
              <w:rPr>
                <w:sz w:val="20"/>
                <w:szCs w:val="20"/>
                <w:color w:val="26191E"/>
              </w:rPr>
              <w:t xml:space="preserve">Requests currently waiting on a decision.</w:t>
            </w:r>
          </w:p>
        </w:tc>
      </w:tr>
      <w:tr>
        <w:tc>
          <w:tcPr>
            <w:tcW w:w="2400" w:type="dxa"/>
            <w:vAlign w:val="center"/>
          </w:tcPr>
          <w:p>
            <w:pPr>
              <w:spacing w:before="40" w:after="40"/>
            </w:pPr>
            <w:r>
              <w:rPr>
                <w:sz w:val="20"/>
                <w:szCs w:val="20"/>
                <w:color w:val="26191E"/>
              </w:rPr>
              <w:t xml:space="preserve">Approved</w:t>
            </w:r>
          </w:p>
        </w:tc>
        <w:tc>
          <w:tcPr>
            <w:tcW w:w="6800" w:type="dxa"/>
            <w:vAlign w:val="center"/>
          </w:tcPr>
          <w:p>
            <w:pPr>
              <w:spacing w:before="40" w:after="40"/>
            </w:pPr>
            <w:r>
              <w:rPr>
                <w:sz w:val="20"/>
                <w:szCs w:val="20"/>
                <w:color w:val="26191E"/>
              </w:rPr>
              <w:t xml:space="preserve">Requests that have cleared review.</w:t>
            </w:r>
          </w:p>
        </w:tc>
      </w:tr>
      <w:tr>
        <w:tc>
          <w:tcPr>
            <w:tcW w:w="2400" w:type="dxa"/>
            <w:vAlign w:val="center"/>
          </w:tcPr>
          <w:p>
            <w:pPr>
              <w:spacing w:before="40" w:after="40"/>
            </w:pPr>
            <w:r>
              <w:rPr>
                <w:sz w:val="20"/>
                <w:szCs w:val="20"/>
                <w:color w:val="26191E"/>
              </w:rPr>
              <w:t xml:space="preserve">Rejected</w:t>
            </w:r>
          </w:p>
        </w:tc>
        <w:tc>
          <w:tcPr>
            <w:tcW w:w="6800" w:type="dxa"/>
            <w:vAlign w:val="center"/>
          </w:tcPr>
          <w:p>
            <w:pPr>
              <w:spacing w:before="40" w:after="40"/>
            </w:pPr>
            <w:r>
              <w:rPr>
                <w:sz w:val="20"/>
                <w:szCs w:val="20"/>
                <w:color w:val="26191E"/>
              </w:rPr>
              <w:t xml:space="preserve">Requests sent back for correction.</w:t>
            </w:r>
          </w:p>
        </w:tc>
      </w:tr>
    </w:tbl>
    <w:p>
      <w:pPr>
        <w:spacing w:after="160"/>
      </w:pPr>
    </w:p>
    <w:p>
      <w:pPr>
        <w:spacing w:after="140"/>
      </w:pPr>
      <w:r>
        <w:t xml:space="preserve">Below the stats, a table of the most recent requests offers the same quick actions as All Submissions: view, edit, download, or delete.</w:t>
      </w:r>
    </w:p>
    <w:p>
      <w:pPr>
        <w:pStyle w:val="Heading2"/>
        <w:keepNext/>
        <w:spacing w:before="340" w:after="80"/>
      </w:pPr>
      <w:r>
        <w:rPr>
          <w:b/>
          <w:sz w:val="32"/>
          <w:szCs w:val="32"/>
          <w:color w:val="26191E"/>
        </w:rPr>
        <w:t xml:space="preserve">All Submissions</w:t>
      </w:r>
    </w:p>
    <w:p>
      <w:pPr>
        <w:spacing w:after="160"/>
      </w:pPr>
      <w:r>
        <w:rPr>
          <w:i/>
          <w:sz w:val="20"/>
          <w:szCs w:val="20"/>
          <w:color w:val="5A4A50"/>
        </w:rPr>
        <w:t xml:space="preserve">Every request in the system across every user — except drafts, which stay private to whoever is still working on them.</w:t>
      </w:r>
    </w:p>
    <w:p>
      <w:pPr>
        <w:spacing w:after="140"/>
      </w:pPr>
      <w:r>
        <w:t xml:space="preserve">Filter by date range or status the same way as My Requests. Each row carries the same view/edit/download icons, plus a delete icon (a soft delete — the record is hidden from every list but kept for audit purposes, never physically removed from the database).</w:t>
      </w:r>
    </w:p>
    <w:p>
      <w:pPr>
        <w:pStyle w:val="Heading2"/>
        <w:keepNext/>
        <w:spacing w:before="340" w:after="80"/>
      </w:pPr>
      <w:r>
        <w:rPr>
          <w:b/>
          <w:sz w:val="32"/>
          <w:szCs w:val="32"/>
          <w:color w:val="26191E"/>
        </w:rPr>
        <w:t xml:space="preserve">Reviewing a request</w:t>
      </w:r>
    </w:p>
    <w:p>
      <w:pPr>
        <w:spacing w:after="160"/>
      </w:pPr>
      <w:r>
        <w:rPr>
          <w:i/>
          <w:sz w:val="20"/>
          <w:szCs w:val="20"/>
          <w:color w:val="5A4A50"/>
        </w:rPr>
        <w:t xml:space="preserve">Open any submitted request's details page to make a decision.</w:t>
      </w:r>
    </w:p>
    <w:p>
      <w:pPr>
        <w:spacing w:after="100"/>
        <w:ind w:left="200"/>
      </w:pPr>
      <w:r>
        <w:rPr>
          <w:b/>
          <w:color w:val="8A1538"/>
        </w:rPr>
        <w:t xml:space="preserve">1. </w:t>
      </w:r>
      <w:r>
        <w:rPr>
          <w:b/>
        </w:rPr>
        <w:t xml:space="preserve">Open the request.</w:t>
      </w:r>
      <w:r>
        <w:t xml:space="preserve">  From All Submissions or the dashboard, click the eye icon to view it in full — every field, every record row, every signature.</w:t>
      </w:r>
    </w:p>
    <w:p>
      <w:pPr>
        <w:spacing w:after="100"/>
        <w:ind w:left="200"/>
      </w:pPr>
      <w:r>
        <w:rPr>
          <w:b/>
          <w:color w:val="8A1538"/>
        </w:rPr>
        <w:t xml:space="preserve">2. </w:t>
      </w:r>
      <w:r>
        <w:rPr>
          <w:b/>
        </w:rPr>
        <w:t xml:space="preserve">Leave a note (optional, but required for a rejection to make sense).</w:t>
      </w:r>
      <w:r>
        <w:t xml:space="preserve">  The review panel has a text box for feedback — what needs to change before this can be approved.</w:t>
      </w:r>
    </w:p>
    <w:p>
      <w:pPr>
        <w:spacing w:after="100"/>
        <w:ind w:left="200"/>
      </w:pPr>
      <w:r>
        <w:rPr>
          <w:b/>
          <w:color w:val="8A1538"/>
        </w:rPr>
        <w:t xml:space="preserve">3. </w:t>
      </w:r>
      <w:r>
        <w:rPr>
          <w:b/>
        </w:rPr>
        <w:t xml:space="preserve">Decide.</w:t>
      </w:r>
      <w:r>
        <w:t xml:space="preserve">  Click Approve or Reject. Approving unlocks PDF/Word downloads for the submitting user; rejecting sends it back to them, with your note attached, so they can fix it and submit again.</w:t>
      </w:r>
    </w:p>
    <w:p>
      <w:pPr>
        <w:pStyle w:val="Heading2"/>
        <w:keepNext/>
        <w:spacing w:before="340" w:after="80"/>
      </w:pPr>
      <w:r>
        <w:rPr>
          <w:b/>
          <w:sz w:val="32"/>
          <w:szCs w:val="32"/>
          <w:color w:val="26191E"/>
        </w:rPr>
        <w:t xml:space="preserve">Marking physical destruction</w:t>
      </w:r>
    </w:p>
    <w:p>
      <w:pPr>
        <w:spacing w:after="160"/>
      </w:pPr>
      <w:r>
        <w:rPr>
          <w:i/>
          <w:sz w:val="20"/>
          <w:szCs w:val="20"/>
          <w:color w:val="5A4A50"/>
        </w:rPr>
        <w:t xml:space="preserve">Paperwork approval and the records actually being destroyed are two separate steps.</w:t>
      </w:r>
    </w:p>
    <w:p>
      <w:pPr>
        <w:spacing w:after="140"/>
      </w:pPr>
      <w:r>
        <w:t xml:space="preserve">On an </w:t>
      </w:r>
      <w:r>
        <w:rPr>
          <w:b/>
          <w:color w:val="0F8A72"/>
        </w:rPr>
        <w:t xml:space="preserve">Approved</w:t>
      </w:r>
      <w:r>
        <w:t xml:space="preserve"> request's details page, a second panel lets you mark </w:t>
      </w:r>
      <w:r>
        <w:rPr>
          <w:sz w:val="20"/>
          <w:szCs w:val="20"/>
          <w:color w:val="6E4E1E"/>
          <w:rFonts w:ascii="Consolas" w:hAnsi="Consolas" w:cs="Consolas"/>
          <w:shd w:val="clear" w:fill="F1ECE2"/>
        </w:rPr>
        <w:t xml:space="preserve">Mark as Destroyed</w:t>
      </w:r>
      <w:r>
        <w:t xml:space="preserve"> once the physical destruction has actually taken place. It records who marked it and when, and can be undone with </w:t>
      </w:r>
      <w:r>
        <w:rPr>
          <w:sz w:val="20"/>
          <w:szCs w:val="20"/>
          <w:color w:val="6E4E1E"/>
          <w:rFonts w:ascii="Consolas" w:hAnsi="Consolas" w:cs="Consolas"/>
          <w:shd w:val="clear" w:fill="F1ECE2"/>
        </w:rPr>
        <w:t xml:space="preserve">Undo</w:t>
      </w:r>
      <w:r>
        <w:t xml:space="preserve"> if it was marked in error.</w:t>
      </w:r>
    </w:p>
    <w:p>
      <w:pPr>
        <w:spacing w:before="60" w:after="200"/>
        <w:ind w:left="200"/>
      </w:pPr>
      <w:r>
        <w:rPr>
          <w:b/>
          <w:color w:val="8A6A1E"/>
        </w:rPr>
        <w:t xml:space="preserve">Note:  </w:t>
      </w:r>
      <w:r>
        <w:t xml:space="preserve">Marking a request as destroyed removes it from the next Excel export — that export only ever lists what's approved and still pending physical destruction.</w:t>
      </w:r>
    </w:p>
    <w:p>
      <w:pPr>
        <w:pStyle w:val="Heading2"/>
        <w:keepNext/>
        <w:spacing w:before="340" w:after="80"/>
      </w:pPr>
      <w:r>
        <w:rPr>
          <w:b/>
          <w:sz w:val="32"/>
          <w:szCs w:val="32"/>
          <w:color w:val="26191E"/>
        </w:rPr>
        <w:t xml:space="preserve">Managing users</w:t>
      </w:r>
    </w:p>
    <w:p>
      <w:pPr>
        <w:spacing w:after="160"/>
      </w:pPr>
      <w:r>
        <w:rPr>
          <w:i/>
          <w:sz w:val="20"/>
          <w:szCs w:val="20"/>
          <w:color w:val="5A4A50"/>
        </w:rPr>
        <w:t xml:space="preserve">Accounts are created by self-registration, not by an administrator — this page is for managing accounts that already exist.</w:t>
      </w:r>
    </w:p>
    <w:p>
      <w:pPr>
        <w:spacing w:after="140"/>
      </w:pPr>
      <w:r>
        <w:t xml:space="preserve">The </w:t>
      </w:r>
      <w:r>
        <w:rPr>
          <w:sz w:val="20"/>
          <w:szCs w:val="20"/>
          <w:color w:val="6E4E1E"/>
          <w:rFonts w:ascii="Consolas" w:hAnsi="Consolas" w:cs="Consolas"/>
          <w:shd w:val="clear" w:fill="F1ECE2"/>
        </w:rPr>
        <w:t xml:space="preserve">Users</w:t>
      </w:r>
      <w:r>
        <w:t xml:space="preserve"> page lists every account: name, email, department, role, and whether it's active. From here you can:</w:t>
      </w:r>
    </w:p>
    <w:p>
      <w:pPr>
        <w:spacing w:after="60"/>
        <w:ind w:left="360"/>
      </w:pPr>
      <w:r>
        <w:t xml:space="preserve">•  </w:t>
      </w:r>
      <w:r>
        <w:rPr>
          <w:b/>
        </w:rPr>
        <w:t xml:space="preserve">Edit</w:t>
      </w:r>
      <w:r>
        <w:t xml:space="preserve"> — correct a name or department, or change someone's role between User and Admin.</w:t>
      </w:r>
    </w:p>
    <w:p>
      <w:pPr>
        <w:spacing w:after="60"/>
        <w:ind w:left="360"/>
      </w:pPr>
      <w:r>
        <w:t xml:space="preserve">•  </w:t>
      </w:r>
      <w:r>
        <w:rPr>
          <w:b/>
        </w:rPr>
        <w:t xml:space="preserve">Deactivate / Activate</w:t>
      </w:r>
      <w:r>
        <w:t xml:space="preserve"> — blocks (or restores) sign-in without deleting anything.</w:t>
      </w:r>
    </w:p>
    <w:p>
      <w:pPr>
        <w:spacing w:after="160"/>
        <w:ind w:left="360"/>
      </w:pPr>
      <w:r>
        <w:t xml:space="preserve">•  </w:t>
      </w:r>
      <w:r>
        <w:rPr>
          <w:b/>
        </w:rPr>
        <w:t xml:space="preserve">Delete</w:t>
      </w:r>
      <w:r>
        <w:t xml:space="preserve"> — a soft delete, same as with requests: the account disappears from the active list but its history is preserved.</w:t>
      </w:r>
    </w:p>
    <w:p>
      <w:pPr>
        <w:pStyle w:val="Heading2"/>
        <w:keepNext/>
        <w:spacing w:before="340" w:after="80"/>
      </w:pPr>
      <w:r>
        <w:rPr>
          <w:b/>
          <w:sz w:val="32"/>
          <w:szCs w:val="32"/>
          <w:color w:val="26191E"/>
        </w:rPr>
        <w:t xml:space="preserve">Excel export</w:t>
      </w:r>
    </w:p>
    <w:p>
      <w:pPr>
        <w:spacing w:after="160"/>
      </w:pPr>
      <w:r>
        <w:rPr>
          <w:i/>
          <w:sz w:val="20"/>
          <w:szCs w:val="20"/>
          <w:color w:val="5A4A50"/>
        </w:rPr>
        <w:t xml:space="preserve">A single spreadsheet covering every request that's ready for physical destruction.</w:t>
      </w:r>
    </w:p>
    <w:p>
      <w:pPr>
        <w:spacing w:after="140"/>
      </w:pPr>
      <w:r>
        <w:t xml:space="preserve">The </w:t>
      </w:r>
      <w:r>
        <w:rPr>
          <w:sz w:val="20"/>
          <w:szCs w:val="20"/>
          <w:color w:val="6E4E1E"/>
          <w:rFonts w:ascii="Consolas" w:hAnsi="Consolas" w:cs="Consolas"/>
          <w:shd w:val="clear" w:fill="F1ECE2"/>
        </w:rPr>
        <w:t xml:space="preserve">Export Excel</w:t>
      </w:r>
      <w:r>
        <w:t xml:space="preserve"> button on All Submissions generates the official “كشف الإتلاف” (destruction schedule) — every </w:t>
      </w:r>
      <w:r>
        <w:rPr>
          <w:b/>
          <w:color w:val="0F8A72"/>
        </w:rPr>
        <w:t xml:space="preserve">Approved</w:t>
      </w:r>
      <w:r>
        <w:t xml:space="preserve"> request not yet marked as physically destroyed, bundled into one file for the destruction committee.</w:t>
      </w:r>
    </w:p>
    <w:p>
      <w:pPr>
        <w:pBdr>
          <w:bottom w:val="single" w:sz="6" w:space="1" w:color="E4DCCC"/>
        </w:pBdr>
        <w:spacing w:before="120" w:after="220"/>
      </w:pPr>
    </w:p>
    <w:p>
      <w:pPr>
        <w:jc w:val="center"/>
      </w:pPr>
      <w:r>
        <w:rPr>
          <w:sz w:val="18"/>
          <w:szCs w:val="18"/>
          <w:color w:val="5A4A50"/>
        </w:rPr>
        <w:t xml:space="preserve">Ministry of Education and Higher Education · State of Qatar — Records Destruction System</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eastAsia="Calibri"/>
        <w:sz w:val="22"/>
        <w:szCs w:val="22"/>
        <w:color w:val="26191E"/>
      </w:rPr>
    </w:rPrDefault>
    <w:pPrDefault>
      <w:pPr>
        <w:spacing w:line="288" w:lineRule="auto" w:after="0"/>
      </w:pPr>
    </w:pPrDefault>
  </w:docDefaults>
  <w:style w:type="paragraph" w:default="1" w:styleId="Normal">
    <w:name w:val="Normal"/>
  </w:style>
  <w:style w:type="paragraph" w:styleId="Heading1">
    <w:name w:val="heading 1"/>
    <w:basedOn w:val="Normal"/>
    <w:next w:val="Normal"/>
    <w:pPr>
      <w:pageBreakBefore/>
      <w:spacing w:before="0" w:after="200"/>
      <w:pBdr>
        <w:bottom w:val="single" w:sz="18" w:space="8" w:color="8A1538"/>
      </w:pBdr>
    </w:pPr>
    <w:rPr>
      <w:rFonts w:ascii="Calibri" w:hAnsi="Calibri"/>
      <w:b/>
      <w:color w:val="8A1538"/>
      <w:sz w:val="44"/>
    </w:rPr>
  </w:style>
  <w:style w:type="paragraph" w:styleId="Heading2">
    <w:name w:val="heading 2"/>
    <w:basedOn w:val="Normal"/>
    <w:next w:val="Normal"/>
    <w:rPr>
      <w:b/>
      <w:color w:val="26191E"/>
      <w:sz w:val="3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Records Destruction System</Application>
</Properties>
</file>

<file path=docProps/core.xml><?xml version="1.0" encoding="utf-8"?>
<cp:coreProperties xmlns:cp="http://schemas.openxmlformats.org/package/2006/metadata/core-properties" xmlns:dc="http://purl.org/dc/elements/1.1/" xmlns:dcterms="http://purl.org/dc/terms/" xmlns:xsi="http://www.w3.org/2001/XMLSchema-instance">
  <dc:title>Records Destruction Manual</dc:title>
  <dc:creator>Ministry of Education and Higher Education</dc:creator>
</cp:coreProperties>
</file>