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FDD6D">
      <w:pPr>
        <w:pStyle w:val="3"/>
        <w:bidi w:val="0"/>
        <w:jc w:val="center"/>
        <w:rPr>
          <w:rFonts w:hint="default" w:ascii="Calibri" w:hAnsi="Calibri" w:cs="Calibri"/>
        </w:rPr>
      </w:pPr>
      <w:r>
        <w:rPr>
          <w:rFonts w:hint="default" w:ascii="Calibri" w:hAnsi="Calibri" w:cs="Calibri"/>
        </w:rPr>
        <w:t>Business Summary Report:</w:t>
      </w:r>
    </w:p>
    <w:p w14:paraId="20744769">
      <w:pPr>
        <w:pStyle w:val="3"/>
        <w:bidi w:val="0"/>
        <w:jc w:val="center"/>
        <w:rPr>
          <w:rFonts w:hint="default" w:ascii="Calibri" w:hAnsi="Calibri" w:cs="Calibri"/>
        </w:rPr>
      </w:pPr>
      <w:r>
        <w:rPr>
          <w:rFonts w:hint="default" w:ascii="Calibri" w:hAnsi="Calibri" w:cs="Calibri"/>
        </w:rPr>
        <w:t>Predictive Insights for Collections Strategy</w:t>
      </w:r>
    </w:p>
    <w:p w14:paraId="2A1604AD">
      <w:pPr>
        <w:pStyle w:val="4"/>
        <w:bidi w:val="0"/>
        <w:rPr>
          <w:rFonts w:hint="default" w:ascii="Calibri" w:hAnsi="Calibri" w:cs="Calibri"/>
        </w:rPr>
      </w:pPr>
      <w:r>
        <w:rPr>
          <w:rFonts w:hint="default" w:ascii="Calibri" w:hAnsi="Calibri" w:cs="Calibri"/>
        </w:rPr>
        <w:t>1. Summary of Predictive Insights</w:t>
      </w:r>
    </w:p>
    <w:p w14:paraId="3B0A2736">
      <w:pPr>
        <w:rPr>
          <w:rFonts w:hint="default" w:ascii="Calibri" w:hAnsi="Calibri" w:cs="Calibri"/>
        </w:rPr>
      </w:pPr>
      <w:r>
        <w:rPr>
          <w:rFonts w:hint="default" w:ascii="Calibri" w:hAnsi="Calibri" w:cs="Calibri"/>
        </w:rPr>
        <w:t>Based on the Exploratory Data Analysis (EDA) and predictive modeling conducted in Task 2, the following insights were identified as key drivers of delinquency risk:</w:t>
      </w:r>
    </w:p>
    <w:p w14:paraId="6D191590">
      <w:pPr>
        <w:rPr>
          <w:rFonts w:hint="default" w:ascii="Calibri" w:hAnsi="Calibri" w:cs="Calibri"/>
        </w:rPr>
      </w:pPr>
      <w:r>
        <w:rPr>
          <w:rFonts w:hint="default" w:ascii="Calibri" w:hAnsi="Calibri" w:cs="Calibri"/>
        </w:rPr>
        <w:t>Top 3 Risk Factors Associated with Delinquency</w:t>
      </w:r>
    </w:p>
    <w:p w14:paraId="598928B3">
      <w:pPr>
        <w:rPr>
          <w:rFonts w:hint="default" w:ascii="Calibri" w:hAnsi="Calibri" w:cs="Calibri"/>
        </w:rPr>
      </w:pPr>
    </w:p>
    <w:p w14:paraId="5491DDF9">
      <w:pPr>
        <w:numPr>
          <w:ilvl w:val="0"/>
          <w:numId w:val="1"/>
        </w:numPr>
        <w:ind w:left="420" w:leftChars="0" w:hanging="420" w:firstLineChars="0"/>
        <w:rPr>
          <w:rFonts w:hint="default" w:ascii="Calibri" w:hAnsi="Calibri" w:cs="Calibri"/>
        </w:rPr>
      </w:pPr>
      <w:r>
        <w:rPr>
          <w:rFonts w:hint="default" w:ascii="Calibri" w:hAnsi="Calibri" w:cs="Calibri"/>
          <w:b/>
          <w:bCs/>
        </w:rPr>
        <w:t>Credit Card Type – Business Card Holders :</w:t>
      </w:r>
      <w:r>
        <w:rPr>
          <w:rFonts w:hint="default" w:ascii="Calibri" w:hAnsi="Calibri" w:cs="Calibri"/>
          <w:b/>
          <w:bCs/>
        </w:rPr>
        <w:br w:type="textWrapping"/>
      </w:r>
      <w:r>
        <w:rPr>
          <w:rFonts w:hint="default" w:ascii="Calibri" w:hAnsi="Calibri" w:cs="Calibri"/>
        </w:rPr>
        <w:t>Customers with business credit cards have the highest delinquency rate at 21.30% , indicating a significantly higher likelihood of delinquency compared to other card types.</w:t>
      </w:r>
    </w:p>
    <w:p w14:paraId="69537DAB">
      <w:pPr>
        <w:rPr>
          <w:rFonts w:hint="default" w:ascii="Calibri" w:hAnsi="Calibri" w:cs="Calibri"/>
        </w:rPr>
      </w:pPr>
    </w:p>
    <w:p w14:paraId="669FF11D">
      <w:pPr>
        <w:numPr>
          <w:ilvl w:val="0"/>
          <w:numId w:val="1"/>
        </w:numPr>
        <w:ind w:left="420" w:leftChars="0" w:hanging="420" w:firstLineChars="0"/>
        <w:rPr>
          <w:rFonts w:hint="default" w:ascii="Calibri" w:hAnsi="Calibri" w:cs="Calibri"/>
        </w:rPr>
      </w:pPr>
      <w:r>
        <w:rPr>
          <w:rFonts w:hint="default" w:ascii="Calibri" w:hAnsi="Calibri" w:cs="Calibri"/>
          <w:b/>
          <w:bCs/>
        </w:rPr>
        <w:t>Location – Los Angeles :</w:t>
      </w:r>
      <w:r>
        <w:rPr>
          <w:rFonts w:hint="default" w:ascii="Calibri" w:hAnsi="Calibri" w:cs="Calibri"/>
        </w:rPr>
        <w:br w:type="textWrapping"/>
      </w:r>
      <w:r>
        <w:rPr>
          <w:rFonts w:hint="default" w:ascii="Calibri" w:hAnsi="Calibri" w:cs="Calibri"/>
        </w:rPr>
        <w:t>Customers located in Los Angeles show a delinquency rate of 19.63% , suggesting regional economic or demographic factors may be contributing to financial instability.</w:t>
      </w:r>
    </w:p>
    <w:p w14:paraId="0145AEEA">
      <w:pPr>
        <w:rPr>
          <w:rFonts w:hint="default" w:ascii="Calibri" w:hAnsi="Calibri" w:cs="Calibri"/>
        </w:rPr>
      </w:pPr>
    </w:p>
    <w:p w14:paraId="1A999983">
      <w:pPr>
        <w:numPr>
          <w:ilvl w:val="0"/>
          <w:numId w:val="1"/>
        </w:numPr>
        <w:ind w:left="420" w:leftChars="0" w:hanging="420" w:firstLineChars="0"/>
        <w:rPr>
          <w:rFonts w:hint="default" w:ascii="Calibri" w:hAnsi="Calibri" w:cs="Calibri"/>
        </w:rPr>
      </w:pPr>
      <w:r>
        <w:rPr>
          <w:rFonts w:hint="default" w:ascii="Calibri" w:hAnsi="Calibri" w:cs="Calibri"/>
          <w:b/>
          <w:bCs/>
        </w:rPr>
        <w:t>Employment Status – Unemployed :</w:t>
      </w:r>
      <w:r>
        <w:rPr>
          <w:rFonts w:hint="default" w:ascii="Calibri" w:hAnsi="Calibri" w:cs="Calibri"/>
          <w:b/>
          <w:bCs/>
        </w:rPr>
        <w:br w:type="textWrapping"/>
      </w:r>
      <w:r>
        <w:rPr>
          <w:rFonts w:hint="default" w:ascii="Calibri" w:hAnsi="Calibri" w:cs="Calibri"/>
        </w:rPr>
        <w:t>As expected, unemployed customers have a high delinquency rate of 19.35% , highlighting the strong link between job status and repayment capability.</w:t>
      </w:r>
    </w:p>
    <w:p w14:paraId="6400CF45">
      <w:pPr>
        <w:rPr>
          <w:rFonts w:hint="default" w:ascii="Calibri" w:hAnsi="Calibri" w:cs="Calibri"/>
        </w:rPr>
      </w:pPr>
    </w:p>
    <w:p w14:paraId="343ED05F">
      <w:pPr>
        <w:rPr>
          <w:rFonts w:hint="default" w:ascii="Calibri" w:hAnsi="Calibri" w:cs="Calibri"/>
        </w:rPr>
      </w:pPr>
      <w:r>
        <w:rPr>
          <w:rFonts w:hint="default" w:ascii="Calibri" w:hAnsi="Calibri" w:cs="Calibri"/>
        </w:rPr>
        <w:t>These segments are critical for the collections team to prioritize due to their elevated risk levels.</w:t>
      </w:r>
    </w:p>
    <w:p w14:paraId="0A2509AA">
      <w:pPr>
        <w:rPr>
          <w:rFonts w:hint="default" w:ascii="Calibri" w:hAnsi="Calibri" w:cs="Calibri"/>
        </w:rPr>
      </w:pPr>
    </w:p>
    <w:tbl>
      <w:tblPr>
        <w:tblW w:w="8909" w:type="dxa"/>
        <w:tblInd w:w="144" w:type="dxa"/>
        <w:tblBorders>
          <w:top w:val="none" w:color="auto" w:sz="0" w:space="0"/>
          <w:left w:val="single" w:color="E1E3EA" w:sz="2" w:space="0"/>
          <w:bottom w:val="none" w:color="auto" w:sz="0" w:space="0"/>
          <w:right w:val="single" w:color="E1E3EA" w:sz="2" w:space="0"/>
          <w:insideH w:val="none" w:color="auto" w:sz="0" w:space="0"/>
          <w:insideV w:val="single" w:color="E1E3EA" w:sz="2" w:space="0"/>
        </w:tblBorders>
        <w:shd w:val="clear"/>
        <w:tblLayout w:type="fixed"/>
        <w:tblCellMar>
          <w:top w:w="15" w:type="dxa"/>
          <w:left w:w="15" w:type="dxa"/>
          <w:bottom w:w="15" w:type="dxa"/>
          <w:right w:w="15" w:type="dxa"/>
        </w:tblCellMar>
      </w:tblPr>
      <w:tblGrid>
        <w:gridCol w:w="1559"/>
        <w:gridCol w:w="2045"/>
        <w:gridCol w:w="1463"/>
        <w:gridCol w:w="3842"/>
      </w:tblGrid>
      <w:tr w14:paraId="728502D7">
        <w:tblPrEx>
          <w:tblBorders>
            <w:top w:val="none" w:color="auto" w:sz="0" w:space="0"/>
            <w:left w:val="single" w:color="E1E3EA" w:sz="2" w:space="0"/>
            <w:bottom w:val="none" w:color="auto" w:sz="0" w:space="0"/>
            <w:right w:val="single" w:color="E1E3EA" w:sz="2" w:space="0"/>
            <w:insideH w:val="none" w:color="auto" w:sz="0" w:space="0"/>
            <w:insideV w:val="single" w:color="E1E3EA" w:sz="2" w:space="0"/>
          </w:tblBorders>
          <w:shd w:val="clear"/>
          <w:tblCellMar>
            <w:top w:w="15" w:type="dxa"/>
            <w:left w:w="15" w:type="dxa"/>
            <w:bottom w:w="15" w:type="dxa"/>
            <w:right w:w="15" w:type="dxa"/>
          </w:tblCellMar>
        </w:tblPrEx>
        <w:tc>
          <w:tcPr>
            <w:tcW w:w="1492" w:type="dxa"/>
            <w:tcBorders>
              <w:top w:val="single" w:color="auto" w:sz="4" w:space="0"/>
              <w:left w:val="single" w:color="auto" w:sz="4" w:space="0"/>
              <w:bottom w:val="single" w:color="auto" w:sz="4" w:space="0"/>
              <w:right w:val="single" w:color="auto" w:sz="4" w:space="0"/>
              <w:tl2br w:val="nil"/>
              <w:tr2bl w:val="nil"/>
            </w:tcBorders>
            <w:shd w:val="clear" w:color="auto" w:fill="F7F8FC"/>
            <w:tcMar>
              <w:top w:w="48" w:type="dxa"/>
              <w:left w:w="72" w:type="dxa"/>
              <w:bottom w:w="48" w:type="dxa"/>
              <w:right w:w="72" w:type="dxa"/>
            </w:tcMar>
            <w:vAlign w:val="bottom"/>
          </w:tcPr>
          <w:p w14:paraId="7BF02CBC">
            <w:pPr>
              <w:rPr>
                <w:rFonts w:hint="default" w:ascii="Calibri" w:hAnsi="Calibri" w:cs="Calibri"/>
                <w:b/>
                <w:bCs/>
              </w:rPr>
            </w:pPr>
            <w:r>
              <w:rPr>
                <w:rFonts w:hint="default" w:ascii="Calibri" w:hAnsi="Calibri" w:cs="Calibri"/>
                <w:b/>
                <w:bCs/>
                <w:lang w:val="en-US" w:eastAsia="zh-CN"/>
              </w:rPr>
              <w:t>Key Insight</w:t>
            </w:r>
          </w:p>
        </w:tc>
        <w:tc>
          <w:tcPr>
            <w:tcW w:w="1957" w:type="dxa"/>
            <w:tcBorders>
              <w:top w:val="single" w:color="auto" w:sz="4" w:space="0"/>
              <w:left w:val="single" w:color="auto" w:sz="4" w:space="0"/>
              <w:bottom w:val="single" w:color="auto" w:sz="4" w:space="0"/>
              <w:right w:val="single" w:color="auto" w:sz="4" w:space="0"/>
              <w:tl2br w:val="nil"/>
              <w:tr2bl w:val="nil"/>
            </w:tcBorders>
            <w:shd w:val="clear" w:color="auto" w:fill="F7F8FC"/>
            <w:tcMar>
              <w:top w:w="48" w:type="dxa"/>
              <w:left w:w="72" w:type="dxa"/>
              <w:bottom w:w="48" w:type="dxa"/>
              <w:right w:w="72" w:type="dxa"/>
            </w:tcMar>
            <w:vAlign w:val="bottom"/>
          </w:tcPr>
          <w:p w14:paraId="2EBABF49">
            <w:pPr>
              <w:rPr>
                <w:rFonts w:hint="default" w:ascii="Calibri" w:hAnsi="Calibri" w:cs="Calibri"/>
                <w:b/>
                <w:bCs/>
              </w:rPr>
            </w:pPr>
            <w:r>
              <w:rPr>
                <w:rFonts w:hint="default" w:ascii="Calibri" w:hAnsi="Calibri" w:cs="Calibri"/>
                <w:b/>
                <w:bCs/>
                <w:lang w:val="en-US" w:eastAsia="zh-CN"/>
              </w:rPr>
              <w:t>Customer Segment</w:t>
            </w:r>
          </w:p>
        </w:tc>
        <w:tc>
          <w:tcPr>
            <w:tcW w:w="1400" w:type="dxa"/>
            <w:tcBorders>
              <w:top w:val="single" w:color="auto" w:sz="4" w:space="0"/>
              <w:left w:val="single" w:color="auto" w:sz="4" w:space="0"/>
              <w:bottom w:val="single" w:color="auto" w:sz="4" w:space="0"/>
              <w:right w:val="single" w:color="auto" w:sz="4" w:space="0"/>
              <w:tl2br w:val="nil"/>
              <w:tr2bl w:val="nil"/>
            </w:tcBorders>
            <w:shd w:val="clear" w:color="auto" w:fill="F7F8FC"/>
            <w:tcMar>
              <w:top w:w="48" w:type="dxa"/>
              <w:left w:w="72" w:type="dxa"/>
              <w:bottom w:w="48" w:type="dxa"/>
              <w:right w:w="72" w:type="dxa"/>
            </w:tcMar>
            <w:vAlign w:val="bottom"/>
          </w:tcPr>
          <w:p w14:paraId="3A54F93C">
            <w:pPr>
              <w:rPr>
                <w:rFonts w:hint="default" w:ascii="Calibri" w:hAnsi="Calibri" w:cs="Calibri"/>
                <w:b/>
                <w:bCs/>
              </w:rPr>
            </w:pPr>
            <w:r>
              <w:rPr>
                <w:rFonts w:hint="default" w:ascii="Calibri" w:hAnsi="Calibri" w:cs="Calibri"/>
                <w:b/>
                <w:bCs/>
                <w:lang w:val="en-US" w:eastAsia="zh-CN"/>
              </w:rPr>
              <w:t>Influencing Variables</w:t>
            </w:r>
          </w:p>
        </w:tc>
        <w:tc>
          <w:tcPr>
            <w:tcW w:w="3675" w:type="dxa"/>
            <w:tcBorders>
              <w:top w:val="single" w:color="auto" w:sz="4" w:space="0"/>
              <w:left w:val="single" w:color="auto" w:sz="4" w:space="0"/>
              <w:bottom w:val="single" w:color="auto" w:sz="4" w:space="0"/>
              <w:right w:val="single" w:color="auto" w:sz="4" w:space="0"/>
              <w:tl2br w:val="nil"/>
              <w:tr2bl w:val="nil"/>
            </w:tcBorders>
            <w:shd w:val="clear" w:color="auto" w:fill="F7F8FC"/>
            <w:tcMar>
              <w:top w:w="48" w:type="dxa"/>
              <w:left w:w="72" w:type="dxa"/>
              <w:bottom w:w="48" w:type="dxa"/>
              <w:right w:w="72" w:type="dxa"/>
            </w:tcMar>
            <w:vAlign w:val="bottom"/>
          </w:tcPr>
          <w:p w14:paraId="3A933674">
            <w:pPr>
              <w:rPr>
                <w:rFonts w:hint="default" w:ascii="Calibri" w:hAnsi="Calibri" w:cs="Calibri"/>
                <w:b/>
                <w:bCs/>
              </w:rPr>
            </w:pPr>
            <w:r>
              <w:rPr>
                <w:rFonts w:hint="default" w:ascii="Calibri" w:hAnsi="Calibri" w:cs="Calibri"/>
                <w:b/>
                <w:bCs/>
                <w:lang w:val="en-US" w:eastAsia="zh-CN"/>
              </w:rPr>
              <w:t>Potential Impact</w:t>
            </w:r>
          </w:p>
        </w:tc>
      </w:tr>
      <w:tr w14:paraId="42A2EF15">
        <w:tblPrEx>
          <w:tblBorders>
            <w:top w:val="none" w:color="auto" w:sz="0" w:space="0"/>
            <w:left w:val="single" w:color="E1E3EA" w:sz="2" w:space="0"/>
            <w:bottom w:val="none" w:color="auto" w:sz="0" w:space="0"/>
            <w:right w:val="single" w:color="E1E3EA" w:sz="2" w:space="0"/>
            <w:insideH w:val="none" w:color="auto" w:sz="0" w:space="0"/>
            <w:insideV w:val="single" w:color="E1E3EA" w:sz="2" w:space="0"/>
          </w:tblBorders>
          <w:shd w:val="clear"/>
          <w:tblCellMar>
            <w:top w:w="15" w:type="dxa"/>
            <w:left w:w="15" w:type="dxa"/>
            <w:bottom w:w="15" w:type="dxa"/>
            <w:right w:w="15" w:type="dxa"/>
          </w:tblCellMar>
        </w:tblPrEx>
        <w:tc>
          <w:tcPr>
            <w:tcW w:w="1492"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14A3506F">
            <w:pPr>
              <w:rPr>
                <w:rFonts w:hint="default" w:ascii="Calibri" w:hAnsi="Calibri" w:cs="Calibri"/>
              </w:rPr>
            </w:pPr>
            <w:r>
              <w:rPr>
                <w:rFonts w:hint="default" w:ascii="Calibri" w:hAnsi="Calibri" w:cs="Calibri"/>
                <w:lang w:val="en-US" w:eastAsia="zh-CN"/>
              </w:rPr>
              <w:t>Business card holders are more likely to default</w:t>
            </w:r>
          </w:p>
        </w:tc>
        <w:tc>
          <w:tcPr>
            <w:tcW w:w="1957"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67C591DA">
            <w:pPr>
              <w:rPr>
                <w:rFonts w:hint="default" w:ascii="Calibri" w:hAnsi="Calibri" w:cs="Calibri"/>
              </w:rPr>
            </w:pPr>
            <w:r>
              <w:rPr>
                <w:rFonts w:hint="default" w:ascii="Calibri" w:hAnsi="Calibri" w:cs="Calibri"/>
                <w:lang w:val="en-US" w:eastAsia="zh-CN"/>
              </w:rPr>
              <w:t>Customers with 'Business' credit cards</w:t>
            </w:r>
          </w:p>
        </w:tc>
        <w:tc>
          <w:tcPr>
            <w:tcW w:w="1400"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76E4D441">
            <w:pPr>
              <w:rPr>
                <w:rFonts w:hint="default" w:ascii="Calibri" w:hAnsi="Calibri" w:cs="Calibri"/>
              </w:rPr>
            </w:pPr>
            <w:r>
              <w:rPr>
                <w:rFonts w:hint="default" w:ascii="Calibri" w:hAnsi="Calibri" w:cs="Calibri"/>
                <w:lang w:val="en-US" w:eastAsia="zh-CN"/>
              </w:rPr>
              <w:t>Credit_Card_Type</w:t>
            </w:r>
          </w:p>
        </w:tc>
        <w:tc>
          <w:tcPr>
            <w:tcW w:w="3675"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1F5012CC">
            <w:pPr>
              <w:rPr>
                <w:rFonts w:hint="default" w:ascii="Calibri" w:hAnsi="Calibri" w:cs="Calibri"/>
              </w:rPr>
            </w:pPr>
            <w:r>
              <w:rPr>
                <w:rFonts w:hint="default" w:ascii="Calibri" w:hAnsi="Calibri" w:cs="Calibri"/>
                <w:lang w:val="en-US" w:eastAsia="zh-CN"/>
              </w:rPr>
              <w:t>Targeted early intervention can reduce delinquency in this group</w:t>
            </w:r>
          </w:p>
        </w:tc>
      </w:tr>
      <w:tr w14:paraId="2476C545">
        <w:tblPrEx>
          <w:tblBorders>
            <w:top w:val="none" w:color="auto" w:sz="0" w:space="0"/>
            <w:left w:val="single" w:color="E1E3EA" w:sz="2" w:space="0"/>
            <w:bottom w:val="none" w:color="auto" w:sz="0" w:space="0"/>
            <w:right w:val="single" w:color="E1E3EA" w:sz="2" w:space="0"/>
            <w:insideH w:val="none" w:color="auto" w:sz="0" w:space="0"/>
            <w:insideV w:val="single" w:color="E1E3EA" w:sz="2" w:space="0"/>
          </w:tblBorders>
          <w:tblCellMar>
            <w:top w:w="15" w:type="dxa"/>
            <w:left w:w="15" w:type="dxa"/>
            <w:bottom w:w="15" w:type="dxa"/>
            <w:right w:w="15" w:type="dxa"/>
          </w:tblCellMar>
        </w:tblPrEx>
        <w:tc>
          <w:tcPr>
            <w:tcW w:w="1492"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4AF83FD3">
            <w:pPr>
              <w:rPr>
                <w:rFonts w:hint="default" w:ascii="Calibri" w:hAnsi="Calibri" w:cs="Calibri"/>
              </w:rPr>
            </w:pPr>
            <w:r>
              <w:rPr>
                <w:rFonts w:hint="default" w:ascii="Calibri" w:hAnsi="Calibri" w:cs="Calibri"/>
                <w:lang w:val="en-US" w:eastAsia="zh-CN"/>
              </w:rPr>
              <w:t>Geographic location influences delinquency risk</w:t>
            </w:r>
          </w:p>
        </w:tc>
        <w:tc>
          <w:tcPr>
            <w:tcW w:w="1957"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25A87F12">
            <w:pPr>
              <w:rPr>
                <w:rFonts w:hint="default" w:ascii="Calibri" w:hAnsi="Calibri" w:cs="Calibri"/>
              </w:rPr>
            </w:pPr>
            <w:r>
              <w:rPr>
                <w:rFonts w:hint="default" w:ascii="Calibri" w:hAnsi="Calibri" w:cs="Calibri"/>
                <w:lang w:val="en-US" w:eastAsia="zh-CN"/>
              </w:rPr>
              <w:t>Customers in Los Angeles</w:t>
            </w:r>
          </w:p>
        </w:tc>
        <w:tc>
          <w:tcPr>
            <w:tcW w:w="1400"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4AB0E470">
            <w:pPr>
              <w:rPr>
                <w:rFonts w:hint="default" w:ascii="Calibri" w:hAnsi="Calibri" w:cs="Calibri"/>
              </w:rPr>
            </w:pPr>
            <w:r>
              <w:rPr>
                <w:rFonts w:hint="default" w:ascii="Calibri" w:hAnsi="Calibri" w:cs="Calibri"/>
                <w:lang w:val="en-US" w:eastAsia="zh-CN"/>
              </w:rPr>
              <w:t>Location</w:t>
            </w:r>
          </w:p>
        </w:tc>
        <w:tc>
          <w:tcPr>
            <w:tcW w:w="3675"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026CBDB5">
            <w:pPr>
              <w:rPr>
                <w:rFonts w:hint="default" w:ascii="Calibri" w:hAnsi="Calibri" w:cs="Calibri"/>
              </w:rPr>
            </w:pPr>
            <w:r>
              <w:rPr>
                <w:rFonts w:hint="default" w:ascii="Calibri" w:hAnsi="Calibri" w:cs="Calibri"/>
                <w:lang w:val="en-US" w:eastAsia="zh-CN"/>
              </w:rPr>
              <w:t>Regional outreach programs may help mitigate risk</w:t>
            </w:r>
          </w:p>
        </w:tc>
      </w:tr>
      <w:tr w14:paraId="23FEFBA6">
        <w:tblPrEx>
          <w:tblBorders>
            <w:top w:val="none" w:color="auto" w:sz="0" w:space="0"/>
            <w:left w:val="single" w:color="E1E3EA" w:sz="2" w:space="0"/>
            <w:bottom w:val="none" w:color="auto" w:sz="0" w:space="0"/>
            <w:right w:val="single" w:color="E1E3EA" w:sz="2" w:space="0"/>
            <w:insideH w:val="none" w:color="auto" w:sz="0" w:space="0"/>
            <w:insideV w:val="single" w:color="E1E3EA" w:sz="2" w:space="0"/>
          </w:tblBorders>
          <w:shd w:val="clear"/>
          <w:tblCellMar>
            <w:top w:w="15" w:type="dxa"/>
            <w:left w:w="15" w:type="dxa"/>
            <w:bottom w:w="15" w:type="dxa"/>
            <w:right w:w="15" w:type="dxa"/>
          </w:tblCellMar>
        </w:tblPrEx>
        <w:tc>
          <w:tcPr>
            <w:tcW w:w="1492"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63EF32ED">
            <w:pPr>
              <w:rPr>
                <w:rFonts w:hint="default" w:ascii="Calibri" w:hAnsi="Calibri" w:cs="Calibri"/>
              </w:rPr>
            </w:pPr>
            <w:r>
              <w:rPr>
                <w:rFonts w:hint="default" w:ascii="Calibri" w:hAnsi="Calibri" w:cs="Calibri"/>
                <w:lang w:val="en-US" w:eastAsia="zh-CN"/>
              </w:rPr>
              <w:t>Unemployment increases delinquency risk</w:t>
            </w:r>
          </w:p>
        </w:tc>
        <w:tc>
          <w:tcPr>
            <w:tcW w:w="1957"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7DC1BB36">
            <w:pPr>
              <w:rPr>
                <w:rFonts w:hint="default" w:ascii="Calibri" w:hAnsi="Calibri" w:cs="Calibri"/>
              </w:rPr>
            </w:pPr>
            <w:r>
              <w:rPr>
                <w:rFonts w:hint="default" w:ascii="Calibri" w:hAnsi="Calibri" w:cs="Calibri"/>
                <w:lang w:val="en-US" w:eastAsia="zh-CN"/>
              </w:rPr>
              <w:t>Unemployed individuals</w:t>
            </w:r>
          </w:p>
        </w:tc>
        <w:tc>
          <w:tcPr>
            <w:tcW w:w="1400"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2C4FBCD8">
            <w:pPr>
              <w:rPr>
                <w:rFonts w:hint="default" w:ascii="Calibri" w:hAnsi="Calibri" w:cs="Calibri"/>
                <w:lang w:val="en-US" w:eastAsia="zh-CN"/>
              </w:rPr>
            </w:pPr>
            <w:r>
              <w:rPr>
                <w:rFonts w:hint="default" w:ascii="Calibri" w:hAnsi="Calibri" w:cs="Calibri"/>
                <w:lang w:val="en-US" w:eastAsia="zh-CN"/>
              </w:rPr>
              <w:t>Employment</w:t>
            </w:r>
          </w:p>
          <w:p w14:paraId="1DA4A1DA">
            <w:pPr>
              <w:rPr>
                <w:rFonts w:hint="default" w:ascii="Calibri" w:hAnsi="Calibri" w:cs="Calibri"/>
              </w:rPr>
            </w:pPr>
            <w:r>
              <w:rPr>
                <w:rFonts w:hint="default" w:ascii="Calibri" w:hAnsi="Calibri" w:cs="Calibri"/>
                <w:lang w:val="en-US" w:eastAsia="zh-CN"/>
              </w:rPr>
              <w:t>Status</w:t>
            </w:r>
          </w:p>
        </w:tc>
        <w:tc>
          <w:tcPr>
            <w:tcW w:w="3675" w:type="dxa"/>
            <w:tcBorders>
              <w:top w:val="single" w:color="auto" w:sz="4" w:space="0"/>
              <w:left w:val="single" w:color="auto" w:sz="4" w:space="0"/>
              <w:bottom w:val="single" w:color="auto" w:sz="4" w:space="0"/>
              <w:right w:val="single" w:color="auto" w:sz="4" w:space="0"/>
              <w:tl2br w:val="nil"/>
              <w:tr2bl w:val="nil"/>
            </w:tcBorders>
            <w:shd w:val="clear" w:color="auto" w:fill="FFFFFF"/>
            <w:tcMar>
              <w:top w:w="72" w:type="dxa"/>
              <w:left w:w="72" w:type="dxa"/>
              <w:bottom w:w="72" w:type="dxa"/>
              <w:right w:w="72" w:type="dxa"/>
            </w:tcMar>
            <w:vAlign w:val="top"/>
          </w:tcPr>
          <w:p w14:paraId="077B03F2">
            <w:pPr>
              <w:rPr>
                <w:rFonts w:hint="default" w:ascii="Calibri" w:hAnsi="Calibri" w:cs="Calibri"/>
              </w:rPr>
            </w:pPr>
            <w:r>
              <w:rPr>
                <w:rFonts w:hint="default" w:ascii="Calibri" w:hAnsi="Calibri" w:cs="Calibri"/>
                <w:lang w:val="en-US" w:eastAsia="zh-CN"/>
              </w:rPr>
              <w:t>Proactive engagement with unemployed customers can improve recovery rates</w:t>
            </w:r>
          </w:p>
        </w:tc>
      </w:tr>
    </w:tbl>
    <w:p w14:paraId="4D543E59">
      <w:pPr>
        <w:rPr>
          <w:rFonts w:hint="default" w:ascii="Calibri" w:hAnsi="Calibri" w:cs="Calibri"/>
        </w:rPr>
      </w:pPr>
    </w:p>
    <w:p w14:paraId="7E38D057">
      <w:pPr>
        <w:pStyle w:val="4"/>
        <w:bidi w:val="0"/>
        <w:rPr>
          <w:rFonts w:hint="default" w:ascii="Calibri" w:hAnsi="Calibri" w:cs="Calibri"/>
        </w:rPr>
      </w:pPr>
      <w:r>
        <w:rPr>
          <w:rFonts w:hint="default" w:ascii="Calibri" w:hAnsi="Calibri" w:cs="Calibri"/>
        </w:rPr>
        <w:t>2. Recommendation Framework</w:t>
      </w:r>
    </w:p>
    <w:p w14:paraId="35D436F1">
      <w:pPr>
        <w:rPr>
          <w:rFonts w:hint="default" w:ascii="Calibri" w:hAnsi="Calibri" w:cs="Calibri"/>
          <w:b/>
          <w:bCs/>
        </w:rPr>
      </w:pPr>
      <w:r>
        <w:rPr>
          <w:rFonts w:hint="default" w:ascii="Calibri" w:hAnsi="Calibri" w:cs="Calibri"/>
          <w:b/>
          <w:bCs/>
        </w:rPr>
        <w:t>Restated Insight:</w:t>
      </w:r>
    </w:p>
    <w:p w14:paraId="3A7CDA38">
      <w:pPr>
        <w:rPr>
          <w:rFonts w:hint="default" w:ascii="Calibri" w:hAnsi="Calibri" w:cs="Calibri"/>
        </w:rPr>
      </w:pPr>
      <w:r>
        <w:rPr>
          <w:rFonts w:hint="default" w:ascii="Calibri" w:hAnsi="Calibri" w:cs="Calibri"/>
        </w:rPr>
        <w:t>Customers holding business credit cards have the highest delinquency rate (21.30% ), indicating a need for targeted support and monitoring.</w:t>
      </w:r>
    </w:p>
    <w:p w14:paraId="455C63EB">
      <w:pPr>
        <w:rPr>
          <w:rFonts w:hint="default" w:ascii="Calibri" w:hAnsi="Calibri" w:cs="Calibri"/>
        </w:rPr>
      </w:pPr>
    </w:p>
    <w:p w14:paraId="09DF6710">
      <w:pPr>
        <w:pStyle w:val="4"/>
        <w:bidi w:val="0"/>
        <w:rPr>
          <w:rFonts w:hint="default" w:ascii="Calibri" w:hAnsi="Calibri" w:cs="Calibri"/>
        </w:rPr>
      </w:pPr>
      <w:r>
        <w:rPr>
          <w:rFonts w:hint="default" w:ascii="Calibri" w:hAnsi="Calibri" w:cs="Calibri"/>
        </w:rPr>
        <w:t>Proposed Recommendation (SMART):</w:t>
      </w:r>
    </w:p>
    <w:p w14:paraId="0C7ED8BE">
      <w:pPr>
        <w:numPr>
          <w:ilvl w:val="0"/>
          <w:numId w:val="2"/>
        </w:numPr>
        <w:ind w:left="425" w:leftChars="0" w:hanging="425" w:firstLineChars="0"/>
        <w:rPr>
          <w:rFonts w:hint="default" w:ascii="Calibri" w:hAnsi="Calibri" w:cs="Calibri"/>
          <w:b/>
          <w:bCs/>
        </w:rPr>
      </w:pPr>
      <w:r>
        <w:rPr>
          <w:rFonts w:hint="default" w:ascii="Calibri" w:hAnsi="Calibri" w:cs="Calibri"/>
          <w:b/>
          <w:bCs/>
        </w:rPr>
        <w:t>Specific:</w:t>
      </w:r>
    </w:p>
    <w:p w14:paraId="3A46C92E">
      <w:pPr>
        <w:rPr>
          <w:rFonts w:hint="default" w:ascii="Calibri" w:hAnsi="Calibri" w:cs="Calibri"/>
        </w:rPr>
      </w:pPr>
      <w:r>
        <w:rPr>
          <w:rFonts w:hint="default" w:ascii="Calibri" w:hAnsi="Calibri" w:cs="Calibri"/>
        </w:rPr>
        <w:t>Launch a targeted communication campaign focused on business cardholders who show early signs of delinquency (e.g., missed payments or high credit utilization).</w:t>
      </w:r>
    </w:p>
    <w:p w14:paraId="6D87E8B2">
      <w:pPr>
        <w:numPr>
          <w:ilvl w:val="0"/>
          <w:numId w:val="2"/>
        </w:numPr>
        <w:ind w:left="425" w:leftChars="0" w:hanging="425" w:firstLineChars="0"/>
        <w:rPr>
          <w:rFonts w:hint="default" w:ascii="Calibri" w:hAnsi="Calibri" w:cs="Calibri"/>
          <w:b/>
          <w:bCs/>
        </w:rPr>
      </w:pPr>
      <w:r>
        <w:rPr>
          <w:rFonts w:hint="default" w:ascii="Calibri" w:hAnsi="Calibri" w:cs="Calibri"/>
          <w:b/>
          <w:bCs/>
        </w:rPr>
        <w:t>Measurable:</w:t>
      </w:r>
    </w:p>
    <w:p w14:paraId="3C30B4A9">
      <w:pPr>
        <w:rPr>
          <w:rFonts w:hint="default" w:ascii="Calibri" w:hAnsi="Calibri" w:cs="Calibri"/>
        </w:rPr>
      </w:pPr>
      <w:r>
        <w:rPr>
          <w:rFonts w:hint="default" w:ascii="Calibri" w:hAnsi="Calibri" w:cs="Calibri"/>
        </w:rPr>
        <w:t>Aim to reduce delinquency among business cardholders by 10% within 6 months through proactive outreach and payment plan offers.</w:t>
      </w:r>
    </w:p>
    <w:p w14:paraId="472FCA73">
      <w:pPr>
        <w:numPr>
          <w:ilvl w:val="0"/>
          <w:numId w:val="2"/>
        </w:numPr>
        <w:ind w:left="425" w:leftChars="0" w:hanging="425" w:firstLineChars="0"/>
        <w:rPr>
          <w:rFonts w:hint="default" w:ascii="Calibri" w:hAnsi="Calibri" w:cs="Calibri"/>
          <w:b/>
          <w:bCs/>
        </w:rPr>
      </w:pPr>
      <w:r>
        <w:rPr>
          <w:rFonts w:hint="default" w:ascii="Calibri" w:hAnsi="Calibri" w:cs="Calibri"/>
          <w:b/>
          <w:bCs/>
        </w:rPr>
        <w:t>Actionable:</w:t>
      </w:r>
    </w:p>
    <w:p w14:paraId="2C2C9DFC">
      <w:pPr>
        <w:rPr>
          <w:rFonts w:hint="default" w:ascii="Calibri" w:hAnsi="Calibri" w:cs="Calibri"/>
        </w:rPr>
      </w:pPr>
      <w:r>
        <w:rPr>
          <w:rFonts w:hint="default" w:ascii="Calibri" w:hAnsi="Calibri" w:cs="Calibri"/>
        </w:rPr>
        <w:t>Use SMS/email alerts to remind customers of upcoming payments and offer customized hardship options (e.g., payment deferral or reduced interest plans).</w:t>
      </w:r>
    </w:p>
    <w:p w14:paraId="1E140483">
      <w:pPr>
        <w:numPr>
          <w:ilvl w:val="0"/>
          <w:numId w:val="2"/>
        </w:numPr>
        <w:ind w:left="425" w:leftChars="0" w:hanging="425" w:firstLineChars="0"/>
        <w:rPr>
          <w:rFonts w:hint="default" w:ascii="Calibri" w:hAnsi="Calibri" w:cs="Calibri"/>
          <w:b/>
          <w:bCs/>
        </w:rPr>
      </w:pPr>
      <w:r>
        <w:rPr>
          <w:rFonts w:hint="default" w:ascii="Calibri" w:hAnsi="Calibri" w:cs="Calibri"/>
          <w:b/>
          <w:bCs/>
        </w:rPr>
        <w:t>Relevant:</w:t>
      </w:r>
    </w:p>
    <w:p w14:paraId="328D6683">
      <w:pPr>
        <w:rPr>
          <w:rFonts w:hint="default" w:ascii="Calibri" w:hAnsi="Calibri" w:cs="Calibri"/>
        </w:rPr>
      </w:pPr>
      <w:r>
        <w:rPr>
          <w:rFonts w:hint="default" w:ascii="Calibri" w:hAnsi="Calibri" w:cs="Calibri"/>
        </w:rPr>
        <w:t>This aligns with Geldium’s goal to minimize financial losses and improve customer retention by addressing risk before it escalates.</w:t>
      </w:r>
    </w:p>
    <w:p w14:paraId="29E53D1B">
      <w:pPr>
        <w:numPr>
          <w:ilvl w:val="0"/>
          <w:numId w:val="2"/>
        </w:numPr>
        <w:ind w:left="425" w:leftChars="0" w:hanging="425" w:firstLineChars="0"/>
        <w:rPr>
          <w:rFonts w:hint="default" w:ascii="Calibri" w:hAnsi="Calibri" w:cs="Calibri"/>
          <w:b/>
          <w:bCs/>
        </w:rPr>
      </w:pPr>
      <w:r>
        <w:rPr>
          <w:rFonts w:hint="default" w:ascii="Calibri" w:hAnsi="Calibri" w:cs="Calibri"/>
          <w:b/>
          <w:bCs/>
        </w:rPr>
        <w:t>Time-bound:</w:t>
      </w:r>
    </w:p>
    <w:p w14:paraId="4FD82D86">
      <w:pPr>
        <w:rPr>
          <w:rFonts w:hint="default" w:ascii="Calibri" w:hAnsi="Calibri" w:cs="Calibri"/>
        </w:rPr>
      </w:pPr>
      <w:r>
        <w:rPr>
          <w:rFonts w:hint="default" w:ascii="Calibri" w:hAnsi="Calibri" w:cs="Calibri"/>
        </w:rPr>
        <w:t>Implement the campaign within one month and evaluate its impact after six months using delinquency tracking metrics.</w:t>
      </w:r>
    </w:p>
    <w:p w14:paraId="5BB5D79D">
      <w:pPr>
        <w:rPr>
          <w:rFonts w:hint="default" w:ascii="Calibri" w:hAnsi="Calibri" w:cs="Calibri"/>
        </w:rPr>
      </w:pPr>
    </w:p>
    <w:p w14:paraId="3FC3E889">
      <w:pPr>
        <w:pStyle w:val="4"/>
        <w:bidi w:val="0"/>
        <w:rPr>
          <w:rFonts w:hint="default" w:ascii="Calibri" w:hAnsi="Calibri" w:cs="Calibri"/>
        </w:rPr>
      </w:pPr>
      <w:r>
        <w:rPr>
          <w:rFonts w:hint="default" w:ascii="Calibri" w:hAnsi="Calibri" w:cs="Calibri"/>
        </w:rPr>
        <w:t>Justification and Business Rationale:</w:t>
      </w:r>
    </w:p>
    <w:p w14:paraId="28539937">
      <w:pPr>
        <w:rPr>
          <w:rFonts w:hint="default" w:ascii="Calibri" w:hAnsi="Calibri" w:cs="Calibri"/>
        </w:rPr>
      </w:pPr>
      <w:r>
        <w:rPr>
          <w:rFonts w:hint="default" w:ascii="Calibri" w:hAnsi="Calibri" w:cs="Calibri"/>
        </w:rPr>
        <w:t>Targeting business cardholders allows Geldium to focus resources on the segment with the highest observed delinquency rate. Early interventions can prevent full-blown defaults, improving both customer experience and portfolio performance. This approach is cost-effective and scalable.</w:t>
      </w:r>
    </w:p>
    <w:p w14:paraId="5F8FF054">
      <w:pPr>
        <w:rPr>
          <w:rFonts w:hint="default" w:ascii="Calibri" w:hAnsi="Calibri" w:cs="Calibri"/>
        </w:rPr>
      </w:pPr>
    </w:p>
    <w:p w14:paraId="42F71723">
      <w:pPr>
        <w:pStyle w:val="4"/>
        <w:numPr>
          <w:ilvl w:val="0"/>
          <w:numId w:val="3"/>
        </w:numPr>
        <w:bidi w:val="0"/>
        <w:rPr>
          <w:rFonts w:hint="default" w:ascii="Calibri" w:hAnsi="Calibri" w:cs="Calibri"/>
        </w:rPr>
      </w:pPr>
      <w:r>
        <w:rPr>
          <w:rFonts w:hint="default" w:ascii="Calibri" w:hAnsi="Calibri" w:cs="Calibri"/>
        </w:rPr>
        <w:t>Ethical and Responsible AI Considerations</w:t>
      </w:r>
    </w:p>
    <w:p w14:paraId="5FF3F3B8">
      <w:pPr>
        <w:pStyle w:val="5"/>
        <w:bidi w:val="0"/>
        <w:rPr>
          <w:rFonts w:hint="default" w:ascii="Calibri" w:hAnsi="Calibri" w:cs="Calibri"/>
        </w:rPr>
      </w:pPr>
      <w:r>
        <w:rPr>
          <w:rFonts w:hint="default" w:ascii="Calibri" w:hAnsi="Calibri" w:cs="Calibri"/>
        </w:rPr>
        <w:t>Fairness Risks and Mitigation Strategies:</w:t>
      </w:r>
    </w:p>
    <w:tbl>
      <w:tblPr>
        <w:tblStyle w:val="7"/>
        <w:tblpPr w:leftFromText="180" w:rightFromText="180" w:vertAnchor="text" w:horzAnchor="page" w:tblpX="1823" w:tblpY="41"/>
        <w:tblOverlap w:val="never"/>
        <w:tblW w:w="8788"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61"/>
        <w:gridCol w:w="4427"/>
      </w:tblGrid>
      <w:tr w14:paraId="39220069">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c>
          <w:tcPr>
            <w:tcW w:w="4361" w:type="dxa"/>
            <w:tcBorders>
              <w:top w:val="single" w:color="auto" w:sz="4" w:space="0"/>
              <w:left w:val="single" w:color="auto" w:sz="4" w:space="0"/>
              <w:bottom w:val="single" w:color="auto" w:sz="4" w:space="0"/>
              <w:right w:val="single" w:color="auto" w:sz="4" w:space="0"/>
            </w:tcBorders>
            <w:shd w:val="clear" w:color="auto" w:fill="F7F8FC"/>
            <w:tcMar>
              <w:top w:w="48" w:type="dxa"/>
              <w:left w:w="72" w:type="dxa"/>
              <w:bottom w:w="48" w:type="dxa"/>
              <w:right w:w="72" w:type="dxa"/>
            </w:tcMar>
            <w:vAlign w:val="bottom"/>
          </w:tcPr>
          <w:p w14:paraId="79AF32E2">
            <w:pPr>
              <w:rPr>
                <w:rFonts w:hint="default" w:ascii="Calibri" w:hAnsi="Calibri" w:cs="Calibri"/>
                <w:b/>
                <w:bCs/>
              </w:rPr>
            </w:pPr>
            <w:r>
              <w:rPr>
                <w:rFonts w:hint="default" w:ascii="Calibri" w:hAnsi="Calibri" w:cs="Calibri"/>
                <w:b/>
                <w:bCs/>
                <w:lang w:val="en-US" w:eastAsia="zh-CN"/>
              </w:rPr>
              <w:t>Risk</w:t>
            </w:r>
          </w:p>
        </w:tc>
        <w:tc>
          <w:tcPr>
            <w:tcW w:w="4427" w:type="dxa"/>
            <w:tcBorders>
              <w:top w:val="single" w:color="auto" w:sz="4" w:space="0"/>
              <w:left w:val="single" w:color="auto" w:sz="4" w:space="0"/>
              <w:bottom w:val="single" w:color="auto" w:sz="4" w:space="0"/>
              <w:right w:val="single" w:color="auto" w:sz="4" w:space="0"/>
            </w:tcBorders>
            <w:shd w:val="clear" w:color="auto" w:fill="F7F8FC"/>
            <w:tcMar>
              <w:top w:w="48" w:type="dxa"/>
              <w:left w:w="72" w:type="dxa"/>
              <w:bottom w:w="48" w:type="dxa"/>
              <w:right w:w="72" w:type="dxa"/>
            </w:tcMar>
            <w:vAlign w:val="bottom"/>
          </w:tcPr>
          <w:p w14:paraId="77A7C586">
            <w:pPr>
              <w:rPr>
                <w:rFonts w:hint="default" w:ascii="Calibri" w:hAnsi="Calibri" w:cs="Calibri"/>
                <w:b/>
                <w:bCs/>
              </w:rPr>
            </w:pPr>
            <w:r>
              <w:rPr>
                <w:rFonts w:hint="default" w:ascii="Calibri" w:hAnsi="Calibri" w:cs="Calibri"/>
                <w:b/>
                <w:bCs/>
                <w:lang w:val="en-US" w:eastAsia="zh-CN"/>
              </w:rPr>
              <w:t>Mitigation Strategy</w:t>
            </w:r>
          </w:p>
        </w:tc>
      </w:tr>
      <w:tr w14:paraId="7FFBE0D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4361" w:type="dxa"/>
            <w:tcBorders>
              <w:top w:val="single" w:color="auto" w:sz="4" w:space="0"/>
              <w:left w:val="single" w:color="auto" w:sz="4" w:space="0"/>
              <w:bottom w:val="single" w:color="auto" w:sz="4" w:space="0"/>
              <w:right w:val="single" w:color="auto" w:sz="4" w:space="0"/>
            </w:tcBorders>
            <w:shd w:val="clear" w:color="auto" w:fill="FFFFFF"/>
            <w:tcMar>
              <w:top w:w="72" w:type="dxa"/>
              <w:left w:w="72" w:type="dxa"/>
              <w:bottom w:w="72" w:type="dxa"/>
              <w:right w:w="72" w:type="dxa"/>
            </w:tcMar>
            <w:vAlign w:val="top"/>
          </w:tcPr>
          <w:p w14:paraId="77ABD005">
            <w:pPr>
              <w:rPr>
                <w:rFonts w:hint="default" w:ascii="Calibri" w:hAnsi="Calibri" w:cs="Calibri"/>
              </w:rPr>
            </w:pPr>
            <w:r>
              <w:rPr>
                <w:rFonts w:hint="default" w:ascii="Calibri" w:hAnsi="Calibri" w:cs="Calibri"/>
                <w:lang w:val="en-US" w:eastAsia="zh-CN"/>
              </w:rPr>
              <w:t>Bias in targeting business cardholders: There's a risk that small business owners might be unfairly flagged due to industry-specific challenges.</w:t>
            </w:r>
          </w:p>
        </w:tc>
        <w:tc>
          <w:tcPr>
            <w:tcW w:w="4427" w:type="dxa"/>
            <w:tcBorders>
              <w:top w:val="single" w:color="auto" w:sz="4" w:space="0"/>
              <w:left w:val="single" w:color="auto" w:sz="4" w:space="0"/>
              <w:bottom w:val="single" w:color="auto" w:sz="4" w:space="0"/>
              <w:right w:val="single" w:color="auto" w:sz="4" w:space="0"/>
            </w:tcBorders>
            <w:shd w:val="clear" w:color="auto" w:fill="FFFFFF"/>
            <w:tcMar>
              <w:top w:w="72" w:type="dxa"/>
              <w:left w:w="72" w:type="dxa"/>
              <w:bottom w:w="72" w:type="dxa"/>
              <w:right w:w="72" w:type="dxa"/>
            </w:tcMar>
            <w:vAlign w:val="top"/>
          </w:tcPr>
          <w:p w14:paraId="05D8E99E">
            <w:pPr>
              <w:rPr>
                <w:rFonts w:hint="default" w:ascii="Calibri" w:hAnsi="Calibri" w:cs="Calibri"/>
              </w:rPr>
            </w:pPr>
            <w:r>
              <w:rPr>
                <w:rFonts w:hint="default" w:ascii="Calibri" w:hAnsi="Calibri" w:cs="Calibri"/>
                <w:lang w:val="en-US" w:eastAsia="zh-CN"/>
              </w:rPr>
              <w:t>Regularly review performance across subgroups (e.g., by income level or business size) and adjust thresholds to ensure equitable treatment.</w:t>
            </w:r>
          </w:p>
        </w:tc>
      </w:tr>
      <w:tr w14:paraId="2FD01AF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4361" w:type="dxa"/>
            <w:tcBorders>
              <w:top w:val="single" w:color="auto" w:sz="4" w:space="0"/>
              <w:left w:val="single" w:color="auto" w:sz="4" w:space="0"/>
              <w:bottom w:val="single" w:color="auto" w:sz="4" w:space="0"/>
              <w:right w:val="single" w:color="auto" w:sz="4" w:space="0"/>
            </w:tcBorders>
            <w:shd w:val="clear" w:color="auto" w:fill="FFFFFF"/>
            <w:tcMar>
              <w:top w:w="72" w:type="dxa"/>
              <w:left w:w="72" w:type="dxa"/>
              <w:bottom w:w="72" w:type="dxa"/>
              <w:right w:w="72" w:type="dxa"/>
            </w:tcMar>
            <w:vAlign w:val="top"/>
          </w:tcPr>
          <w:p w14:paraId="1FAB68AD">
            <w:pPr>
              <w:rPr>
                <w:rFonts w:hint="default" w:ascii="Calibri" w:hAnsi="Calibri" w:cs="Calibri"/>
              </w:rPr>
            </w:pPr>
            <w:r>
              <w:rPr>
                <w:rFonts w:hint="default" w:ascii="Calibri" w:hAnsi="Calibri" w:cs="Calibri"/>
                <w:lang w:val="en-US" w:eastAsia="zh-CN"/>
              </w:rPr>
              <w:t>Geographic bias against Los Angeles residents: Economic conditions in LA could skew predictions if not contextualized.</w:t>
            </w:r>
          </w:p>
        </w:tc>
        <w:tc>
          <w:tcPr>
            <w:tcW w:w="4427" w:type="dxa"/>
            <w:tcBorders>
              <w:top w:val="single" w:color="auto" w:sz="4" w:space="0"/>
              <w:left w:val="single" w:color="auto" w:sz="4" w:space="0"/>
              <w:bottom w:val="single" w:color="auto" w:sz="4" w:space="0"/>
              <w:right w:val="single" w:color="auto" w:sz="4" w:space="0"/>
            </w:tcBorders>
            <w:shd w:val="clear" w:color="auto" w:fill="FFFFFF"/>
            <w:tcMar>
              <w:top w:w="72" w:type="dxa"/>
              <w:left w:w="72" w:type="dxa"/>
              <w:bottom w:w="72" w:type="dxa"/>
              <w:right w:w="72" w:type="dxa"/>
            </w:tcMar>
            <w:vAlign w:val="top"/>
          </w:tcPr>
          <w:p w14:paraId="3C0EE002">
            <w:pPr>
              <w:rPr>
                <w:rFonts w:hint="default" w:ascii="Calibri" w:hAnsi="Calibri" w:cs="Calibri"/>
              </w:rPr>
            </w:pPr>
            <w:r>
              <w:rPr>
                <w:rFonts w:hint="default" w:ascii="Calibri" w:hAnsi="Calibri" w:cs="Calibri"/>
                <w:lang w:val="en-US" w:eastAsia="zh-CN"/>
              </w:rPr>
              <w:t>Monitor outcomes for regional differences and include socioeconomic indicators in future models to avoid overgeneralization.</w:t>
            </w:r>
          </w:p>
        </w:tc>
      </w:tr>
    </w:tbl>
    <w:p w14:paraId="5692CFD8">
      <w:pPr>
        <w:rPr>
          <w:rFonts w:hint="default" w:ascii="Calibri" w:hAnsi="Calibri" w:cs="Calibri"/>
        </w:rPr>
      </w:pPr>
    </w:p>
    <w:p w14:paraId="2DF47100">
      <w:pPr>
        <w:pStyle w:val="5"/>
        <w:bidi w:val="0"/>
        <w:rPr>
          <w:rFonts w:hint="default" w:ascii="Calibri" w:hAnsi="Calibri" w:cs="Calibri"/>
        </w:rPr>
      </w:pPr>
      <w:r>
        <w:rPr>
          <w:rFonts w:hint="default" w:ascii="Calibri" w:hAnsi="Calibri" w:cs="Calibri"/>
        </w:rPr>
        <w:t>Model Explainability for Non-Technical Stakeholders:</w:t>
      </w:r>
    </w:p>
    <w:p w14:paraId="1EF52A85">
      <w:pPr>
        <w:rPr>
          <w:rFonts w:hint="default" w:ascii="Calibri" w:hAnsi="Calibri" w:cs="Calibri"/>
        </w:rPr>
      </w:pPr>
      <w:r>
        <w:rPr>
          <w:rFonts w:hint="default" w:ascii="Calibri" w:hAnsi="Calibri" w:cs="Calibri"/>
        </w:rPr>
        <w:t>The model identifies patterns in historical customer behavior—such as missed payments, employment status, and location—to estimate the likelihood of future delinquency. These patterns help us target support where it's most needed , without relying on guesswork.</w:t>
      </w:r>
    </w:p>
    <w:p w14:paraId="566B3528">
      <w:pPr>
        <w:rPr>
          <w:rFonts w:hint="default" w:ascii="Calibri" w:hAnsi="Calibri" w:cs="Calibri"/>
        </w:rPr>
      </w:pPr>
    </w:p>
    <w:p w14:paraId="3E23AA87">
      <w:pPr>
        <w:pStyle w:val="5"/>
        <w:bidi w:val="0"/>
        <w:rPr>
          <w:rFonts w:hint="default" w:ascii="Calibri" w:hAnsi="Calibri" w:cs="Calibri"/>
        </w:rPr>
      </w:pPr>
      <w:r>
        <w:rPr>
          <w:rFonts w:hint="default" w:ascii="Calibri" w:hAnsi="Calibri" w:cs="Calibri"/>
        </w:rPr>
        <w:t>Promoting Responsible AI Use:</w:t>
      </w:r>
    </w:p>
    <w:p w14:paraId="4A173B61">
      <w:pPr>
        <w:rPr>
          <w:rFonts w:hint="default" w:ascii="Calibri" w:hAnsi="Calibri" w:cs="Calibri"/>
        </w:rPr>
      </w:pPr>
      <w:r>
        <w:rPr>
          <w:rFonts w:hint="default" w:ascii="Calibri" w:hAnsi="Calibri" w:cs="Calibri"/>
        </w:rPr>
        <w:t>We are committed to ensuring that our model supports fair and transparent decision-making. By regularly auditing for bias, explaining predictions clearly, and giving affected customers opportunities to seek clarification or assistance, we uphold ethical standards while improving business outcomes.</w:t>
      </w:r>
    </w:p>
    <w:p w14:paraId="442E0B39">
      <w:pPr>
        <w:rPr>
          <w:rFonts w:hint="default" w:ascii="Calibri" w:hAnsi="Calibri" w:cs="Calibri"/>
        </w:rPr>
      </w:pPr>
    </w:p>
    <w:p w14:paraId="6613BA9C">
      <w:pPr>
        <w:rPr>
          <w:rFonts w:hint="default" w:ascii="Calibri" w:hAnsi="Calibri" w:cs="Calibri"/>
        </w:rPr>
      </w:pPr>
      <w:r>
        <w:rPr>
          <w:rFonts w:hint="default" w:ascii="Calibri" w:hAnsi="Calibri" w:cs="Calibri"/>
        </w:rPr>
        <w:t>End of Report</w:t>
      </w:r>
      <w:bookmarkStart w:id="0" w:name="_GoBack"/>
      <w:bookmarkEnd w:id="0"/>
      <w:r>
        <w:rPr>
          <w:rFonts w:hint="default" w:ascii="Calibri" w:hAnsi="Calibri" w:cs="Calibri"/>
        </w:rPr>
        <w:br w:type="textWrapping"/>
      </w:r>
      <w:r>
        <w:rPr>
          <w:rFonts w:hint="default" w:ascii="Calibri" w:hAnsi="Calibri" w:cs="Calibri"/>
        </w:rPr>
        <w:t>Prepared for: Head of Collections, Geldium</w:t>
      </w:r>
      <w:r>
        <w:rPr>
          <w:rFonts w:hint="default" w:ascii="Calibri" w:hAnsi="Calibri" w:cs="Calibri"/>
        </w:rPr>
        <w:br w:type="textWrapping"/>
      </w:r>
      <w:r>
        <w:rPr>
          <w:rFonts w:hint="default" w:ascii="Calibri" w:hAnsi="Calibri" w:cs="Calibri"/>
        </w:rPr>
        <w:t>Date: April 2025</w:t>
      </w:r>
    </w:p>
    <w:p w14:paraId="66A66C4D">
      <w:pPr>
        <w:rPr>
          <w:rFonts w:hint="default" w:ascii="Calibri" w:hAnsi="Calibri" w:cs="Calibri"/>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otoSansH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7F42B6"/>
    <w:multiLevelType w:val="singleLevel"/>
    <w:tmpl w:val="DC7F42B6"/>
    <w:lvl w:ilvl="0" w:tentative="0">
      <w:start w:val="3"/>
      <w:numFmt w:val="decimal"/>
      <w:suff w:val="space"/>
      <w:lvlText w:val="%1."/>
      <w:lvlJc w:val="left"/>
    </w:lvl>
  </w:abstractNum>
  <w:abstractNum w:abstractNumId="1">
    <w:nsid w:val="E83F6398"/>
    <w:multiLevelType w:val="singleLevel"/>
    <w:tmpl w:val="E83F6398"/>
    <w:lvl w:ilvl="0" w:tentative="0">
      <w:start w:val="1"/>
      <w:numFmt w:val="decimal"/>
      <w:lvlText w:val="%1."/>
      <w:lvlJc w:val="left"/>
      <w:pPr>
        <w:tabs>
          <w:tab w:val="left" w:pos="425"/>
        </w:tabs>
        <w:ind w:left="425" w:leftChars="0" w:hanging="425" w:firstLineChars="0"/>
      </w:pPr>
      <w:rPr>
        <w:rFonts w:hint="default"/>
      </w:rPr>
    </w:lvl>
  </w:abstractNum>
  <w:abstractNum w:abstractNumId="2">
    <w:nsid w:val="01562A61"/>
    <w:multiLevelType w:val="singleLevel"/>
    <w:tmpl w:val="01562A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B3248"/>
    <w:rsid w:val="1A0B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2025-06-16T22:09:00Z</dcterms:created>
  <dc:creator>fouzi</dc:creator>
  <cp:lastModifiedBy>Fouzia Ashfaq</cp:lastModifiedBy>
  <dcterms:modified xsi:type="dcterms:W3CDTF">2025-06-16T22:18:44Z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1F16C60C9E7248B38EE0108AA36D19D8_11</vt:lpwstr>
  </property>
</Properties>
</file>