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4.png" ContentType="image/png"/>
  <Override PartName="/word/media/rId108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30.png" ContentType="image/png"/>
  <Override PartName="/word/media/rId142.png" ContentType="image/png"/>
  <Override PartName="/word/media/rId146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Мутаев Муртазаали Магомедович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pStyle w:val="Compact"/>
        <w:numPr>
          <w:ilvl w:val="1"/>
          <w:numId w:val="1002"/>
        </w:numPr>
      </w:pPr>
      <w:r>
        <w:t xml:space="preserve">Работа с данными программы в GDB</w:t>
      </w:r>
    </w:p>
    <w:p>
      <w:pPr>
        <w:pStyle w:val="Compact"/>
        <w:numPr>
          <w:ilvl w:val="1"/>
          <w:numId w:val="1002"/>
        </w:numPr>
      </w:pPr>
      <w:r>
        <w:t xml:space="preserve">Обработка аргументов командной строки в GDB</w:t>
      </w:r>
    </w:p>
    <w:p>
      <w:pPr>
        <w:pStyle w:val="Compact"/>
        <w:numPr>
          <w:ilvl w:val="0"/>
          <w:numId w:val="1002"/>
        </w:numPr>
      </w:pPr>
      <w:r>
        <w:t xml:space="preserve">Задания для самостоятельной работы</w:t>
      </w:r>
    </w:p>
    <w:bookmarkEnd w:id="21"/>
    <w:bookmarkStart w:id="15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По базе сначала создаем файл lab9-1.asm в каталоге work/arch-pc/lab09</w:t>
      </w:r>
    </w:p>
    <w:p>
      <w:pPr>
        <w:pStyle w:val="BodyTex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rPr>
          <w:i/>
          <w:iCs/>
        </w:rPr>
        <w:t xml:space="preserve">f(x) = 2x + 7</w:t>
      </w:r>
      <w:r>
        <w:t xml:space="preserve"> </w:t>
      </w:r>
      <w:r>
        <w:t xml:space="preserve">с помощью подпрограммы _calcul. В данном примере x вводится с клавиатуры, а само выражение вычисляется в подпрограмме. Воспользуемся кодом из Листинга 9.1 (рис. 1):</w:t>
      </w:r>
    </w:p>
    <w:bookmarkStart w:id="25" w:name="fig:001"/>
    <w:p>
      <w:pPr>
        <w:pStyle w:val="CaptionedFigure"/>
      </w:pPr>
      <w:r>
        <w:drawing>
          <wp:inline>
            <wp:extent cx="3733800" cy="2429052"/>
            <wp:effectExtent b="0" l="0" r="0" t="0"/>
            <wp:docPr descr="Рис. 1: Листинг 9.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Листинг 9.1</w:t>
      </w:r>
    </w:p>
    <w:bookmarkEnd w:id="25"/>
    <w:p>
      <w:pPr>
        <w:pStyle w:val="BodyText"/>
      </w:pPr>
      <w:r>
        <w:t xml:space="preserve">Вот такой результат у меня получился (рис. 2):</w:t>
      </w:r>
    </w:p>
    <w:bookmarkStart w:id="29" w:name="fig:002"/>
    <w:p>
      <w:pPr>
        <w:pStyle w:val="CaptionedFigure"/>
      </w:pPr>
      <w:r>
        <w:drawing>
          <wp:inline>
            <wp:extent cx="3733800" cy="600464"/>
            <wp:effectExtent b="0" l="0" r="0" t="0"/>
            <wp:docPr descr="Рис. 2: Результат Листинга 9.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Результат Листинга 9.1</w:t>
      </w:r>
    </w:p>
    <w:bookmarkEnd w:id="29"/>
    <w:p>
      <w:pPr>
        <w:pStyle w:val="BodyText"/>
      </w:pPr>
      <w:r>
        <w:t xml:space="preserve">Попробуем изменить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pStyle w:val="BodyText"/>
      </w:pPr>
      <w:r>
        <w:t xml:space="preserve">Вот такая программа у меня получилась (рис. 3):</w:t>
      </w:r>
    </w:p>
    <w:bookmarkStart w:id="33" w:name="fig:003"/>
    <w:p>
      <w:pPr>
        <w:pStyle w:val="CaptionedFigure"/>
      </w:pPr>
      <w:r>
        <w:drawing>
          <wp:inline>
            <wp:extent cx="3733800" cy="2757956"/>
            <wp:effectExtent b="0" l="0" r="0" t="0"/>
            <wp:docPr descr="Рис. 3: Измененный Листинг 9.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Измененный Листинг 9.1</w:t>
      </w:r>
    </w:p>
    <w:bookmarkEnd w:id="33"/>
    <w:p>
      <w:pPr>
        <w:pStyle w:val="BodyText"/>
      </w:pPr>
      <w:r>
        <w:t xml:space="preserve">У меня получился такой результат (рис. 4):</w:t>
      </w:r>
    </w:p>
    <w:bookmarkStart w:id="37" w:name="fig:004"/>
    <w:p>
      <w:pPr>
        <w:pStyle w:val="CaptionedFigure"/>
      </w:pPr>
      <w:r>
        <w:drawing>
          <wp:inline>
            <wp:extent cx="3733800" cy="592666"/>
            <wp:effectExtent b="0" l="0" r="0" t="0"/>
            <wp:docPr descr="Рис. 4: Результат измененного Листинга 9.1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 измененного Листинга 9.1</w:t>
      </w:r>
    </w:p>
    <w:bookmarkEnd w:id="37"/>
    <w:p>
      <w:pPr>
        <w:pStyle w:val="BodyText"/>
      </w:pPr>
      <w:r>
        <w:t xml:space="preserve">Как мы видим, результат получился верным, значит программа написана правильно.</w:t>
      </w:r>
    </w:p>
    <w:bookmarkEnd w:id="38"/>
    <w:bookmarkStart w:id="113" w:name="отладка-програм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Воспользуемся кодом из Листинга 9.2 (программы для вывода Hello world!) (рис. 5):</w:t>
      </w:r>
    </w:p>
    <w:bookmarkStart w:id="42" w:name="fig:005"/>
    <w:p>
      <w:pPr>
        <w:pStyle w:val="CaptionedFigure"/>
      </w:pPr>
      <w:r>
        <w:drawing>
          <wp:inline>
            <wp:extent cx="3733800" cy="2323987"/>
            <wp:effectExtent b="0" l="0" r="0" t="0"/>
            <wp:docPr descr="Рис. 5: Листинг 9.2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Листинг 9.2</w:t>
      </w:r>
    </w:p>
    <w:bookmarkEnd w:id="42"/>
    <w:p>
      <w:pPr>
        <w:pStyle w:val="BodyText"/>
      </w:pPr>
      <w:r>
        <w:t xml:space="preserve">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‘-g’</w:t>
      </w:r>
      <w:r>
        <w:t xml:space="preserve">. После этого я загрузил исполняемый файл в отладчик gdb и запустил его (рис. 6):</w:t>
      </w:r>
    </w:p>
    <w:bookmarkStart w:id="46" w:name="fig:006"/>
    <w:p>
      <w:pPr>
        <w:pStyle w:val="CaptionedFigure"/>
      </w:pPr>
      <w:r>
        <w:drawing>
          <wp:inline>
            <wp:extent cx="3733800" cy="2411213"/>
            <wp:effectExtent b="0" l="0" r="0" t="0"/>
            <wp:docPr descr="Рис. 6: Отладчик gdb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Отладчик gdb</w:t>
      </w:r>
    </w:p>
    <w:bookmarkEnd w:id="46"/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 (рис. 7):</w:t>
      </w:r>
    </w:p>
    <w:bookmarkStart w:id="50" w:name="fig:007"/>
    <w:p>
      <w:pPr>
        <w:pStyle w:val="CaptionedFigure"/>
      </w:pPr>
      <w:r>
        <w:drawing>
          <wp:inline>
            <wp:extent cx="3733800" cy="1161400"/>
            <wp:effectExtent b="0" l="0" r="0" t="0"/>
            <wp:docPr descr="Рис. 7: Breakpoint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Breakpoint</w:t>
      </w:r>
    </w:p>
    <w:bookmarkEnd w:id="50"/>
    <w:p>
      <w:pPr>
        <w:pStyle w:val="BodyText"/>
      </w:pPr>
      <w:r>
        <w:t xml:space="preserve">Далее просмотрим дисассимилированный код программы с помощью команды disassemble начиная с метки _start (рис. 8):</w:t>
      </w:r>
    </w:p>
    <w:bookmarkStart w:id="54" w:name="fig:008"/>
    <w:p>
      <w:pPr>
        <w:pStyle w:val="CaptionedFigure"/>
      </w:pPr>
      <w:r>
        <w:drawing>
          <wp:inline>
            <wp:extent cx="3733800" cy="2733286"/>
            <wp:effectExtent b="0" l="0" r="0" t="0"/>
            <wp:docPr descr="Рис. 8: Дисассимпилированный код AT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Дисассимпилированный код ATT</w:t>
      </w:r>
    </w:p>
    <w:bookmarkEnd w:id="54"/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 (рис. 9):</w:t>
      </w:r>
    </w:p>
    <w:bookmarkStart w:id="58" w:name="fig:009"/>
    <w:p>
      <w:pPr>
        <w:pStyle w:val="CaptionedFigure"/>
      </w:pPr>
      <w:r>
        <w:drawing>
          <wp:inline>
            <wp:extent cx="3733800" cy="2896042"/>
            <wp:effectExtent b="0" l="0" r="0" t="0"/>
            <wp:docPr descr="Рис. 9: Дисассимпилированный код Intel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Дисассимпилированный код Intel</w:t>
      </w:r>
    </w:p>
    <w:bookmarkEnd w:id="58"/>
    <w:p>
      <w:pPr>
        <w:pStyle w:val="BodyText"/>
      </w:pPr>
      <w:r>
        <w:t xml:space="preserve">Есть некоторые различия в отображениях в этих режимах, а именно в виде колонки с текстом программы: в ATT’e она выглядит, как</w:t>
      </w:r>
      <w:r>
        <w:t xml:space="preserve"> </w:t>
      </w:r>
      <w:r>
        <w:rPr>
          <w:i/>
          <w:iCs/>
        </w:rPr>
        <w:t xml:space="preserve">“$0x{операнд},%{регистер}”</w:t>
      </w:r>
      <w:r>
        <w:t xml:space="preserve">, а в Intel -</w:t>
      </w:r>
      <w:r>
        <w:t xml:space="preserve"> </w:t>
      </w:r>
      <w:r>
        <w:rPr>
          <w:i/>
          <w:iCs/>
        </w:rPr>
        <w:t xml:space="preserve">“{регистер},0х{операнд}”</w:t>
      </w:r>
    </w:p>
    <w:p>
      <w:pPr>
        <w:pStyle w:val="BodyText"/>
      </w:pPr>
      <w:r>
        <w:t xml:space="preserve">Теперь включим режим псевдографики для более удобного анализа программы:</w:t>
      </w:r>
    </w:p>
    <w:bookmarkStart w:id="62" w:name="fig:010"/>
    <w:p>
      <w:pPr>
        <w:pStyle w:val="CaptionedFigure"/>
      </w:pPr>
      <w:r>
        <w:drawing>
          <wp:inline>
            <wp:extent cx="3733800" cy="1591455"/>
            <wp:effectExtent b="0" l="0" r="0" t="0"/>
            <wp:docPr descr="Рис. 10: Псевдографика asm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Псевдографика asm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1592883"/>
            <wp:effectExtent b="0" l="0" r="0" t="0"/>
            <wp:docPr descr="Рис. 11: Псевдографика regs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Псевдографика regs</w:t>
      </w:r>
    </w:p>
    <w:bookmarkEnd w:id="66"/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или как номер строки программы (имеет смысл, если есть исходный файл, а программа компилировалась с информацией об отладке), или как имя метки,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Проверим это с помощью команды info breakpoints (кратко i b) (рис. 12):</w:t>
      </w:r>
    </w:p>
    <w:bookmarkStart w:id="70" w:name="fig:012"/>
    <w:p>
      <w:pPr>
        <w:pStyle w:val="CaptionedFigure"/>
      </w:pPr>
      <w:r>
        <w:drawing>
          <wp:inline>
            <wp:extent cx="3733800" cy="565115"/>
            <wp:effectExtent b="0" l="0" r="0" t="0"/>
            <wp:docPr descr="Рис. 12: Точки останов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Точки останова</w:t>
      </w:r>
    </w:p>
    <w:bookmarkEnd w:id="70"/>
    <w:p>
      <w:pPr>
        <w:pStyle w:val="BodyText"/>
      </w:pP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 инструкции</w:t>
      </w:r>
    </w:p>
    <w:p>
      <w:pPr>
        <w:pStyle w:val="BodyText"/>
      </w:pPr>
      <w:r>
        <w:t xml:space="preserve">Определим адрес предпоследней инструкции (mov ebx,0x0) и установим точку останова (рис. 13):</w:t>
      </w:r>
    </w:p>
    <w:bookmarkStart w:id="74" w:name="fig:013"/>
    <w:p>
      <w:pPr>
        <w:pStyle w:val="CaptionedFigure"/>
      </w:pPr>
      <w:r>
        <w:drawing>
          <wp:inline>
            <wp:extent cx="3733800" cy="2367137"/>
            <wp:effectExtent b="0" l="0" r="0" t="0"/>
            <wp:docPr descr="Рис. 13: Установка нового брейкпоинт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нового брейкпоинта</w:t>
      </w:r>
    </w:p>
    <w:bookmarkEnd w:id="74"/>
    <w:p>
      <w:pPr>
        <w:pStyle w:val="BodyText"/>
      </w:pPr>
      <w:r>
        <w:t xml:space="preserve">Адрес инструкции находился в средней части экрана в левом столбце соответствующей инструкции. Можно заметить, что слева от адреса появился значок</w:t>
      </w:r>
      <w:r>
        <w:t xml:space="preserve"> </w:t>
      </w:r>
      <w:r>
        <w:rPr>
          <w:i/>
          <w:iCs/>
        </w:rPr>
        <w:t xml:space="preserve">b+</w:t>
      </w:r>
      <w:r>
        <w:t xml:space="preserve">. Вероятно он означает, что здесь поставлен брейкпоинт.</w:t>
      </w:r>
    </w:p>
    <w:p>
      <w:pPr>
        <w:pStyle w:val="BodyText"/>
      </w:pPr>
      <w:r>
        <w:t xml:space="preserve">Теперь снова посмотрим информацию о всех установленных точках останова (рис. 14):</w:t>
      </w:r>
    </w:p>
    <w:bookmarkStart w:id="78" w:name="fig:014"/>
    <w:p>
      <w:pPr>
        <w:pStyle w:val="CaptionedFigure"/>
      </w:pPr>
      <w:r>
        <w:drawing>
          <wp:inline>
            <wp:extent cx="3733800" cy="2367137"/>
            <wp:effectExtent b="0" l="0" r="0" t="0"/>
            <wp:docPr descr="Рис. 14: Информация о брейкпоинтах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Информация о брейкпоинтах</w:t>
      </w:r>
    </w:p>
    <w:bookmarkEnd w:id="78"/>
    <w:p>
      <w:pPr>
        <w:pStyle w:val="BodyText"/>
      </w:pPr>
      <w:r>
        <w:t xml:space="preserve">Как мы видим, информация обновилась.</w:t>
      </w:r>
    </w:p>
    <w:bookmarkStart w:id="103" w:name="работа-с-данными-программы-в-gdb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Посмотрим содержимое регистров также можно с помощью команды info registers (рис. 15):</w:t>
      </w:r>
    </w:p>
    <w:bookmarkStart w:id="82" w:name="fig:015"/>
    <w:p>
      <w:pPr>
        <w:pStyle w:val="CaptionedFigure"/>
      </w:pPr>
      <w:r>
        <w:drawing>
          <wp:inline>
            <wp:extent cx="3733800" cy="992738"/>
            <wp:effectExtent b="0" l="0" r="0" t="0"/>
            <wp:docPr descr="Рис. 15: Содержимое регистр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Содержимое регистров</w:t>
      </w:r>
    </w:p>
    <w:bookmarkEnd w:id="82"/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 выдаёт содержимое ячейки памяти по указанному адресу. Формат, в котором выводятся данные, можно задать после имени команды через косую черту: x/NFU</w:t>
      </w:r>
      <w:r>
        <w:t xml:space="preserve"> </w:t>
      </w:r>
      <w:r>
        <w:t xml:space="preserve">. С помощью команды x &amp;</w:t>
      </w:r>
      <w:r>
        <w:t xml:space="preserve"> </w:t>
      </w:r>
      <w:r>
        <w:t xml:space="preserve">также можно посмотреть содержимое переменной. Посмотрим значение перменной msg1 по имени (рис. 16):</w:t>
      </w:r>
    </w:p>
    <w:bookmarkStart w:id="86" w:name="fig:016"/>
    <w:p>
      <w:pPr>
        <w:pStyle w:val="CaptionedFigure"/>
      </w:pPr>
      <w:r>
        <w:drawing>
          <wp:inline>
            <wp:extent cx="3733800" cy="409183"/>
            <wp:effectExtent b="0" l="0" r="0" t="0"/>
            <wp:docPr descr="Рис. 16: Значение переменной msg1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Значение переменной msg1</w:t>
      </w:r>
    </w:p>
    <w:bookmarkEnd w:id="86"/>
    <w:p>
      <w:pPr>
        <w:pStyle w:val="BodyText"/>
      </w:pPr>
      <w:r>
        <w:t xml:space="preserve">Посмотрим значение переменной msg2 по адресу. Адрес переменной можно определить по дизассемблированной инструкции. Посмотрите инструкцию mov ecx,msg2 которая записывает в регистр ecx адрес перемененной msg2 (рис. 17):</w:t>
      </w:r>
    </w:p>
    <w:bookmarkStart w:id="90" w:name="fig:017"/>
    <w:p>
      <w:pPr>
        <w:pStyle w:val="CaptionedFigure"/>
      </w:pPr>
      <w:r>
        <w:drawing>
          <wp:inline>
            <wp:extent cx="3733800" cy="476434"/>
            <wp:effectExtent b="0" l="0" r="0" t="0"/>
            <wp:docPr descr="Рис. 17: Значение переменной msg2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Значение переменной msg2</w:t>
      </w:r>
    </w:p>
    <w:bookmarkEnd w:id="90"/>
    <w:p>
      <w:pPr>
        <w:pStyle w:val="BodyText"/>
      </w:pPr>
      <w:r>
        <w:t xml:space="preserve">Изменить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</w:t>
      </w:r>
    </w:p>
    <w:p>
      <w:pPr>
        <w:pStyle w:val="BodyText"/>
      </w:pPr>
      <w:r>
        <w:t xml:space="preserve">Изменим первый символ переменной msg1 (рис. 18):</w:t>
      </w:r>
    </w:p>
    <w:bookmarkStart w:id="94" w:name="fig:018"/>
    <w:p>
      <w:pPr>
        <w:pStyle w:val="CaptionedFigure"/>
      </w:pPr>
      <w:r>
        <w:drawing>
          <wp:inline>
            <wp:extent cx="3733800" cy="476434"/>
            <wp:effectExtent b="0" l="0" r="0" t="0"/>
            <wp:docPr descr="Рис. 18: Изменение символа msg1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символа msg1</w:t>
      </w:r>
    </w:p>
    <w:bookmarkEnd w:id="94"/>
    <w:p>
      <w:pPr>
        <w:pStyle w:val="BodyText"/>
      </w:pPr>
      <w:r>
        <w:t xml:space="preserve">Заменим любой символ в переменной msg2 (рис. 19):</w:t>
      </w:r>
    </w:p>
    <w:bookmarkStart w:id="98" w:name="fig:019"/>
    <w:p>
      <w:pPr>
        <w:pStyle w:val="CaptionedFigure"/>
      </w:pPr>
      <w:r>
        <w:drawing>
          <wp:inline>
            <wp:extent cx="3733800" cy="476434"/>
            <wp:effectExtent b="0" l="0" r="0" t="0"/>
            <wp:docPr descr="Рис. 19: Изменение символа msg2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символа msg2</w:t>
      </w:r>
    </w:p>
    <w:bookmarkEnd w:id="98"/>
    <w:p>
      <w:pPr>
        <w:pStyle w:val="BodyText"/>
      </w:pPr>
      <w:r>
        <w:t xml:space="preserve">Поздравляю, теперь наша программа задает вопрос</w:t>
      </w:r>
      <w:r>
        <w:t xml:space="preserve"> </w:t>
      </w:r>
      <w:r>
        <w:t xml:space="preserve">“hello, World?”</w:t>
      </w:r>
    </w:p>
    <w:p>
      <w:pPr>
        <w:pStyle w:val="BodyText"/>
      </w:pPr>
      <w:r>
        <w:t xml:space="preserve">Далее изменим значение регистра ebx и выведемОбработка аргументов командной строки в GDB его значение с помощью print (рис. 20):</w:t>
      </w:r>
    </w:p>
    <w:bookmarkStart w:id="102" w:name="fig:020"/>
    <w:p>
      <w:pPr>
        <w:pStyle w:val="CaptionedFigure"/>
      </w:pPr>
      <w:r>
        <w:drawing>
          <wp:inline>
            <wp:extent cx="3733800" cy="818225"/>
            <wp:effectExtent b="0" l="0" r="0" t="0"/>
            <wp:docPr descr="Рис. 20: Print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Print</w:t>
      </w:r>
    </w:p>
    <w:bookmarkEnd w:id="102"/>
    <w:p>
      <w:pPr>
        <w:pStyle w:val="BodyText"/>
      </w:pPr>
      <w:r>
        <w:t xml:space="preserve">Можно заметить разницу, в зависимости от введенного значения. В первом случае мы в ebx записываем символ</w:t>
      </w:r>
      <w:r>
        <w:t xml:space="preserve"> </w:t>
      </w:r>
      <w:r>
        <w:t xml:space="preserve">“2”</w:t>
      </w:r>
      <w:r>
        <w:t xml:space="preserve">, поэтому принт выводит номер этого символа в таблице ASCII, а во втором случае мы присваеваем ebx значение 2, поэтому он выводит 2.</w:t>
      </w:r>
    </w:p>
    <w:bookmarkEnd w:id="103"/>
    <w:bookmarkStart w:id="112" w:name="X34484a9d02dddcc072527afae661c9b27116987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 в нашу папку и назовем ее lab09-3.asm. Создадим исполняемый файл и загрузим в gdb программу. Для загрузки в gdb программы с аргументами необходимо использовать ключ –args (рис. 21):</w:t>
      </w:r>
    </w:p>
    <w:bookmarkStart w:id="107" w:name="fig:021"/>
    <w:p>
      <w:pPr>
        <w:pStyle w:val="CaptionedFigure"/>
      </w:pPr>
      <w:r>
        <w:drawing>
          <wp:inline>
            <wp:extent cx="3733800" cy="2185386"/>
            <wp:effectExtent b="0" l="0" r="0" t="0"/>
            <wp:docPr descr="Рис. 21: Загрузка программы с аргументами в GDB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Загрузка программы с аргументами в GDB</w:t>
      </w:r>
    </w:p>
    <w:bookmarkEnd w:id="107"/>
    <w:p>
      <w:pPr>
        <w:pStyle w:val="BodyText"/>
      </w:pPr>
      <w:r>
        <w:t xml:space="preserve">Как отмечалось в предыдущей лабораторной работе, при запуске программы аргументы командной строки загружаются в стек. Исследуем расположение аргументов командной строки в стеке после запуска программы с помощью gdb. Адрес вершины стека храниться в регистре esp и по этому адресу располагается число равное количеству аргументов командной строки (рис. 22)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 аргументы: аргумент1, аргумент, 2 и</w:t>
      </w:r>
      <w:r>
        <w:t xml:space="preserve"> </w:t>
      </w:r>
      <w:r>
        <w:t xml:space="preserve">‘аргумент 3’</w:t>
      </w:r>
      <w:r>
        <w:t xml:space="preserve">. Посмотрим остальные позиции стека – по адесу [esp+4] располагается адрес в памяти где находиться имя программы, по адесу [esp+8] храниться адрес первого аргумента, по адресу [esp+12] – второго и т.д</w:t>
      </w:r>
    </w:p>
    <w:bookmarkStart w:id="111" w:name="fig:022"/>
    <w:p>
      <w:pPr>
        <w:pStyle w:val="CaptionedFigure"/>
      </w:pPr>
      <w:r>
        <w:drawing>
          <wp:inline>
            <wp:extent cx="3733800" cy="2750947"/>
            <wp:effectExtent b="0" l="0" r="0" t="0"/>
            <wp:docPr descr="Рис. 22: Изучение стека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Изучение стека</w:t>
      </w:r>
    </w:p>
    <w:bookmarkEnd w:id="111"/>
    <w:p>
      <w:pPr>
        <w:pStyle w:val="BodyText"/>
      </w:pPr>
      <w:r>
        <w:t xml:space="preserve">Предполагаю, что шаг изменения адреса равен 4, потому что на каждый аргумент выделено 4 байта.</w:t>
      </w:r>
    </w:p>
    <w:bookmarkEnd w:id="112"/>
    <w:bookmarkEnd w:id="113"/>
    <w:bookmarkStart w:id="150" w:name="задания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Задания для самостоятельной работы</w:t>
      </w:r>
    </w:p>
    <w:p>
      <w:pPr>
        <w:pStyle w:val="Compact"/>
        <w:numPr>
          <w:ilvl w:val="0"/>
          <w:numId w:val="1003"/>
        </w:numPr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FirstParagraph"/>
      </w:pPr>
      <w:r>
        <w:t xml:space="preserve">Легко! Просто переносим часть с нахождением значения f(x) в подпрограмму. Вот код, который у меня получился (рис. 23):</w:t>
      </w:r>
    </w:p>
    <w:bookmarkStart w:id="117" w:name="fig:023"/>
    <w:p>
      <w:pPr>
        <w:pStyle w:val="CaptionedFigure"/>
      </w:pPr>
      <w:r>
        <w:drawing>
          <wp:inline>
            <wp:extent cx="3733800" cy="1680734"/>
            <wp:effectExtent b="0" l="0" r="0" t="0"/>
            <wp:docPr descr="Рис. 23: Самостоятельная работа 1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Самостоятельная работа 1</w:t>
      </w:r>
    </w:p>
    <w:bookmarkEnd w:id="117"/>
    <w:p>
      <w:pPr>
        <w:pStyle w:val="BodyText"/>
      </w:pPr>
      <w:r>
        <w:t xml:space="preserve">А вот результат (рис. 24):</w:t>
      </w:r>
    </w:p>
    <w:bookmarkStart w:id="121" w:name="fig:024"/>
    <w:p>
      <w:pPr>
        <w:pStyle w:val="CaptionedFigure"/>
      </w:pPr>
      <w:r>
        <w:drawing>
          <wp:inline>
            <wp:extent cx="3733800" cy="711953"/>
            <wp:effectExtent b="0" l="0" r="0" t="0"/>
            <wp:docPr descr="Рис. 24: Результат самостоятельная работа 1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Результат самостоятельная работа 1</w:t>
      </w:r>
    </w:p>
    <w:bookmarkEnd w:id="121"/>
    <w:p>
      <w:pPr>
        <w:pStyle w:val="Compact"/>
        <w:numPr>
          <w:ilvl w:val="0"/>
          <w:numId w:val="1004"/>
        </w:numPr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>
      <w:pPr>
        <w:pStyle w:val="FirstParagraph"/>
      </w:pPr>
      <w:r>
        <w:t xml:space="preserve">Ответ действительно неправильный: программа должна выводить 25, а выводит 10</w:t>
      </w:r>
    </w:p>
    <w:bookmarkStart w:id="125" w:name="fig:025"/>
    <w:p>
      <w:pPr>
        <w:pStyle w:val="CaptionedFigure"/>
      </w:pPr>
      <w:r>
        <w:drawing>
          <wp:inline>
            <wp:extent cx="3733800" cy="830306"/>
            <wp:effectExtent b="0" l="0" r="0" t="0"/>
            <wp:docPr descr="Рис. 25: Работа листинга 9.3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Работа листинга 9.3</w:t>
      </w:r>
    </w:p>
    <w:bookmarkEnd w:id="125"/>
    <w:p>
      <w:pPr>
        <w:pStyle w:val="BodyText"/>
      </w:pPr>
      <w:r>
        <w:t xml:space="preserve">Так как в результат записывается значение регистра ebx, отследим его изменение и изменение других регистров. Изначально ebx = 3</w:t>
      </w:r>
    </w:p>
    <w:bookmarkStart w:id="129" w:name="fig:026"/>
    <w:p>
      <w:pPr>
        <w:pStyle w:val="CaptionedFigure"/>
      </w:pPr>
      <w:r>
        <w:drawing>
          <wp:inline>
            <wp:extent cx="3733800" cy="831498"/>
            <wp:effectExtent b="0" l="0" r="0" t="0"/>
            <wp:docPr descr="Рис. 26: Step 1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Step 1</w:t>
      </w:r>
    </w:p>
    <w:bookmarkEnd w:id="129"/>
    <w:p>
      <w:pPr>
        <w:pStyle w:val="BodyText"/>
      </w:pPr>
      <w:r>
        <w:t xml:space="preserve">Далее мы прибавили к ebx eax, и у нас ebx = 5</w:t>
      </w:r>
    </w:p>
    <w:bookmarkStart w:id="133" w:name="fig:027"/>
    <w:p>
      <w:pPr>
        <w:pStyle w:val="CaptionedFigure"/>
      </w:pPr>
      <w:r>
        <w:drawing>
          <wp:inline>
            <wp:extent cx="3733800" cy="831498"/>
            <wp:effectExtent b="0" l="0" r="0" t="0"/>
            <wp:docPr descr="Рис. 27: Step 2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Step 2</w:t>
      </w:r>
    </w:p>
    <w:bookmarkEnd w:id="133"/>
    <w:p>
      <w:pPr>
        <w:pStyle w:val="BodyText"/>
      </w:pPr>
      <w:r>
        <w:t xml:space="preserve">Далее мы присвоили ecx значение 4 и умножили eax на ecx. Возможно, в этом и есть ошибка</w:t>
      </w:r>
    </w:p>
    <w:bookmarkStart w:id="137" w:name="fig:028"/>
    <w:p>
      <w:pPr>
        <w:pStyle w:val="CaptionedFigure"/>
      </w:pPr>
      <w:r>
        <w:drawing>
          <wp:inline>
            <wp:extent cx="3733800" cy="1614334"/>
            <wp:effectExtent b="0" l="0" r="0" t="0"/>
            <wp:docPr descr="Рис. 28: Step 3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Step 3</w:t>
      </w:r>
    </w:p>
    <w:bookmarkEnd w:id="137"/>
    <w:p>
      <w:pPr>
        <w:pStyle w:val="BodyText"/>
      </w:pPr>
      <w:r>
        <w:t xml:space="preserve">Далее к ebx прибавили 5 (теперь ebx = 10) и записали его значение в edi</w:t>
      </w:r>
    </w:p>
    <w:bookmarkStart w:id="141" w:name="fig:029"/>
    <w:p>
      <w:pPr>
        <w:pStyle w:val="CaptionedFigure"/>
      </w:pPr>
      <w:r>
        <w:drawing>
          <wp:inline>
            <wp:extent cx="3733800" cy="1614334"/>
            <wp:effectExtent b="0" l="0" r="0" t="0"/>
            <wp:docPr descr="Рис. 29: Step 4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Step 4</w:t>
      </w:r>
    </w:p>
    <w:bookmarkEnd w:id="141"/>
    <w:p>
      <w:pPr>
        <w:pStyle w:val="BodyText"/>
      </w:pPr>
      <w:r>
        <w:t xml:space="preserve">Пошагово проанализировав изменение значений регистров, я выяснил, что ошибкой является то, что мы умножили eax на 4, а должны были ebx. Попытаемся исправить эту ошибку. Вот такая программа у меня получилась (рис. 30):</w:t>
      </w:r>
    </w:p>
    <w:bookmarkStart w:id="145" w:name="fig:030"/>
    <w:p>
      <w:pPr>
        <w:pStyle w:val="CaptionedFigure"/>
      </w:pPr>
      <w:r>
        <w:drawing>
          <wp:inline>
            <wp:extent cx="3733800" cy="1931940"/>
            <wp:effectExtent b="0" l="0" r="0" t="0"/>
            <wp:docPr descr="Рис. 30: Самостоятельная работа 2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Самостоятельная работа 2</w:t>
      </w:r>
    </w:p>
    <w:bookmarkEnd w:id="145"/>
    <w:p>
      <w:pPr>
        <w:pStyle w:val="BodyText"/>
      </w:pPr>
      <w:r>
        <w:t xml:space="preserve">И вот такой результат (рис. 31):</w:t>
      </w:r>
    </w:p>
    <w:bookmarkStart w:id="149" w:name="fig:031"/>
    <w:p>
      <w:pPr>
        <w:pStyle w:val="CaptionedFigure"/>
      </w:pPr>
      <w:r>
        <w:drawing>
          <wp:inline>
            <wp:extent cx="3733800" cy="651379"/>
            <wp:effectExtent b="0" l="0" r="0" t="0"/>
            <wp:docPr descr="Рис. 31: Результат самостоятельная работа 2" title="" id="147" name="Picture"/>
            <a:graphic>
              <a:graphicData uri="http://schemas.openxmlformats.org/drawingml/2006/picture">
                <pic:pic>
                  <pic:nvPicPr>
                    <pic:cNvPr descr="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Результат самостоятельная работа 2</w:t>
      </w:r>
    </w:p>
    <w:bookmarkEnd w:id="149"/>
    <w:bookmarkEnd w:id="150"/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навыки написания программ с использованием подпрограмм и познакомился с методами отладки при помощи GDB и его основными возможностями.</w:t>
      </w:r>
    </w:p>
    <w:bookmarkEnd w:id="1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Мутаев Муртазаали Магомедович</dc:creator>
  <dc:language>ru-RU</dc:language>
  <cp:keywords/>
  <dcterms:created xsi:type="dcterms:W3CDTF">2024-12-06T16:09:25Z</dcterms:created>
  <dcterms:modified xsi:type="dcterms:W3CDTF">2024-12-06T16:09:25Z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