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E9C8A" w14:textId="2212E193" w:rsidR="000624B8" w:rsidRPr="000624B8" w:rsidRDefault="000624B8" w:rsidP="000624B8">
      <w:pPr>
        <w:pStyle w:val="a5"/>
        <w:jc w:val="center"/>
        <w:rPr>
          <w:rFonts w:hint="eastAsia"/>
          <w:sz w:val="18"/>
          <w:szCs w:val="24"/>
        </w:rPr>
      </w:pPr>
      <w:r w:rsidRPr="000624B8">
        <w:rPr>
          <w:sz w:val="32"/>
        </w:rPr>
        <w:t>松下电器产业株式会社诉珠海金稻电器有限公司、 北京丽康富雅商贸有限公司侵害外观设计专利权纠纷案</w:t>
      </w:r>
      <w:r w:rsidR="00E86E01">
        <w:rPr>
          <w:rFonts w:hint="eastAsia"/>
          <w:sz w:val="32"/>
        </w:rPr>
        <w:t>调研报告</w:t>
      </w:r>
    </w:p>
    <w:p w14:paraId="6CA4B8BE" w14:textId="5CE683FB" w:rsidR="00C3364D" w:rsidRPr="000624B8" w:rsidRDefault="00C3364D" w:rsidP="00C3364D">
      <w:pPr>
        <w:pStyle w:val="a4"/>
        <w:numPr>
          <w:ilvl w:val="0"/>
          <w:numId w:val="2"/>
        </w:numPr>
        <w:rPr>
          <w:rStyle w:val="ab"/>
          <w:rFonts w:hint="eastAsia"/>
          <w:sz w:val="21"/>
        </w:rPr>
      </w:pPr>
      <w:r w:rsidRPr="000624B8">
        <w:rPr>
          <w:rStyle w:val="ab"/>
          <w:sz w:val="21"/>
        </w:rPr>
        <w:t>涉案知识产权基本信息</w:t>
      </w:r>
    </w:p>
    <w:p w14:paraId="218D3D14" w14:textId="685E1B68" w:rsidR="00C3364D" w:rsidRPr="003D5D99" w:rsidRDefault="00280628" w:rsidP="00C3364D">
      <w:pPr>
        <w:autoSpaceDE w:val="0"/>
        <w:autoSpaceDN w:val="0"/>
        <w:adjustRightInd w:val="0"/>
        <w:spacing w:after="240" w:line="340" w:lineRule="atLeast"/>
        <w:jc w:val="left"/>
        <w:rPr>
          <w:rFonts w:hint="eastAsia"/>
          <w:sz w:val="21"/>
        </w:rPr>
      </w:pPr>
      <w:r w:rsidRPr="003D5D99">
        <w:rPr>
          <w:sz w:val="21"/>
        </w:rPr>
        <w:drawing>
          <wp:anchor distT="0" distB="0" distL="114300" distR="114300" simplePos="0" relativeHeight="251658240" behindDoc="0" locked="0" layoutInCell="1" allowOverlap="1" wp14:anchorId="3F17F42D" wp14:editId="72BD6FC5">
            <wp:simplePos x="0" y="0"/>
            <wp:positionH relativeFrom="margin">
              <wp:posOffset>4502150</wp:posOffset>
            </wp:positionH>
            <wp:positionV relativeFrom="margin">
              <wp:posOffset>1359535</wp:posOffset>
            </wp:positionV>
            <wp:extent cx="920750" cy="2176145"/>
            <wp:effectExtent l="0" t="0" r="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0750" cy="2176145"/>
                    </a:xfrm>
                    <a:prstGeom prst="rect">
                      <a:avLst/>
                    </a:prstGeom>
                  </pic:spPr>
                </pic:pic>
              </a:graphicData>
            </a:graphic>
            <wp14:sizeRelH relativeFrom="margin">
              <wp14:pctWidth>0</wp14:pctWidth>
            </wp14:sizeRelH>
            <wp14:sizeRelV relativeFrom="margin">
              <wp14:pctHeight>0</wp14:pctHeight>
            </wp14:sizeRelV>
          </wp:anchor>
        </w:drawing>
      </w:r>
      <w:r w:rsidR="00C3364D" w:rsidRPr="003D5D99">
        <w:rPr>
          <w:rFonts w:hint="eastAsia"/>
          <w:sz w:val="21"/>
        </w:rPr>
        <w:t>专利名称：</w:t>
      </w:r>
      <w:r w:rsidR="00C3364D" w:rsidRPr="003D5D99">
        <w:rPr>
          <w:sz w:val="21"/>
        </w:rPr>
        <w:t xml:space="preserve">“美容器”的外观设计专利 </w:t>
      </w:r>
    </w:p>
    <w:p w14:paraId="208B1C4C" w14:textId="2007DAB5" w:rsidR="00C3364D" w:rsidRPr="003D5D99" w:rsidRDefault="00C3364D" w:rsidP="00C3364D">
      <w:pPr>
        <w:autoSpaceDE w:val="0"/>
        <w:autoSpaceDN w:val="0"/>
        <w:adjustRightInd w:val="0"/>
        <w:spacing w:after="240" w:line="340" w:lineRule="atLeast"/>
        <w:jc w:val="left"/>
        <w:rPr>
          <w:rFonts w:hint="eastAsia"/>
          <w:sz w:val="21"/>
        </w:rPr>
      </w:pPr>
      <w:r w:rsidRPr="003D5D99">
        <w:rPr>
          <w:rFonts w:hint="eastAsia"/>
          <w:sz w:val="21"/>
        </w:rPr>
        <w:t>专利号：</w:t>
      </w:r>
      <w:r w:rsidRPr="003D5D99">
        <w:rPr>
          <w:sz w:val="21"/>
        </w:rPr>
        <w:t xml:space="preserve">CN302065954S </w:t>
      </w:r>
    </w:p>
    <w:p w14:paraId="051995D6" w14:textId="4F79FBC5" w:rsidR="00C3364D" w:rsidRPr="003D5D99" w:rsidRDefault="00C3364D" w:rsidP="00C3364D">
      <w:pPr>
        <w:autoSpaceDE w:val="0"/>
        <w:autoSpaceDN w:val="0"/>
        <w:adjustRightInd w:val="0"/>
        <w:spacing w:after="240" w:line="340" w:lineRule="atLeast"/>
        <w:jc w:val="left"/>
        <w:rPr>
          <w:rFonts w:hint="eastAsia"/>
          <w:sz w:val="21"/>
        </w:rPr>
      </w:pPr>
      <w:r w:rsidRPr="003D5D99">
        <w:rPr>
          <w:rFonts w:hint="eastAsia"/>
          <w:sz w:val="21"/>
        </w:rPr>
        <w:t>专利权人：</w:t>
      </w:r>
      <w:r w:rsidRPr="003D5D99">
        <w:rPr>
          <w:sz w:val="21"/>
        </w:rPr>
        <w:t xml:space="preserve">松下电器产业株式会社(简称松下株式会社) </w:t>
      </w:r>
    </w:p>
    <w:p w14:paraId="1876DF2C" w14:textId="0C7CF730" w:rsidR="00C3364D" w:rsidRPr="003D5D99" w:rsidRDefault="00C3364D" w:rsidP="00F55AF6">
      <w:pPr>
        <w:autoSpaceDE w:val="0"/>
        <w:autoSpaceDN w:val="0"/>
        <w:adjustRightInd w:val="0"/>
        <w:spacing w:after="240" w:line="340" w:lineRule="atLeast"/>
        <w:jc w:val="left"/>
        <w:rPr>
          <w:rFonts w:hint="eastAsia"/>
          <w:sz w:val="21"/>
        </w:rPr>
      </w:pPr>
      <w:r w:rsidRPr="003D5D99">
        <w:rPr>
          <w:rFonts w:hint="eastAsia"/>
          <w:sz w:val="21"/>
        </w:rPr>
        <w:t>专利描述内容：</w:t>
      </w:r>
      <w:r w:rsidR="00C354AB" w:rsidRPr="003D5D99">
        <w:rPr>
          <w:rFonts w:hint="eastAsia"/>
          <w:sz w:val="21"/>
        </w:rPr>
        <w:t>1.本外观设计产品的名称：美容器。2.本外观设计产品的用途：用于产生例如蒸汽、负离子来滋润肌肤和头发等。3.本外观设计的设计要点：本外观设计产品的形状。4.最能表明设计要点的图片或者照片：主视图。</w:t>
      </w:r>
    </w:p>
    <w:p w14:paraId="5CAC67D4" w14:textId="77777777" w:rsidR="005D529C" w:rsidRDefault="005D529C" w:rsidP="005D529C">
      <w:pPr>
        <w:spacing w:after="0" w:line="240" w:lineRule="auto"/>
        <w:rPr>
          <w:rFonts w:ascii="Times New Roman" w:eastAsia="Times New Roman" w:hAnsi="Times New Roman" w:cs="Times New Roman" w:hint="eastAsia"/>
        </w:rPr>
      </w:pPr>
    </w:p>
    <w:p w14:paraId="6875D7DE" w14:textId="77777777" w:rsidR="00F55AF6" w:rsidRDefault="00F55AF6" w:rsidP="005D529C">
      <w:pPr>
        <w:spacing w:after="0" w:line="240" w:lineRule="auto"/>
        <w:rPr>
          <w:rFonts w:ascii="Times New Roman" w:eastAsia="Times New Roman" w:hAnsi="Times New Roman" w:cs="Times New Roman" w:hint="eastAsia"/>
        </w:rPr>
      </w:pPr>
    </w:p>
    <w:p w14:paraId="0BE750DE" w14:textId="77777777" w:rsidR="00F55AF6" w:rsidRPr="005D529C" w:rsidRDefault="00F55AF6" w:rsidP="005D529C">
      <w:pPr>
        <w:spacing w:after="0" w:line="240" w:lineRule="auto"/>
        <w:rPr>
          <w:rFonts w:ascii="Times New Roman" w:eastAsia="Times New Roman" w:hAnsi="Times New Roman" w:cs="Times New Roman" w:hint="eastAsia"/>
        </w:rPr>
      </w:pPr>
    </w:p>
    <w:p w14:paraId="744C4DF6" w14:textId="5B30CEF4" w:rsidR="00C3364D" w:rsidRPr="000624B8" w:rsidRDefault="005D529C" w:rsidP="00C3364D">
      <w:pPr>
        <w:pStyle w:val="a4"/>
        <w:numPr>
          <w:ilvl w:val="0"/>
          <w:numId w:val="2"/>
        </w:numPr>
        <w:rPr>
          <w:rStyle w:val="ab"/>
          <w:rFonts w:hint="eastAsia"/>
        </w:rPr>
      </w:pPr>
      <w:r w:rsidRPr="000624B8">
        <w:rPr>
          <w:rStyle w:val="ab"/>
        </w:rPr>
        <w:t>涉案企业或个人名称及知识产权相关业务介绍</w:t>
      </w:r>
    </w:p>
    <w:p w14:paraId="7A804665" w14:textId="7C113496" w:rsidR="005D529C" w:rsidRPr="003D5D99" w:rsidRDefault="005D529C" w:rsidP="00F55AF6">
      <w:pPr>
        <w:autoSpaceDE w:val="0"/>
        <w:autoSpaceDN w:val="0"/>
        <w:adjustRightInd w:val="0"/>
        <w:spacing w:after="240" w:line="340" w:lineRule="atLeast"/>
        <w:jc w:val="left"/>
        <w:rPr>
          <w:rFonts w:hint="eastAsia"/>
          <w:sz w:val="21"/>
        </w:rPr>
      </w:pPr>
      <w:r w:rsidRPr="003D5D99">
        <w:rPr>
          <w:sz w:val="21"/>
        </w:rPr>
        <w:t>原告：</w:t>
      </w:r>
      <w:r w:rsidRPr="003D5D99">
        <w:rPr>
          <w:sz w:val="21"/>
        </w:rPr>
        <w:t>松下株式会社</w:t>
      </w:r>
    </w:p>
    <w:p w14:paraId="03401714" w14:textId="5B86A18F" w:rsidR="005D529C" w:rsidRPr="003D5D99" w:rsidRDefault="005D529C" w:rsidP="00F55AF6">
      <w:pPr>
        <w:autoSpaceDE w:val="0"/>
        <w:autoSpaceDN w:val="0"/>
        <w:adjustRightInd w:val="0"/>
        <w:spacing w:after="240" w:line="340" w:lineRule="atLeast"/>
        <w:jc w:val="left"/>
        <w:rPr>
          <w:rFonts w:hint="eastAsia"/>
          <w:sz w:val="21"/>
        </w:rPr>
      </w:pPr>
      <w:r w:rsidRPr="003D5D99">
        <w:rPr>
          <w:sz w:val="21"/>
        </w:rPr>
        <w:t>被告：</w:t>
      </w:r>
      <w:r w:rsidRPr="003D5D99">
        <w:rPr>
          <w:sz w:val="21"/>
        </w:rPr>
        <w:t>北京丽康富雅商贸有限公司</w:t>
      </w:r>
      <w:r w:rsidR="00F55AF6" w:rsidRPr="003D5D99">
        <w:rPr>
          <w:rFonts w:hint="eastAsia"/>
          <w:sz w:val="21"/>
        </w:rPr>
        <w:t xml:space="preserve"> </w:t>
      </w:r>
      <w:r w:rsidRPr="003D5D99">
        <w:rPr>
          <w:sz w:val="21"/>
        </w:rPr>
        <w:t>和</w:t>
      </w:r>
      <w:r w:rsidR="00F55AF6" w:rsidRPr="003D5D99">
        <w:rPr>
          <w:rFonts w:hint="eastAsia"/>
          <w:sz w:val="21"/>
        </w:rPr>
        <w:t xml:space="preserve"> </w:t>
      </w:r>
      <w:r w:rsidRPr="003D5D99">
        <w:rPr>
          <w:sz w:val="21"/>
        </w:rPr>
        <w:t>珠海金稻电器有限公司</w:t>
      </w:r>
    </w:p>
    <w:p w14:paraId="5733B63D" w14:textId="77777777" w:rsidR="003D5D99" w:rsidRPr="003D5D99" w:rsidRDefault="000F60D2" w:rsidP="000F60D2">
      <w:pPr>
        <w:autoSpaceDE w:val="0"/>
        <w:autoSpaceDN w:val="0"/>
        <w:adjustRightInd w:val="0"/>
        <w:spacing w:after="240" w:line="340" w:lineRule="atLeast"/>
        <w:jc w:val="left"/>
        <w:rPr>
          <w:rFonts w:hint="eastAsia"/>
          <w:sz w:val="21"/>
        </w:rPr>
      </w:pPr>
      <w:r w:rsidRPr="003D5D99">
        <w:rPr>
          <w:sz w:val="21"/>
        </w:rPr>
        <w:t>涉案专利与被诉侵权产品的相同点为:</w:t>
      </w:r>
      <w:r w:rsidR="00F55AF6" w:rsidRPr="003D5D99">
        <w:rPr>
          <w:rFonts w:hint="eastAsia"/>
          <w:sz w:val="21"/>
        </w:rPr>
        <w:t xml:space="preserve"> </w:t>
      </w:r>
      <w:r w:rsidRPr="003D5D99">
        <w:rPr>
          <w:sz w:val="21"/>
        </w:rPr>
        <w:t>机身的形状相同，喷嘴的朝向、弯曲弧度 及喇叭口形状相同，控制键及盾形结构相同。</w:t>
      </w:r>
    </w:p>
    <w:p w14:paraId="3BD0AED1" w14:textId="0CE65E8A" w:rsidR="000F60D2" w:rsidRPr="003D5D99" w:rsidRDefault="000F60D2" w:rsidP="000F60D2">
      <w:pPr>
        <w:autoSpaceDE w:val="0"/>
        <w:autoSpaceDN w:val="0"/>
        <w:adjustRightInd w:val="0"/>
        <w:spacing w:after="240" w:line="340" w:lineRule="atLeast"/>
        <w:jc w:val="left"/>
        <w:rPr>
          <w:sz w:val="21"/>
        </w:rPr>
      </w:pPr>
      <w:r w:rsidRPr="003D5D99">
        <w:rPr>
          <w:sz w:val="21"/>
        </w:rPr>
        <w:t>区别点为:</w:t>
      </w:r>
      <w:r w:rsidR="00C55FDE">
        <w:rPr>
          <w:rFonts w:hint="eastAsia"/>
          <w:sz w:val="21"/>
        </w:rPr>
        <w:t xml:space="preserve"> </w:t>
      </w:r>
      <w:r w:rsidRPr="003D5D99">
        <w:rPr>
          <w:sz w:val="21"/>
        </w:rPr>
        <w:t>涉案专利没有提手，被诉侵权产品分为有提手和无提手两种;</w:t>
      </w:r>
      <w:r w:rsidR="003D5D99" w:rsidRPr="003D5D99">
        <w:rPr>
          <w:rFonts w:hint="eastAsia"/>
          <w:sz w:val="21"/>
        </w:rPr>
        <w:t xml:space="preserve"> </w:t>
      </w:r>
      <w:r w:rsidRPr="003D5D99">
        <w:rPr>
          <w:sz w:val="21"/>
        </w:rPr>
        <w:t xml:space="preserve">涉案专利底座与机身结合部分仅为略微向内收窄，而被诉侵权产品底座部分有一圈较为明显的斜向下的凹槽;涉案专利电线插口为插入式连接，被诉侵权产品则无插口设计，而是固定的电线连接;涉案专利底座底面封闭、平整，而被诉侵权产品底座有四个支脚以及圆形散热孔。 </w:t>
      </w:r>
    </w:p>
    <w:p w14:paraId="11DD089C" w14:textId="77777777" w:rsidR="005D529C" w:rsidRDefault="005D529C" w:rsidP="005D529C">
      <w:pPr>
        <w:rPr>
          <w:rFonts w:hint="eastAsia"/>
        </w:rPr>
      </w:pPr>
    </w:p>
    <w:p w14:paraId="5C094BAD" w14:textId="308E50AC" w:rsidR="00C3364D" w:rsidRDefault="000624B8" w:rsidP="00C3364D">
      <w:pPr>
        <w:pStyle w:val="a4"/>
        <w:numPr>
          <w:ilvl w:val="0"/>
          <w:numId w:val="2"/>
        </w:numPr>
        <w:rPr>
          <w:rStyle w:val="ab"/>
          <w:rFonts w:hint="eastAsia"/>
        </w:rPr>
      </w:pPr>
      <w:r w:rsidRPr="000624B8">
        <w:rPr>
          <w:rStyle w:val="ab"/>
        </w:rPr>
        <w:t>侵权事件简介、四个以上重要的事件节点及主要内容</w:t>
      </w:r>
    </w:p>
    <w:p w14:paraId="7AE24FAF"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原告松下株式会社诉称:</w:t>
      </w:r>
      <w:r w:rsidRPr="00F60E78">
        <w:rPr>
          <w:rFonts w:hint="eastAsia"/>
          <w:sz w:val="21"/>
        </w:rPr>
        <w:t xml:space="preserve"> </w:t>
      </w:r>
      <w:r w:rsidRPr="00F60E78">
        <w:rPr>
          <w:sz w:val="21"/>
        </w:rPr>
        <w:t>松下株式会社系名为“美容器”外观设计专利的专利权人。</w:t>
      </w:r>
    </w:p>
    <w:p w14:paraId="5717EAFA"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金稻公司生产、销售、许诺销售及丽康公司销售的“金稻离子蒸汽美容器 KD- 2331”侵犯其外观设计专利权，请求判令:二被告停止侵权;</w:t>
      </w:r>
      <w:r w:rsidRPr="00F60E78">
        <w:rPr>
          <w:rFonts w:hint="eastAsia"/>
          <w:sz w:val="21"/>
        </w:rPr>
        <w:t xml:space="preserve"> </w:t>
      </w:r>
    </w:p>
    <w:p w14:paraId="4B9E6325"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销毁有关被诉侵权产品的宣传资料及删除被诉侵权产品的宣传内容;</w:t>
      </w:r>
      <w:r w:rsidRPr="00F60E78">
        <w:rPr>
          <w:rFonts w:hint="eastAsia"/>
          <w:sz w:val="21"/>
        </w:rPr>
        <w:t xml:space="preserve"> </w:t>
      </w:r>
    </w:p>
    <w:p w14:paraId="164E529E"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lastRenderedPageBreak/>
        <w:t>金稻公司销毁涉案模具和专用的生产设备及被诉侵权产品库存回收未销售被诉侵权产品并进行销毁;</w:t>
      </w:r>
      <w:r w:rsidRPr="00F60E78">
        <w:rPr>
          <w:rFonts w:hint="eastAsia"/>
          <w:sz w:val="21"/>
        </w:rPr>
        <w:t xml:space="preserve"> </w:t>
      </w:r>
    </w:p>
    <w:p w14:paraId="55C43883" w14:textId="4DBB8571" w:rsidR="00F60E78" w:rsidRPr="00F60E78" w:rsidRDefault="00F60E78" w:rsidP="00F60E78">
      <w:pPr>
        <w:autoSpaceDE w:val="0"/>
        <w:autoSpaceDN w:val="0"/>
        <w:adjustRightInd w:val="0"/>
        <w:spacing w:after="240" w:line="340" w:lineRule="atLeast"/>
        <w:jc w:val="left"/>
        <w:rPr>
          <w:sz w:val="21"/>
        </w:rPr>
      </w:pPr>
      <w:r w:rsidRPr="00F60E78">
        <w:rPr>
          <w:sz w:val="21"/>
        </w:rPr>
        <w:t>金稻公司赔偿经济损失人民币</w:t>
      </w:r>
      <w:r w:rsidR="00BE2C5D">
        <w:rPr>
          <w:sz w:val="21"/>
        </w:rPr>
        <w:t>300</w:t>
      </w:r>
      <w:r w:rsidRPr="00F60E78">
        <w:rPr>
          <w:sz w:val="21"/>
        </w:rPr>
        <w:t xml:space="preserve">万元，二被告共同赔偿合理支出人民币20万元。 </w:t>
      </w:r>
    </w:p>
    <w:p w14:paraId="63B8CD82"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被告金稻公司辩称:</w:t>
      </w:r>
      <w:r w:rsidRPr="00F60E78">
        <w:rPr>
          <w:rFonts w:hint="eastAsia"/>
          <w:sz w:val="21"/>
        </w:rPr>
        <w:t xml:space="preserve"> </w:t>
      </w:r>
    </w:p>
    <w:p w14:paraId="43B0DEDA" w14:textId="4705D078"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金稻公司只生产带有提手的被控侵权产品，并不存在松下株式会社所称的不带提手的被控侵权产品;</w:t>
      </w:r>
    </w:p>
    <w:p w14:paraId="736216E0" w14:textId="451B61FC"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将被控侵权产品与涉案专利相比对，二者的整体视觉效果存在显著区别，不具有相似性;</w:t>
      </w:r>
    </w:p>
    <w:p w14:paraId="15148CBC" w14:textId="468AEAF2" w:rsidR="00F60E78" w:rsidRPr="00F60E78" w:rsidRDefault="00F60E78" w:rsidP="00F60E78">
      <w:pPr>
        <w:autoSpaceDE w:val="0"/>
        <w:autoSpaceDN w:val="0"/>
        <w:adjustRightInd w:val="0"/>
        <w:spacing w:after="240" w:line="340" w:lineRule="atLeast"/>
        <w:jc w:val="left"/>
        <w:rPr>
          <w:sz w:val="21"/>
        </w:rPr>
      </w:pPr>
      <w:r w:rsidRPr="00F60E78">
        <w:rPr>
          <w:sz w:val="21"/>
        </w:rPr>
        <w:t xml:space="preserve">被控侵权产品拥有外观设计专利，且已提交外观设计专利权评价报告，评价报告已经排除被控侵权产品所依据的专利与涉案专利相似的可能性。故请求驳回松下株式会社的诉讼请求。 </w:t>
      </w:r>
    </w:p>
    <w:p w14:paraId="5067B76D" w14:textId="77777777" w:rsidR="00F60E78" w:rsidRPr="00F60E78" w:rsidRDefault="00F60E78" w:rsidP="00F60E78">
      <w:pPr>
        <w:autoSpaceDE w:val="0"/>
        <w:autoSpaceDN w:val="0"/>
        <w:adjustRightInd w:val="0"/>
        <w:spacing w:after="240" w:line="340" w:lineRule="atLeast"/>
        <w:jc w:val="left"/>
        <w:rPr>
          <w:rFonts w:hint="eastAsia"/>
          <w:sz w:val="21"/>
        </w:rPr>
      </w:pPr>
      <w:r w:rsidRPr="00F60E78">
        <w:rPr>
          <w:sz w:val="21"/>
        </w:rPr>
        <w:t>被告丽康公司辩称:</w:t>
      </w:r>
    </w:p>
    <w:p w14:paraId="35F4B41A" w14:textId="77777777" w:rsidR="00F60E78" w:rsidRPr="00F60E78" w:rsidRDefault="00F60E78" w:rsidP="00F60E78">
      <w:pPr>
        <w:autoSpaceDE w:val="0"/>
        <w:autoSpaceDN w:val="0"/>
        <w:adjustRightInd w:val="0"/>
        <w:spacing w:after="240" w:line="340" w:lineRule="atLeast"/>
        <w:jc w:val="left"/>
        <w:rPr>
          <w:sz w:val="21"/>
        </w:rPr>
      </w:pPr>
      <w:r w:rsidRPr="00F60E78">
        <w:rPr>
          <w:sz w:val="21"/>
        </w:rPr>
        <w:t>丽康公司仅进行了销售，且尽到了合理注意义务;</w:t>
      </w:r>
      <w:r w:rsidRPr="00F60E78">
        <w:rPr>
          <w:rFonts w:hint="eastAsia"/>
          <w:sz w:val="21"/>
        </w:rPr>
        <w:t xml:space="preserve"> </w:t>
      </w:r>
      <w:r w:rsidRPr="00F60E78">
        <w:rPr>
          <w:sz w:val="21"/>
        </w:rPr>
        <w:t>被控侵权产品与涉案专利存在很大差异，并不构成侵权，松下株式会社的诉讼请求应予驳回。</w:t>
      </w:r>
    </w:p>
    <w:p w14:paraId="369F49C0" w14:textId="55C0EC88" w:rsidR="00F60E78" w:rsidRPr="00BE2C5D" w:rsidRDefault="00BE2C5D" w:rsidP="00F60E78">
      <w:pPr>
        <w:autoSpaceDE w:val="0"/>
        <w:autoSpaceDN w:val="0"/>
        <w:adjustRightInd w:val="0"/>
        <w:spacing w:after="240" w:line="340" w:lineRule="atLeast"/>
        <w:jc w:val="left"/>
        <w:rPr>
          <w:rFonts w:hint="eastAsia"/>
          <w:sz w:val="21"/>
        </w:rPr>
      </w:pPr>
      <w:r w:rsidRPr="00BE2C5D">
        <w:rPr>
          <w:rFonts w:hint="eastAsia"/>
          <w:sz w:val="21"/>
        </w:rPr>
        <w:t>事件节点：</w:t>
      </w:r>
    </w:p>
    <w:p w14:paraId="7B2BAE0C" w14:textId="738C8BEB" w:rsidR="00BE2C5D" w:rsidRDefault="00BE2C5D" w:rsidP="00F60E78">
      <w:pPr>
        <w:autoSpaceDE w:val="0"/>
        <w:autoSpaceDN w:val="0"/>
        <w:adjustRightInd w:val="0"/>
        <w:spacing w:after="240" w:line="340" w:lineRule="atLeast"/>
        <w:jc w:val="left"/>
        <w:rPr>
          <w:rFonts w:hint="eastAsia"/>
          <w:sz w:val="21"/>
        </w:rPr>
      </w:pPr>
      <w:r>
        <w:rPr>
          <w:rFonts w:hint="eastAsia"/>
          <w:sz w:val="21"/>
        </w:rPr>
        <w:t>一、2014年8月22日，松下株式会社代理人在</w:t>
      </w:r>
      <w:hyperlink r:id="rId7" w:history="1">
        <w:r w:rsidRPr="00F823F1">
          <w:rPr>
            <w:rStyle w:val="af8"/>
            <w:rFonts w:hint="eastAsia"/>
            <w:sz w:val="21"/>
          </w:rPr>
          <w:t>www.jd.com</w:t>
        </w:r>
      </w:hyperlink>
      <w:r>
        <w:rPr>
          <w:rFonts w:hint="eastAsia"/>
          <w:sz w:val="21"/>
        </w:rPr>
        <w:t>网站上的“丽康富雅”店铺在线购买了两台“金稻离子蒸汽美容器KD-2331”，售价为人民币285元，</w:t>
      </w:r>
      <w:r w:rsidR="00D55031">
        <w:rPr>
          <w:rFonts w:hint="eastAsia"/>
          <w:sz w:val="21"/>
        </w:rPr>
        <w:t>该店铺系北京丽康富雅商贸有限公司经营。上述产品上显示生产厂商为被告珠海金稻电器有限公司，该公司网站上确有显示此商品出售的信息。</w:t>
      </w:r>
    </w:p>
    <w:p w14:paraId="59629C42" w14:textId="0C5EC9CA" w:rsidR="00C55FDE" w:rsidRDefault="00D55031" w:rsidP="00F60E78">
      <w:pPr>
        <w:autoSpaceDE w:val="0"/>
        <w:autoSpaceDN w:val="0"/>
        <w:adjustRightInd w:val="0"/>
        <w:spacing w:after="240" w:line="340" w:lineRule="atLeast"/>
        <w:jc w:val="left"/>
        <w:rPr>
          <w:rFonts w:hint="eastAsia"/>
          <w:sz w:val="21"/>
        </w:rPr>
      </w:pPr>
      <w:r>
        <w:rPr>
          <w:rFonts w:hint="eastAsia"/>
          <w:sz w:val="21"/>
        </w:rPr>
        <w:t>二、</w:t>
      </w:r>
      <w:r w:rsidR="00335E50">
        <w:rPr>
          <w:sz w:val="21"/>
        </w:rPr>
        <w:t>2015</w:t>
      </w:r>
      <w:r w:rsidR="00C55FDE" w:rsidRPr="00BE2C5D">
        <w:rPr>
          <w:sz w:val="21"/>
        </w:rPr>
        <w:t>年</w:t>
      </w:r>
      <w:r w:rsidR="00335E50">
        <w:rPr>
          <w:sz w:val="21"/>
        </w:rPr>
        <w:t>1</w:t>
      </w:r>
      <w:r w:rsidR="00C55FDE" w:rsidRPr="00BE2C5D">
        <w:rPr>
          <w:sz w:val="21"/>
        </w:rPr>
        <w:t>月</w:t>
      </w:r>
      <w:r w:rsidR="00335E50">
        <w:rPr>
          <w:sz w:val="21"/>
        </w:rPr>
        <w:t>7</w:t>
      </w:r>
      <w:r w:rsidR="00C55FDE" w:rsidRPr="00BE2C5D">
        <w:rPr>
          <w:sz w:val="21"/>
        </w:rPr>
        <w:t>日，松下株式会社代理人在公证人员监督下在 www.taobao.com 网站输入“KD2331”进行了搜索，按照销量排序后进行了统计并列出明细，显示销售数量共计</w:t>
      </w:r>
      <w:r w:rsidR="00335E50">
        <w:rPr>
          <w:sz w:val="21"/>
        </w:rPr>
        <w:t xml:space="preserve"> 140</w:t>
      </w:r>
      <w:r w:rsidR="00C55FDE" w:rsidRPr="00BE2C5D">
        <w:rPr>
          <w:sz w:val="21"/>
        </w:rPr>
        <w:t>918 件;</w:t>
      </w:r>
      <w:r w:rsidR="00335E50">
        <w:rPr>
          <w:rFonts w:hint="eastAsia"/>
          <w:sz w:val="21"/>
        </w:rPr>
        <w:t xml:space="preserve"> </w:t>
      </w:r>
      <w:r w:rsidR="00C55FDE" w:rsidRPr="00BE2C5D">
        <w:rPr>
          <w:sz w:val="21"/>
        </w:rPr>
        <w:t>在</w:t>
      </w:r>
      <w:r w:rsidR="00335E50">
        <w:rPr>
          <w:sz w:val="21"/>
        </w:rPr>
        <w:t xml:space="preserve"> </w:t>
      </w:r>
      <w:r w:rsidR="00C55FDE" w:rsidRPr="00BE2C5D">
        <w:rPr>
          <w:sz w:val="21"/>
        </w:rPr>
        <w:t>www.alibaobao.com.cn 网站输入“kd2331”进行了搜索，按照销量排序后进行了统计并列出明细，显示销售数量共计 18 256 535 件;</w:t>
      </w:r>
      <w:r w:rsidR="00335E50">
        <w:rPr>
          <w:rFonts w:hint="eastAsia"/>
          <w:sz w:val="21"/>
        </w:rPr>
        <w:t xml:space="preserve"> </w:t>
      </w:r>
      <w:r w:rsidR="00C55FDE" w:rsidRPr="00BE2C5D">
        <w:rPr>
          <w:sz w:val="21"/>
        </w:rPr>
        <w:t>在 www.jd.com 网站输入“kd2331”进行了搜索，按照销量排序</w:t>
      </w:r>
      <w:r w:rsidR="00C55FDE" w:rsidRPr="00335E50">
        <w:rPr>
          <w:sz w:val="21"/>
        </w:rPr>
        <w:t>后进行了统计并列出明细，显示销售数量共计</w:t>
      </w:r>
      <w:r w:rsidR="00335E50">
        <w:rPr>
          <w:sz w:val="21"/>
        </w:rPr>
        <w:t xml:space="preserve"> </w:t>
      </w:r>
      <w:r w:rsidR="00C55FDE" w:rsidRPr="00335E50">
        <w:rPr>
          <w:sz w:val="21"/>
        </w:rPr>
        <w:t xml:space="preserve">13 897 件。松下株式会社还提交了证明其诉讼合理支出的相应证据。 </w:t>
      </w:r>
    </w:p>
    <w:p w14:paraId="5C77526E" w14:textId="29A71B58" w:rsidR="00952740" w:rsidRDefault="00335E50" w:rsidP="00C738A2">
      <w:pPr>
        <w:autoSpaceDE w:val="0"/>
        <w:autoSpaceDN w:val="0"/>
        <w:adjustRightInd w:val="0"/>
        <w:spacing w:after="240" w:line="340" w:lineRule="atLeast"/>
        <w:jc w:val="left"/>
        <w:rPr>
          <w:rFonts w:hint="eastAsia"/>
          <w:sz w:val="21"/>
        </w:rPr>
      </w:pPr>
      <w:r>
        <w:rPr>
          <w:rFonts w:hint="eastAsia"/>
          <w:sz w:val="21"/>
        </w:rPr>
        <w:t>三、一</w:t>
      </w:r>
      <w:r w:rsidR="00C738A2">
        <w:rPr>
          <w:rFonts w:hint="eastAsia"/>
          <w:sz w:val="21"/>
        </w:rPr>
        <w:t>审法院北京知识产权法院经贸审理认为：松下株式会社就其提交的外观设计专业证书证明，有权对被告未经许可实施其专利行为提起诉讼。被</w:t>
      </w:r>
      <w:r w:rsidR="00D42DF8">
        <w:rPr>
          <w:rFonts w:hint="eastAsia"/>
          <w:sz w:val="21"/>
        </w:rPr>
        <w:t>诉侵权的产品外观设计与涉案专利外观设计属于相似设计。由京东网上的产品可以认定金稻公司对侵权产品进行了制造和销售行为，丽康公司也进行了销售行为，且从二被告公司的宣传来看，两公司均对侵权产品实施了允许销售行为，且实施行为过程中并未经松下株式会社许可</w:t>
      </w:r>
      <w:r w:rsidR="001D56C4">
        <w:rPr>
          <w:rFonts w:hint="eastAsia"/>
          <w:sz w:val="21"/>
        </w:rPr>
        <w:t>。而金稻公司提交的外观设计专业证书晚于涉案专利申请日，且被认定与涉案产品外观设计专利相近似，综上，认定金稻公司实施其外观专利的行为侵犯了松下株式会社的外观设计专利权。</w:t>
      </w:r>
    </w:p>
    <w:p w14:paraId="5FB47987" w14:textId="285A7F3F" w:rsidR="001D56C4" w:rsidRDefault="001D56C4" w:rsidP="00C738A2">
      <w:pPr>
        <w:autoSpaceDE w:val="0"/>
        <w:autoSpaceDN w:val="0"/>
        <w:adjustRightInd w:val="0"/>
        <w:spacing w:after="240" w:line="340" w:lineRule="atLeast"/>
        <w:jc w:val="left"/>
        <w:rPr>
          <w:rFonts w:hint="eastAsia"/>
          <w:sz w:val="21"/>
        </w:rPr>
      </w:pPr>
      <w:r>
        <w:rPr>
          <w:rFonts w:hint="eastAsia"/>
          <w:sz w:val="21"/>
        </w:rPr>
        <w:t>2015年11月20日，一审法院判决如下：</w:t>
      </w:r>
    </w:p>
    <w:p w14:paraId="6E21F901" w14:textId="6B30E5F2" w:rsidR="001D56C4" w:rsidRDefault="001D56C4" w:rsidP="00C738A2">
      <w:pPr>
        <w:autoSpaceDE w:val="0"/>
        <w:autoSpaceDN w:val="0"/>
        <w:adjustRightInd w:val="0"/>
        <w:spacing w:after="240" w:line="340" w:lineRule="atLeast"/>
        <w:jc w:val="left"/>
        <w:rPr>
          <w:rFonts w:hint="eastAsia"/>
          <w:sz w:val="21"/>
        </w:rPr>
      </w:pPr>
      <w:r w:rsidRPr="001D56C4">
        <w:rPr>
          <w:sz w:val="21"/>
        </w:rPr>
        <w:t>金稻公司停止制造、销售、许诺销售侵权产品;</w:t>
      </w:r>
      <w:r w:rsidRPr="001D56C4">
        <w:rPr>
          <w:sz w:val="21"/>
        </w:rPr>
        <w:t xml:space="preserve"> </w:t>
      </w:r>
      <w:r w:rsidRPr="001D56C4">
        <w:rPr>
          <w:sz w:val="21"/>
        </w:rPr>
        <w:t>丽康公司停止销售、许诺销售侵权产品;</w:t>
      </w:r>
      <w:r w:rsidRPr="001D56C4">
        <w:rPr>
          <w:sz w:val="21"/>
        </w:rPr>
        <w:t xml:space="preserve"> </w:t>
      </w:r>
      <w:r w:rsidRPr="001D56C4">
        <w:rPr>
          <w:sz w:val="21"/>
        </w:rPr>
        <w:t>金稻公司、丽康公司删除侵权产品的全部宣传资料及删除二被告网站中有关侵权产品的宣传内容; 金稻公司赔偿松下株式会社经济损失共计人民币三百万元;</w:t>
      </w:r>
      <w:r w:rsidRPr="001D56C4">
        <w:rPr>
          <w:sz w:val="21"/>
        </w:rPr>
        <w:t xml:space="preserve"> </w:t>
      </w:r>
      <w:r w:rsidRPr="001D56C4">
        <w:rPr>
          <w:sz w:val="21"/>
        </w:rPr>
        <w:t xml:space="preserve">金稻公司、丽康公司连带赔偿松下株式会社为制止侵权行为所支付的合理开支共计人民币二十万元; 驳回松下株式会社的其他诉讼请求。 </w:t>
      </w:r>
    </w:p>
    <w:p w14:paraId="01626D5A" w14:textId="66192BCD" w:rsidR="001D56C4" w:rsidRDefault="001D56C4" w:rsidP="00C738A2">
      <w:pPr>
        <w:autoSpaceDE w:val="0"/>
        <w:autoSpaceDN w:val="0"/>
        <w:adjustRightInd w:val="0"/>
        <w:spacing w:after="240" w:line="340" w:lineRule="atLeast"/>
        <w:jc w:val="left"/>
        <w:rPr>
          <w:rFonts w:hint="eastAsia"/>
          <w:sz w:val="21"/>
        </w:rPr>
      </w:pPr>
      <w:r>
        <w:rPr>
          <w:rFonts w:hint="eastAsia"/>
          <w:sz w:val="21"/>
        </w:rPr>
        <w:t>四、一审判决后，金稻公司、丽康公司向北京市高级人民法院提起上述。二审诉讼中</w:t>
      </w:r>
      <w:r w:rsidR="0021097B">
        <w:rPr>
          <w:rFonts w:hint="eastAsia"/>
          <w:sz w:val="21"/>
        </w:rPr>
        <w:t>，金稻公司表示在平台网站上销售的产品80</w:t>
      </w:r>
      <w:r w:rsidR="0021097B">
        <w:rPr>
          <w:sz w:val="21"/>
        </w:rPr>
        <w:t>%</w:t>
      </w:r>
      <w:r w:rsidR="0021097B">
        <w:rPr>
          <w:rFonts w:hint="eastAsia"/>
          <w:sz w:val="21"/>
        </w:rPr>
        <w:t>以上是假货，并非自己公司生产，且网络显示数量存在虚假数量情况，一审法院对松下株式会社的赔偿请求数量缺乏合理依据。</w:t>
      </w:r>
    </w:p>
    <w:p w14:paraId="7595B4F1" w14:textId="596F3CBE" w:rsidR="00670A1C" w:rsidRDefault="00897F55" w:rsidP="00C738A2">
      <w:pPr>
        <w:autoSpaceDE w:val="0"/>
        <w:autoSpaceDN w:val="0"/>
        <w:adjustRightInd w:val="0"/>
        <w:spacing w:after="240" w:line="340" w:lineRule="atLeast"/>
        <w:jc w:val="left"/>
        <w:rPr>
          <w:rFonts w:hint="eastAsia"/>
          <w:sz w:val="21"/>
        </w:rPr>
      </w:pPr>
      <w:r>
        <w:rPr>
          <w:rFonts w:hint="eastAsia"/>
          <w:sz w:val="21"/>
        </w:rPr>
        <w:t>二审法院</w:t>
      </w:r>
      <w:r w:rsidR="004A692A">
        <w:rPr>
          <w:rFonts w:hint="eastAsia"/>
          <w:sz w:val="21"/>
        </w:rPr>
        <w:t>依据松下株式会社通过公证取证方式固定的在部分电商平台上检索得到的数量以及该产品平均价格作为赔偿金额的依据，且</w:t>
      </w:r>
      <w:r w:rsidR="00670A1C">
        <w:rPr>
          <w:rFonts w:hint="eastAsia"/>
          <w:sz w:val="21"/>
        </w:rPr>
        <w:t>被诉侵权产品的外观设计的确落入了涉案专利权的保护范围，故一审法院对于被告金稻公司主张300w赔偿非常合理。而金稻公司主张的其他平台网站上销售的被诉侵权产品的假货事实并未因此提供合理的证据证明，故不予采信。</w:t>
      </w:r>
    </w:p>
    <w:p w14:paraId="6C251811" w14:textId="0D757020" w:rsidR="0021097B" w:rsidRDefault="00670A1C" w:rsidP="00C738A2">
      <w:pPr>
        <w:autoSpaceDE w:val="0"/>
        <w:autoSpaceDN w:val="0"/>
        <w:adjustRightInd w:val="0"/>
        <w:spacing w:after="240" w:line="340" w:lineRule="atLeast"/>
        <w:jc w:val="left"/>
        <w:rPr>
          <w:rFonts w:hint="eastAsia"/>
          <w:sz w:val="21"/>
        </w:rPr>
      </w:pPr>
      <w:r>
        <w:rPr>
          <w:rFonts w:hint="eastAsia"/>
          <w:sz w:val="21"/>
        </w:rPr>
        <w:t>另</w:t>
      </w:r>
      <w:r w:rsidR="00897F55">
        <w:rPr>
          <w:rFonts w:hint="eastAsia"/>
          <w:sz w:val="21"/>
        </w:rPr>
        <w:t>关于丽康公司承担的赔偿责任</w:t>
      </w:r>
      <w:r>
        <w:rPr>
          <w:rFonts w:hint="eastAsia"/>
          <w:sz w:val="21"/>
        </w:rPr>
        <w:t>，丽康公司作为销售者，在本案诉讼后未停止销售行为，其应与金稻公司共同承担赔偿，也属合理。</w:t>
      </w:r>
    </w:p>
    <w:p w14:paraId="213871E0" w14:textId="68203C5F" w:rsidR="00670A1C" w:rsidRDefault="00670A1C" w:rsidP="00C738A2">
      <w:pPr>
        <w:autoSpaceDE w:val="0"/>
        <w:autoSpaceDN w:val="0"/>
        <w:adjustRightInd w:val="0"/>
        <w:spacing w:after="240" w:line="340" w:lineRule="atLeast"/>
        <w:jc w:val="left"/>
        <w:rPr>
          <w:rFonts w:hint="eastAsia"/>
          <w:sz w:val="21"/>
        </w:rPr>
      </w:pPr>
      <w:r>
        <w:rPr>
          <w:rFonts w:hint="eastAsia"/>
          <w:sz w:val="21"/>
        </w:rPr>
        <w:t>二审法院驳回上诉，维持原判。</w:t>
      </w:r>
    </w:p>
    <w:p w14:paraId="754E9139" w14:textId="77777777" w:rsidR="001D56C4" w:rsidRPr="00C738A2" w:rsidRDefault="001D56C4" w:rsidP="00C738A2">
      <w:pPr>
        <w:autoSpaceDE w:val="0"/>
        <w:autoSpaceDN w:val="0"/>
        <w:adjustRightInd w:val="0"/>
        <w:spacing w:after="240" w:line="340" w:lineRule="atLeast"/>
        <w:jc w:val="left"/>
        <w:rPr>
          <w:rStyle w:val="ab"/>
          <w:rFonts w:hint="eastAsia"/>
          <w:b w:val="0"/>
          <w:i w:val="0"/>
          <w:spacing w:val="0"/>
          <w:sz w:val="21"/>
        </w:rPr>
      </w:pPr>
    </w:p>
    <w:p w14:paraId="6BA9133F" w14:textId="7D080073" w:rsidR="00C3364D" w:rsidRDefault="000624B8" w:rsidP="00C3364D">
      <w:pPr>
        <w:pStyle w:val="a4"/>
        <w:numPr>
          <w:ilvl w:val="0"/>
          <w:numId w:val="3"/>
        </w:numPr>
        <w:rPr>
          <w:rStyle w:val="ab"/>
          <w:rFonts w:hint="eastAsia"/>
        </w:rPr>
      </w:pPr>
      <w:r w:rsidRPr="000624B8">
        <w:rPr>
          <w:rStyle w:val="ab"/>
        </w:rPr>
        <w:t>案例分析，包含三个以上观点及论述</w:t>
      </w:r>
    </w:p>
    <w:p w14:paraId="0B58EDEE" w14:textId="39319915" w:rsidR="00F64A81" w:rsidRPr="00544969" w:rsidRDefault="00544969" w:rsidP="00F64A81">
      <w:pPr>
        <w:autoSpaceDE w:val="0"/>
        <w:autoSpaceDN w:val="0"/>
        <w:adjustRightInd w:val="0"/>
        <w:spacing w:after="240" w:line="340" w:lineRule="atLeast"/>
        <w:jc w:val="left"/>
        <w:rPr>
          <w:rFonts w:hint="eastAsia"/>
          <w:sz w:val="21"/>
        </w:rPr>
      </w:pPr>
      <w:r w:rsidRPr="00544969">
        <w:rPr>
          <w:rFonts w:hint="eastAsia"/>
          <w:sz w:val="21"/>
        </w:rPr>
        <w:t>一、</w:t>
      </w:r>
      <w:r w:rsidR="00AE16F8">
        <w:rPr>
          <w:rFonts w:hint="eastAsia"/>
          <w:sz w:val="21"/>
        </w:rPr>
        <w:t>本案争议的焦点之一，在于外观设计是否相近似，涉案专利产品与被诉侵权产品是否系相同种类产品的认定。在进行外观设计判断时，当围绕是否相同或相近点讨论时，我们给出的标准一般需要通过整体观察、综合判断来解决，然而在实际案例中，外观的设计产口标准是很难做出一个标准的评判准则的。本案中将涉案专利设计图片分别与消费者</w:t>
      </w:r>
      <w:r w:rsidR="00631BDD">
        <w:rPr>
          <w:rFonts w:hint="eastAsia"/>
          <w:sz w:val="21"/>
        </w:rPr>
        <w:t>购买到的被诉侵权产品的图片提取出全部设计特征，以及从侵权产品的整体视觉效果出发，通过其影响认定二者具有整体相似的视觉效果，被诉侵权产品落入涉案专利权的保护范围。</w:t>
      </w:r>
      <w:r w:rsidR="00A7592F">
        <w:rPr>
          <w:rFonts w:hint="eastAsia"/>
          <w:sz w:val="21"/>
        </w:rPr>
        <w:t>本案中所遇到的情况，受知识产权证据制度不完善的影响，造成权利人举证难，维权困难，这从一定程度上制约了司法保护知识产权的主导作用的发挥。</w:t>
      </w:r>
    </w:p>
    <w:p w14:paraId="615538A3" w14:textId="26EB6382" w:rsidR="00544969" w:rsidRDefault="00544969" w:rsidP="00F64A81">
      <w:pPr>
        <w:autoSpaceDE w:val="0"/>
        <w:autoSpaceDN w:val="0"/>
        <w:adjustRightInd w:val="0"/>
        <w:spacing w:after="240" w:line="340" w:lineRule="atLeast"/>
        <w:jc w:val="left"/>
        <w:rPr>
          <w:rFonts w:hint="eastAsia"/>
          <w:sz w:val="21"/>
        </w:rPr>
      </w:pPr>
      <w:r w:rsidRPr="00544969">
        <w:rPr>
          <w:rFonts w:hint="eastAsia"/>
          <w:sz w:val="21"/>
        </w:rPr>
        <w:t>二、</w:t>
      </w:r>
      <w:r w:rsidR="001E5E9A">
        <w:rPr>
          <w:rFonts w:hint="eastAsia"/>
          <w:sz w:val="21"/>
        </w:rPr>
        <w:t>本案争议点二，在于专利权受到损害，</w:t>
      </w:r>
      <w:r w:rsidR="00524179">
        <w:rPr>
          <w:rFonts w:hint="eastAsia"/>
          <w:sz w:val="21"/>
        </w:rPr>
        <w:t>通过对专利侵权行为相关的账簿，权利人提交的举证侵权人的获利情况，以及权利人通过大致估算所提交的赔偿主张，</w:t>
      </w:r>
      <w:r w:rsidR="002E3012">
        <w:rPr>
          <w:rFonts w:hint="eastAsia"/>
          <w:sz w:val="21"/>
        </w:rPr>
        <w:t>人民法院综上依据给出支持或的拒绝权利人的赔偿请求，若拒绝，又如何对赔偿金额进行界定。对于有充分证据证明权利人的损失或者侵权人的获利限额已明显高于法定赔偿限额的情况，虽然对于精确计算具体金额无法完成，但是如果权利人在进行赔偿计算过程中，可以有明确的计算、得出过程，那么人民法院可以支持权利人赔偿额度的合理性。</w:t>
      </w:r>
    </w:p>
    <w:p w14:paraId="14DE157F" w14:textId="75718A03" w:rsidR="002E3012" w:rsidRPr="00544969" w:rsidRDefault="002E3012" w:rsidP="00F64A81">
      <w:pPr>
        <w:autoSpaceDE w:val="0"/>
        <w:autoSpaceDN w:val="0"/>
        <w:adjustRightInd w:val="0"/>
        <w:spacing w:after="240" w:line="340" w:lineRule="atLeast"/>
        <w:jc w:val="left"/>
        <w:rPr>
          <w:rFonts w:hint="eastAsia"/>
          <w:sz w:val="21"/>
        </w:rPr>
      </w:pPr>
      <w:r>
        <w:rPr>
          <w:rFonts w:hint="eastAsia"/>
          <w:sz w:val="21"/>
        </w:rPr>
        <w:t>本案中，松下株式会社主张的300万元的赔偿数额，是在公证取证的背景下，于部分电商平台上检索得到侵权产品销售数量，产品的平均价格，以及《最高人民法院关于审理专利纠纷案件适用法律问题的若干规定》第20条依据：</w:t>
      </w:r>
      <w:r w:rsidRPr="002E3012">
        <w:rPr>
          <w:sz w:val="21"/>
        </w:rPr>
        <w:t>专利法第 65 条规定的侵权人因侵权所获得的利益可以 根据该侵权产品在市场上销售的总数乘以每件侵权产品的合理利润所得之积计算</w:t>
      </w:r>
      <w:r>
        <w:rPr>
          <w:sz w:val="21"/>
        </w:rPr>
        <w:t>，</w:t>
      </w:r>
      <w:r>
        <w:rPr>
          <w:rFonts w:hint="eastAsia"/>
          <w:sz w:val="21"/>
        </w:rPr>
        <w:t>松下株式会社所要求赔偿数额完全合理</w:t>
      </w:r>
      <w:r w:rsidR="003F17A3">
        <w:rPr>
          <w:rFonts w:hint="eastAsia"/>
          <w:sz w:val="21"/>
        </w:rPr>
        <w:t>，其所要求的关于经济赔偿的请求，具有法律和事实依据，当予确认。</w:t>
      </w:r>
    </w:p>
    <w:p w14:paraId="71B35D43" w14:textId="1D7056F7" w:rsidR="00544969" w:rsidRDefault="00544969" w:rsidP="00F64A81">
      <w:pPr>
        <w:autoSpaceDE w:val="0"/>
        <w:autoSpaceDN w:val="0"/>
        <w:adjustRightInd w:val="0"/>
        <w:spacing w:after="240" w:line="340" w:lineRule="atLeast"/>
        <w:jc w:val="left"/>
        <w:rPr>
          <w:rFonts w:hint="eastAsia"/>
          <w:sz w:val="21"/>
        </w:rPr>
      </w:pPr>
      <w:r w:rsidRPr="00544969">
        <w:rPr>
          <w:rFonts w:hint="eastAsia"/>
          <w:sz w:val="21"/>
        </w:rPr>
        <w:t>三、</w:t>
      </w:r>
      <w:r w:rsidR="00DD3F43">
        <w:rPr>
          <w:rFonts w:hint="eastAsia"/>
          <w:sz w:val="21"/>
        </w:rPr>
        <w:t>对于本案所反映的“举证难，赔偿低”的问题，</w:t>
      </w:r>
      <w:r w:rsidR="00406CB7">
        <w:rPr>
          <w:rFonts w:hint="eastAsia"/>
          <w:sz w:val="21"/>
        </w:rPr>
        <w:t>由于</w:t>
      </w:r>
      <w:r w:rsidR="008E1ADA">
        <w:rPr>
          <w:rFonts w:hint="eastAsia"/>
          <w:sz w:val="21"/>
        </w:rPr>
        <w:t>知识产权的无形性导致权利价值、侵权收益难以进行客观、准确量化评估，</w:t>
      </w:r>
      <w:r w:rsidR="006163B2">
        <w:rPr>
          <w:rFonts w:hint="eastAsia"/>
          <w:sz w:val="21"/>
        </w:rPr>
        <w:t>本案中涉案专利就是这样一种情况，它的高赔额体现了侵权赔偿反映、实现知识产权市场价值的司法保护理念。</w:t>
      </w:r>
    </w:p>
    <w:p w14:paraId="52BC50B0" w14:textId="776211A4" w:rsidR="006163B2" w:rsidRDefault="006163B2" w:rsidP="00F64A81">
      <w:pPr>
        <w:autoSpaceDE w:val="0"/>
        <w:autoSpaceDN w:val="0"/>
        <w:adjustRightInd w:val="0"/>
        <w:spacing w:after="240" w:line="340" w:lineRule="atLeast"/>
        <w:jc w:val="left"/>
        <w:rPr>
          <w:rFonts w:hint="eastAsia"/>
          <w:sz w:val="21"/>
        </w:rPr>
      </w:pPr>
      <w:r>
        <w:rPr>
          <w:rFonts w:hint="eastAsia"/>
          <w:sz w:val="21"/>
        </w:rPr>
        <w:t>本案的裁判思路为：</w:t>
      </w:r>
    </w:p>
    <w:p w14:paraId="4ED25DB7" w14:textId="17CE4BB2" w:rsidR="006163B2" w:rsidRPr="00CD3C96" w:rsidRDefault="00CD3C96" w:rsidP="00CD3C96">
      <w:pPr>
        <w:pStyle w:val="a4"/>
        <w:numPr>
          <w:ilvl w:val="0"/>
          <w:numId w:val="4"/>
        </w:numPr>
        <w:autoSpaceDE w:val="0"/>
        <w:autoSpaceDN w:val="0"/>
        <w:adjustRightInd w:val="0"/>
        <w:spacing w:after="240" w:line="340" w:lineRule="atLeast"/>
        <w:jc w:val="left"/>
        <w:rPr>
          <w:rFonts w:hint="eastAsia"/>
          <w:sz w:val="21"/>
        </w:rPr>
      </w:pPr>
      <w:r w:rsidRPr="00CD3C96">
        <w:rPr>
          <w:rFonts w:hint="eastAsia"/>
          <w:sz w:val="21"/>
        </w:rPr>
        <w:t>根据专利法关于损害赔偿的法定顺序，明确了双方当事人行为意义上的证明责任；</w:t>
      </w:r>
    </w:p>
    <w:p w14:paraId="2C9EF504" w14:textId="1C4FAB92" w:rsidR="00CD3C96" w:rsidRDefault="00CD3C96" w:rsidP="00CD3C96">
      <w:pPr>
        <w:pStyle w:val="a4"/>
        <w:numPr>
          <w:ilvl w:val="0"/>
          <w:numId w:val="4"/>
        </w:numPr>
        <w:autoSpaceDE w:val="0"/>
        <w:autoSpaceDN w:val="0"/>
        <w:adjustRightInd w:val="0"/>
        <w:spacing w:after="240" w:line="340" w:lineRule="atLeast"/>
        <w:jc w:val="left"/>
        <w:rPr>
          <w:rFonts w:hint="eastAsia"/>
          <w:sz w:val="21"/>
        </w:rPr>
      </w:pPr>
      <w:r>
        <w:rPr>
          <w:rFonts w:hint="eastAsia"/>
          <w:sz w:val="21"/>
        </w:rPr>
        <w:t>根据民事诉讼司法解释的规定及专利权的特点，明确了专利损害事实审查、认定应遵循的证明标准；</w:t>
      </w:r>
    </w:p>
    <w:p w14:paraId="6D5A821F" w14:textId="152145D1" w:rsidR="00CD3C96" w:rsidRPr="00CD3C96" w:rsidRDefault="00CD3C96" w:rsidP="00CD3C96">
      <w:pPr>
        <w:pStyle w:val="a4"/>
        <w:numPr>
          <w:ilvl w:val="0"/>
          <w:numId w:val="4"/>
        </w:numPr>
        <w:autoSpaceDE w:val="0"/>
        <w:autoSpaceDN w:val="0"/>
        <w:adjustRightInd w:val="0"/>
        <w:spacing w:after="240" w:line="340" w:lineRule="atLeast"/>
        <w:jc w:val="left"/>
        <w:rPr>
          <w:rFonts w:hint="eastAsia"/>
          <w:sz w:val="21"/>
        </w:rPr>
      </w:pPr>
      <w:r>
        <w:rPr>
          <w:rFonts w:hint="eastAsia"/>
          <w:sz w:val="21"/>
        </w:rPr>
        <w:t>考虑到专利损害事实举证难、当事人举证能力以及规则导向，进一步明确专利侵权获得的举证分配及认定规则。</w:t>
      </w:r>
      <w:bookmarkStart w:id="0" w:name="_GoBack"/>
      <w:bookmarkEnd w:id="0"/>
    </w:p>
    <w:p w14:paraId="49A46504" w14:textId="77777777" w:rsidR="000624B8" w:rsidRPr="00544969" w:rsidRDefault="000624B8" w:rsidP="00544969">
      <w:pPr>
        <w:autoSpaceDE w:val="0"/>
        <w:autoSpaceDN w:val="0"/>
        <w:adjustRightInd w:val="0"/>
        <w:spacing w:after="240" w:line="340" w:lineRule="atLeast"/>
        <w:jc w:val="left"/>
        <w:rPr>
          <w:rFonts w:hint="eastAsia"/>
          <w:b/>
          <w:i/>
          <w:sz w:val="21"/>
        </w:rPr>
      </w:pPr>
    </w:p>
    <w:p w14:paraId="719DC9F1" w14:textId="42CFD2B8" w:rsidR="00C3364D" w:rsidRPr="000624B8" w:rsidRDefault="00C3364D" w:rsidP="00C3364D">
      <w:pPr>
        <w:pStyle w:val="a4"/>
        <w:numPr>
          <w:ilvl w:val="0"/>
          <w:numId w:val="3"/>
        </w:numPr>
        <w:rPr>
          <w:rStyle w:val="ab"/>
        </w:rPr>
      </w:pPr>
      <w:r w:rsidRPr="000624B8">
        <w:rPr>
          <w:rStyle w:val="ab"/>
          <w:rFonts w:hint="eastAsia"/>
        </w:rPr>
        <w:t>参考文献及链接</w:t>
      </w:r>
    </w:p>
    <w:p w14:paraId="48DCB9E3" w14:textId="62261CEF" w:rsidR="006254AA" w:rsidRPr="001D56C4" w:rsidRDefault="000F60D2" w:rsidP="001D56C4">
      <w:pPr>
        <w:autoSpaceDE w:val="0"/>
        <w:autoSpaceDN w:val="0"/>
        <w:adjustRightInd w:val="0"/>
        <w:spacing w:after="240" w:line="440" w:lineRule="atLeast"/>
        <w:jc w:val="left"/>
        <w:rPr>
          <w:rFonts w:hint="eastAsia"/>
          <w:sz w:val="21"/>
        </w:rPr>
      </w:pPr>
      <w:r w:rsidRPr="001D56C4">
        <w:rPr>
          <w:rFonts w:hint="eastAsia"/>
          <w:sz w:val="21"/>
        </w:rPr>
        <w:t>《</w:t>
      </w:r>
      <w:r w:rsidR="006254AA" w:rsidRPr="001D56C4">
        <w:rPr>
          <w:sz w:val="21"/>
        </w:rPr>
        <w:t>专利侵权损害赔偿确定的举证规则与证明标准</w:t>
      </w:r>
      <w:r w:rsidRPr="001D56C4">
        <w:rPr>
          <w:rFonts w:hint="eastAsia"/>
          <w:sz w:val="21"/>
        </w:rPr>
        <w:t>》</w:t>
      </w:r>
      <w:r w:rsidR="006254AA" w:rsidRPr="001D56C4">
        <w:rPr>
          <w:rFonts w:hint="eastAsia"/>
          <w:sz w:val="21"/>
        </w:rPr>
        <w:t xml:space="preserve"> </w:t>
      </w:r>
      <w:r w:rsidR="006254AA" w:rsidRPr="001D56C4">
        <w:rPr>
          <w:sz w:val="21"/>
        </w:rPr>
        <w:t xml:space="preserve">苏志甫 * </w:t>
      </w:r>
    </w:p>
    <w:p w14:paraId="06503D00" w14:textId="259FDB40" w:rsidR="00C3364D" w:rsidRDefault="00C3364D" w:rsidP="00C3364D">
      <w:r w:rsidRPr="00C3364D">
        <w:t>http://castscs.org.cn/IndexFaGuiZhaiYao/10044.jhtml</w:t>
      </w:r>
    </w:p>
    <w:p w14:paraId="7D18C44E" w14:textId="7EB2779E" w:rsidR="00793BE3" w:rsidRDefault="007F55A9">
      <w:r w:rsidRPr="007F55A9">
        <w:t>http://www.hnzl.com/sitegroup/root/html/ff8080814d8de009014d942af55c06b3/95adfc3a24e04477a620bf7596c2d5ee.html</w:t>
      </w:r>
    </w:p>
    <w:sectPr w:rsidR="00793BE3" w:rsidSect="00DC7F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918"/>
    <w:multiLevelType w:val="hybridMultilevel"/>
    <w:tmpl w:val="5EA0BE3C"/>
    <w:lvl w:ilvl="0" w:tplc="C066884C">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03944CF"/>
    <w:multiLevelType w:val="hybridMultilevel"/>
    <w:tmpl w:val="3F4252E4"/>
    <w:lvl w:ilvl="0" w:tplc="1BAC09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F4E5F23"/>
    <w:multiLevelType w:val="hybridMultilevel"/>
    <w:tmpl w:val="FAC0277E"/>
    <w:lvl w:ilvl="0" w:tplc="3630525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B387513"/>
    <w:multiLevelType w:val="multilevel"/>
    <w:tmpl w:val="451E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8F"/>
    <w:rsid w:val="000624B8"/>
    <w:rsid w:val="000F60D2"/>
    <w:rsid w:val="001D56C4"/>
    <w:rsid w:val="001E5E9A"/>
    <w:rsid w:val="0021097B"/>
    <w:rsid w:val="00280628"/>
    <w:rsid w:val="002E3012"/>
    <w:rsid w:val="00335E50"/>
    <w:rsid w:val="003D5D99"/>
    <w:rsid w:val="003F17A3"/>
    <w:rsid w:val="00406CB7"/>
    <w:rsid w:val="004A692A"/>
    <w:rsid w:val="00524179"/>
    <w:rsid w:val="00544969"/>
    <w:rsid w:val="005D529C"/>
    <w:rsid w:val="006163B2"/>
    <w:rsid w:val="006254AA"/>
    <w:rsid w:val="00631BDD"/>
    <w:rsid w:val="00670A1C"/>
    <w:rsid w:val="00775675"/>
    <w:rsid w:val="00791C8F"/>
    <w:rsid w:val="00793BE3"/>
    <w:rsid w:val="007F55A9"/>
    <w:rsid w:val="00897F55"/>
    <w:rsid w:val="008B6C73"/>
    <w:rsid w:val="008C1D3A"/>
    <w:rsid w:val="008E1ADA"/>
    <w:rsid w:val="00952740"/>
    <w:rsid w:val="009C0BB4"/>
    <w:rsid w:val="00A43786"/>
    <w:rsid w:val="00A7592F"/>
    <w:rsid w:val="00AE16F8"/>
    <w:rsid w:val="00BE2C5D"/>
    <w:rsid w:val="00C3364D"/>
    <w:rsid w:val="00C354AB"/>
    <w:rsid w:val="00C55FDE"/>
    <w:rsid w:val="00C738A2"/>
    <w:rsid w:val="00CD3C96"/>
    <w:rsid w:val="00D01AB4"/>
    <w:rsid w:val="00D42DF8"/>
    <w:rsid w:val="00D55031"/>
    <w:rsid w:val="00DC7FE9"/>
    <w:rsid w:val="00DD3F43"/>
    <w:rsid w:val="00E86E01"/>
    <w:rsid w:val="00F55AF6"/>
    <w:rsid w:val="00F60E78"/>
    <w:rsid w:val="00F64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F1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E3012"/>
  </w:style>
  <w:style w:type="paragraph" w:styleId="1">
    <w:name w:val="heading 1"/>
    <w:basedOn w:val="a"/>
    <w:next w:val="a"/>
    <w:link w:val="10"/>
    <w:uiPriority w:val="9"/>
    <w:qFormat/>
    <w:rsid w:val="000624B8"/>
    <w:pPr>
      <w:spacing w:before="300" w:after="40"/>
      <w:jc w:val="left"/>
      <w:outlineLvl w:val="0"/>
    </w:pPr>
    <w:rPr>
      <w:smallCaps/>
      <w:spacing w:val="5"/>
      <w:sz w:val="32"/>
      <w:szCs w:val="32"/>
    </w:rPr>
  </w:style>
  <w:style w:type="paragraph" w:styleId="2">
    <w:name w:val="heading 2"/>
    <w:basedOn w:val="a"/>
    <w:next w:val="a"/>
    <w:link w:val="20"/>
    <w:uiPriority w:val="9"/>
    <w:semiHidden/>
    <w:unhideWhenUsed/>
    <w:qFormat/>
    <w:rsid w:val="000624B8"/>
    <w:pPr>
      <w:spacing w:before="240" w:after="80"/>
      <w:jc w:val="left"/>
      <w:outlineLvl w:val="1"/>
    </w:pPr>
    <w:rPr>
      <w:smallCaps/>
      <w:spacing w:val="5"/>
      <w:sz w:val="28"/>
      <w:szCs w:val="28"/>
    </w:rPr>
  </w:style>
  <w:style w:type="paragraph" w:styleId="3">
    <w:name w:val="heading 3"/>
    <w:basedOn w:val="a"/>
    <w:next w:val="a"/>
    <w:link w:val="30"/>
    <w:uiPriority w:val="9"/>
    <w:semiHidden/>
    <w:unhideWhenUsed/>
    <w:qFormat/>
    <w:rsid w:val="000624B8"/>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0624B8"/>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0624B8"/>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0624B8"/>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0624B8"/>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0624B8"/>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0624B8"/>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3BE3"/>
    <w:pPr>
      <w:spacing w:before="100" w:beforeAutospacing="1" w:after="100" w:afterAutospacing="1"/>
      <w:jc w:val="left"/>
    </w:pPr>
    <w:rPr>
      <w:rFonts w:ascii="Times New Roman" w:hAnsi="Times New Roman" w:cs="Times New Roman"/>
    </w:rPr>
  </w:style>
  <w:style w:type="paragraph" w:styleId="a4">
    <w:name w:val="List Paragraph"/>
    <w:basedOn w:val="a"/>
    <w:uiPriority w:val="34"/>
    <w:qFormat/>
    <w:rsid w:val="000624B8"/>
    <w:pPr>
      <w:ind w:left="720"/>
      <w:contextualSpacing/>
    </w:pPr>
  </w:style>
  <w:style w:type="paragraph" w:customStyle="1" w:styleId="PersonalName">
    <w:name w:val="Personal Name"/>
    <w:basedOn w:val="a5"/>
    <w:rsid w:val="000624B8"/>
    <w:rPr>
      <w:b/>
      <w:caps/>
      <w:color w:val="000000"/>
      <w:sz w:val="28"/>
      <w:szCs w:val="28"/>
    </w:rPr>
  </w:style>
  <w:style w:type="paragraph" w:styleId="a5">
    <w:name w:val="Title"/>
    <w:basedOn w:val="a"/>
    <w:next w:val="a"/>
    <w:link w:val="a6"/>
    <w:uiPriority w:val="10"/>
    <w:qFormat/>
    <w:rsid w:val="000624B8"/>
    <w:pPr>
      <w:pBdr>
        <w:top w:val="single" w:sz="12" w:space="1" w:color="ED7D31" w:themeColor="accent2"/>
      </w:pBdr>
      <w:spacing w:line="240" w:lineRule="auto"/>
      <w:jc w:val="right"/>
    </w:pPr>
    <w:rPr>
      <w:smallCaps/>
      <w:sz w:val="48"/>
      <w:szCs w:val="48"/>
    </w:rPr>
  </w:style>
  <w:style w:type="character" w:customStyle="1" w:styleId="a6">
    <w:name w:val="标题字符"/>
    <w:basedOn w:val="a0"/>
    <w:link w:val="a5"/>
    <w:uiPriority w:val="10"/>
    <w:rsid w:val="000624B8"/>
    <w:rPr>
      <w:smallCaps/>
      <w:sz w:val="48"/>
      <w:szCs w:val="48"/>
    </w:rPr>
  </w:style>
  <w:style w:type="character" w:customStyle="1" w:styleId="10">
    <w:name w:val="标题 1字符"/>
    <w:basedOn w:val="a0"/>
    <w:link w:val="1"/>
    <w:uiPriority w:val="9"/>
    <w:rsid w:val="000624B8"/>
    <w:rPr>
      <w:smallCaps/>
      <w:spacing w:val="5"/>
      <w:sz w:val="32"/>
      <w:szCs w:val="32"/>
    </w:rPr>
  </w:style>
  <w:style w:type="character" w:customStyle="1" w:styleId="20">
    <w:name w:val="标题 2字符"/>
    <w:basedOn w:val="a0"/>
    <w:link w:val="2"/>
    <w:uiPriority w:val="9"/>
    <w:semiHidden/>
    <w:rsid w:val="000624B8"/>
    <w:rPr>
      <w:smallCaps/>
      <w:spacing w:val="5"/>
      <w:sz w:val="28"/>
      <w:szCs w:val="28"/>
    </w:rPr>
  </w:style>
  <w:style w:type="character" w:customStyle="1" w:styleId="30">
    <w:name w:val="标题 3字符"/>
    <w:basedOn w:val="a0"/>
    <w:link w:val="3"/>
    <w:uiPriority w:val="9"/>
    <w:semiHidden/>
    <w:rsid w:val="000624B8"/>
    <w:rPr>
      <w:smallCaps/>
      <w:spacing w:val="5"/>
      <w:sz w:val="24"/>
      <w:szCs w:val="24"/>
    </w:rPr>
  </w:style>
  <w:style w:type="character" w:customStyle="1" w:styleId="40">
    <w:name w:val="标题 4字符"/>
    <w:basedOn w:val="a0"/>
    <w:link w:val="4"/>
    <w:uiPriority w:val="9"/>
    <w:semiHidden/>
    <w:rsid w:val="000624B8"/>
    <w:rPr>
      <w:smallCaps/>
      <w:spacing w:val="10"/>
      <w:sz w:val="22"/>
      <w:szCs w:val="22"/>
    </w:rPr>
  </w:style>
  <w:style w:type="character" w:customStyle="1" w:styleId="50">
    <w:name w:val="标题 5字符"/>
    <w:basedOn w:val="a0"/>
    <w:link w:val="5"/>
    <w:uiPriority w:val="9"/>
    <w:semiHidden/>
    <w:rsid w:val="000624B8"/>
    <w:rPr>
      <w:smallCaps/>
      <w:color w:val="C45911" w:themeColor="accent2" w:themeShade="BF"/>
      <w:spacing w:val="10"/>
      <w:sz w:val="22"/>
      <w:szCs w:val="26"/>
    </w:rPr>
  </w:style>
  <w:style w:type="character" w:customStyle="1" w:styleId="60">
    <w:name w:val="标题 6字符"/>
    <w:basedOn w:val="a0"/>
    <w:link w:val="6"/>
    <w:uiPriority w:val="9"/>
    <w:semiHidden/>
    <w:rsid w:val="000624B8"/>
    <w:rPr>
      <w:smallCaps/>
      <w:color w:val="ED7D31" w:themeColor="accent2"/>
      <w:spacing w:val="5"/>
      <w:sz w:val="22"/>
    </w:rPr>
  </w:style>
  <w:style w:type="character" w:customStyle="1" w:styleId="70">
    <w:name w:val="标题 7字符"/>
    <w:basedOn w:val="a0"/>
    <w:link w:val="7"/>
    <w:uiPriority w:val="9"/>
    <w:semiHidden/>
    <w:rsid w:val="000624B8"/>
    <w:rPr>
      <w:b/>
      <w:smallCaps/>
      <w:color w:val="ED7D31" w:themeColor="accent2"/>
      <w:spacing w:val="10"/>
    </w:rPr>
  </w:style>
  <w:style w:type="character" w:customStyle="1" w:styleId="80">
    <w:name w:val="标题 8字符"/>
    <w:basedOn w:val="a0"/>
    <w:link w:val="8"/>
    <w:uiPriority w:val="9"/>
    <w:semiHidden/>
    <w:rsid w:val="000624B8"/>
    <w:rPr>
      <w:b/>
      <w:i/>
      <w:smallCaps/>
      <w:color w:val="C45911" w:themeColor="accent2" w:themeShade="BF"/>
    </w:rPr>
  </w:style>
  <w:style w:type="character" w:customStyle="1" w:styleId="90">
    <w:name w:val="标题 9字符"/>
    <w:basedOn w:val="a0"/>
    <w:link w:val="9"/>
    <w:uiPriority w:val="9"/>
    <w:semiHidden/>
    <w:rsid w:val="000624B8"/>
    <w:rPr>
      <w:b/>
      <w:i/>
      <w:smallCaps/>
      <w:color w:val="823B0B" w:themeColor="accent2" w:themeShade="7F"/>
    </w:rPr>
  </w:style>
  <w:style w:type="paragraph" w:styleId="a7">
    <w:name w:val="caption"/>
    <w:basedOn w:val="a"/>
    <w:next w:val="a"/>
    <w:uiPriority w:val="35"/>
    <w:semiHidden/>
    <w:unhideWhenUsed/>
    <w:qFormat/>
    <w:rsid w:val="000624B8"/>
    <w:rPr>
      <w:b/>
      <w:bCs/>
      <w:caps/>
      <w:sz w:val="16"/>
      <w:szCs w:val="18"/>
    </w:rPr>
  </w:style>
  <w:style w:type="paragraph" w:styleId="a8">
    <w:name w:val="Subtitle"/>
    <w:basedOn w:val="a"/>
    <w:next w:val="a"/>
    <w:link w:val="a9"/>
    <w:uiPriority w:val="11"/>
    <w:qFormat/>
    <w:rsid w:val="000624B8"/>
    <w:pPr>
      <w:spacing w:after="720" w:line="240" w:lineRule="auto"/>
      <w:jc w:val="right"/>
    </w:pPr>
    <w:rPr>
      <w:rFonts w:asciiTheme="majorHAnsi" w:eastAsiaTheme="majorEastAsia" w:hAnsiTheme="majorHAnsi" w:cstheme="majorBidi"/>
      <w:szCs w:val="22"/>
    </w:rPr>
  </w:style>
  <w:style w:type="character" w:customStyle="1" w:styleId="a9">
    <w:name w:val="副标题字符"/>
    <w:basedOn w:val="a0"/>
    <w:link w:val="a8"/>
    <w:uiPriority w:val="11"/>
    <w:rsid w:val="000624B8"/>
    <w:rPr>
      <w:rFonts w:asciiTheme="majorHAnsi" w:eastAsiaTheme="majorEastAsia" w:hAnsiTheme="majorHAnsi" w:cstheme="majorBidi"/>
      <w:szCs w:val="22"/>
    </w:rPr>
  </w:style>
  <w:style w:type="character" w:styleId="aa">
    <w:name w:val="Strong"/>
    <w:uiPriority w:val="22"/>
    <w:qFormat/>
    <w:rsid w:val="000624B8"/>
    <w:rPr>
      <w:b/>
      <w:color w:val="ED7D31" w:themeColor="accent2"/>
    </w:rPr>
  </w:style>
  <w:style w:type="character" w:styleId="ab">
    <w:name w:val="Emphasis"/>
    <w:uiPriority w:val="20"/>
    <w:qFormat/>
    <w:rsid w:val="000624B8"/>
    <w:rPr>
      <w:b/>
      <w:i/>
      <w:spacing w:val="10"/>
    </w:rPr>
  </w:style>
  <w:style w:type="paragraph" w:styleId="ac">
    <w:name w:val="No Spacing"/>
    <w:basedOn w:val="a"/>
    <w:link w:val="ad"/>
    <w:uiPriority w:val="1"/>
    <w:qFormat/>
    <w:rsid w:val="000624B8"/>
    <w:pPr>
      <w:spacing w:after="0" w:line="240" w:lineRule="auto"/>
    </w:pPr>
  </w:style>
  <w:style w:type="character" w:customStyle="1" w:styleId="ad">
    <w:name w:val="无间隔字符"/>
    <w:basedOn w:val="a0"/>
    <w:link w:val="ac"/>
    <w:uiPriority w:val="1"/>
    <w:rsid w:val="000624B8"/>
  </w:style>
  <w:style w:type="paragraph" w:styleId="ae">
    <w:name w:val="Quote"/>
    <w:basedOn w:val="a"/>
    <w:next w:val="a"/>
    <w:link w:val="af"/>
    <w:uiPriority w:val="29"/>
    <w:qFormat/>
    <w:rsid w:val="000624B8"/>
    <w:rPr>
      <w:i/>
    </w:rPr>
  </w:style>
  <w:style w:type="character" w:customStyle="1" w:styleId="af">
    <w:name w:val="引用字符"/>
    <w:basedOn w:val="a0"/>
    <w:link w:val="ae"/>
    <w:uiPriority w:val="29"/>
    <w:rsid w:val="000624B8"/>
    <w:rPr>
      <w:i/>
    </w:rPr>
  </w:style>
  <w:style w:type="paragraph" w:styleId="af0">
    <w:name w:val="Intense Quote"/>
    <w:basedOn w:val="a"/>
    <w:next w:val="a"/>
    <w:link w:val="af1"/>
    <w:uiPriority w:val="30"/>
    <w:qFormat/>
    <w:rsid w:val="000624B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1">
    <w:name w:val="明显引用字符"/>
    <w:basedOn w:val="a0"/>
    <w:link w:val="af0"/>
    <w:uiPriority w:val="30"/>
    <w:rsid w:val="000624B8"/>
    <w:rPr>
      <w:b/>
      <w:i/>
      <w:color w:val="FFFFFF" w:themeColor="background1"/>
      <w:shd w:val="clear" w:color="auto" w:fill="ED7D31" w:themeFill="accent2"/>
    </w:rPr>
  </w:style>
  <w:style w:type="character" w:styleId="af2">
    <w:name w:val="Subtle Emphasis"/>
    <w:uiPriority w:val="19"/>
    <w:qFormat/>
    <w:rsid w:val="000624B8"/>
    <w:rPr>
      <w:i/>
    </w:rPr>
  </w:style>
  <w:style w:type="character" w:styleId="af3">
    <w:name w:val="Intense Emphasis"/>
    <w:uiPriority w:val="21"/>
    <w:qFormat/>
    <w:rsid w:val="000624B8"/>
    <w:rPr>
      <w:b/>
      <w:i/>
      <w:color w:val="ED7D31" w:themeColor="accent2"/>
      <w:spacing w:val="10"/>
    </w:rPr>
  </w:style>
  <w:style w:type="character" w:styleId="af4">
    <w:name w:val="Subtle Reference"/>
    <w:uiPriority w:val="31"/>
    <w:qFormat/>
    <w:rsid w:val="000624B8"/>
    <w:rPr>
      <w:b/>
    </w:rPr>
  </w:style>
  <w:style w:type="character" w:styleId="af5">
    <w:name w:val="Intense Reference"/>
    <w:uiPriority w:val="32"/>
    <w:qFormat/>
    <w:rsid w:val="000624B8"/>
    <w:rPr>
      <w:b/>
      <w:bCs/>
      <w:smallCaps/>
      <w:spacing w:val="5"/>
      <w:sz w:val="22"/>
      <w:szCs w:val="22"/>
      <w:u w:val="single"/>
    </w:rPr>
  </w:style>
  <w:style w:type="character" w:styleId="af6">
    <w:name w:val="Book Title"/>
    <w:uiPriority w:val="33"/>
    <w:qFormat/>
    <w:rsid w:val="000624B8"/>
    <w:rPr>
      <w:rFonts w:asciiTheme="majorHAnsi" w:eastAsiaTheme="majorEastAsia" w:hAnsiTheme="majorHAnsi" w:cstheme="majorBidi"/>
      <w:i/>
      <w:iCs/>
      <w:sz w:val="20"/>
      <w:szCs w:val="20"/>
    </w:rPr>
  </w:style>
  <w:style w:type="paragraph" w:styleId="af7">
    <w:name w:val="TOC Heading"/>
    <w:basedOn w:val="1"/>
    <w:next w:val="a"/>
    <w:uiPriority w:val="39"/>
    <w:semiHidden/>
    <w:unhideWhenUsed/>
    <w:qFormat/>
    <w:rsid w:val="000624B8"/>
    <w:pPr>
      <w:outlineLvl w:val="9"/>
    </w:pPr>
  </w:style>
  <w:style w:type="character" w:styleId="af8">
    <w:name w:val="Hyperlink"/>
    <w:basedOn w:val="a0"/>
    <w:uiPriority w:val="99"/>
    <w:unhideWhenUsed/>
    <w:rsid w:val="00BE2C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027508">
      <w:bodyDiv w:val="1"/>
      <w:marLeft w:val="0"/>
      <w:marRight w:val="0"/>
      <w:marTop w:val="0"/>
      <w:marBottom w:val="0"/>
      <w:divBdr>
        <w:top w:val="none" w:sz="0" w:space="0" w:color="auto"/>
        <w:left w:val="none" w:sz="0" w:space="0" w:color="auto"/>
        <w:bottom w:val="none" w:sz="0" w:space="0" w:color="auto"/>
        <w:right w:val="none" w:sz="0" w:space="0" w:color="auto"/>
      </w:divBdr>
    </w:div>
    <w:div w:id="1631282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jd.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58B53DF2-6522-D644-8BC5-3F007A28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Pages>
  <Words>523</Words>
  <Characters>2985</Characters>
  <Application>Microsoft Macintosh Word</Application>
  <DocSecurity>0</DocSecurity>
  <Lines>24</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中欢</dc:creator>
  <cp:keywords/>
  <dc:description/>
  <cp:lastModifiedBy>李 中欢</cp:lastModifiedBy>
  <cp:revision>33</cp:revision>
  <dcterms:created xsi:type="dcterms:W3CDTF">2018-05-14T15:14:00Z</dcterms:created>
  <dcterms:modified xsi:type="dcterms:W3CDTF">2018-05-18T18:57:00Z</dcterms:modified>
</cp:coreProperties>
</file>