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C7A2B"/>
          <w:spacing w:val="60"/>
          <w:sz w:val="17"/>
          <w:szCs w:val="17"/>
        </w:rPr>
        <w:t xml:space="preserve">LIMITARA TECHNOLOGIES  ·  LIMITLESS</w:t>
      </w:r>
    </w:p>
    <w:p>
      <w:pPr>
        <w:spacing w:after="60"/>
      </w:pPr>
      <w:r>
        <w:rPr>
          <w:b/>
          <w:bCs/>
          <w:color w:val="1B2A44"/>
          <w:sz w:val="40"/>
          <w:szCs w:val="40"/>
        </w:rPr>
        <w:t xml:space="preserve">Build: The Metered Action Gateway</w:t>
      </w:r>
    </w:p>
    <w:p>
      <w:pPr>
        <w:spacing w:after="40"/>
      </w:pPr>
      <w:r>
        <w:rPr>
          <w:i/>
          <w:iCs/>
          <w:color w:val="1B2A44"/>
          <w:sz w:val="24"/>
          <w:szCs w:val="24"/>
        </w:rPr>
        <w:t xml:space="preserve">Agents act on customers' ERPs. Every action costs credits, must happen exactly once, and must not corrupt the cache.</w:t>
      </w:r>
    </w:p>
    <w:p>
      <w:pPr>
        <w:spacing w:after="200"/>
      </w:pPr>
      <w:r>
        <w:rPr>
          <w:color w:val="555555"/>
          <w:sz w:val="20"/>
          <w:szCs w:val="20"/>
        </w:rPr>
        <w:t xml:space="preserve">Candidate: Priyanshu Verma   ·   Timebox: 3–4 days   ·   Review: 45 minutes</w:t>
      </w:r>
    </w:p>
    <w:p>
      <w:pPr>
        <w:pBdr>
          <w:bottom w:val="single" w:color="C9CDD4" w:sz="6"/>
        </w:pBdr>
        <w:spacing w:after="120" w:before="120"/>
      </w:pPr>
    </w:p>
    <w:p>
      <w:pPr>
        <w:pStyle w:val="Heading1"/>
        <w:spacing w:after="140" w:before="280"/>
      </w:pPr>
      <w:r>
        <w:rPr>
          <w:color w:val="1B2A44"/>
        </w:rPr>
        <w:t xml:space="preserve">1. The Situation</w:t>
      </w:r>
    </w:p>
    <w:p>
      <w:pPr>
        <w:pBdr>
          <w:left w:val="single" w:color="9C7A2B" w:sz="12" w:space="10"/>
        </w:pBdr>
        <w:spacing w:after="120" w:before="80"/>
        <w:ind w:left="400"/>
      </w:pPr>
      <w:r>
        <w:rPr>
          <w:i/>
          <w:iCs/>
          <w:color w:val="1B2A44"/>
          <w:sz w:val="22"/>
          <w:szCs w:val="22"/>
        </w:rPr>
        <w:t xml:space="preserve">A tenant's agent decides to post a payment against a vendor invoice in their SAP instance. The payment must debit the tenant's credit wallet, reach SAP exactly once, update every cached view of that invoice, and respect SAP's rate limit, even if SAP times out after it has already saved the payment.</w:t>
      </w:r>
    </w:p>
    <w:p>
      <w:pPr>
        <w:spacing w:after="110"/>
      </w:pPr>
      <w:r>
        <w:rPr>
          <w:b w:val="false"/>
          <w:bCs w:val="false"/>
          <w:i w:val="false"/>
          <w:iCs w:val="false"/>
          <w:color w:val="222222"/>
          <w:sz w:val="21"/>
          <w:szCs w:val="21"/>
        </w:rPr>
        <w:t xml:space="preserve">Build the gateway that sits between agents and external ERPs. Every action passes through it. It meters the action, enforces safety guarantees, caches reads where that is safe, and reports exactly what happened. The ERP is a mock with realistic failure modes; the gateway is the thing under test.</w:t>
      </w:r>
    </w:p>
    <w:p>
      <w:pPr>
        <w:spacing w:after="110"/>
      </w:pPr>
      <w:r>
        <w:rPr>
          <w:b w:val="false"/>
          <w:bCs w:val="false"/>
          <w:i w:val="false"/>
          <w:iCs w:val="false"/>
          <w:color w:val="222222"/>
          <w:sz w:val="21"/>
          <w:szCs w:val="21"/>
        </w:rPr>
        <w:t xml:space="preserve">This challenge is about judgement as much as code. For each mechanism below, you will choose one option and argue against the others. A senior engineer should be able to say when a tool is the wrong one.</w:t>
      </w:r>
    </w:p>
    <w:p>
      <w:pPr>
        <w:pStyle w:val="Heading1"/>
        <w:spacing w:after="140" w:before="280"/>
      </w:pPr>
      <w:r>
        <w:rPr>
          <w:color w:val="1B2A44"/>
        </w:rPr>
        <w:t xml:space="preserve">2. What You Build</w:t>
      </w:r>
    </w:p>
    <w:p>
      <w:pPr>
        <w:pStyle w:val="ListParagraph"/>
        <w:numPr>
          <w:ilvl w:val="0"/>
          <w:numId w:val="2"/>
        </w:numPr>
        <w:spacing w:after="70"/>
      </w:pPr>
      <w:r>
        <w:rPr>
          <w:sz w:val="21"/>
          <w:szCs w:val="21"/>
        </w:rPr>
        <w:t xml:space="preserve">Action API: submit(tenant, action_type, payload, idempotency_key) returns a durable action record</w:t>
      </w:r>
    </w:p>
    <w:p>
      <w:pPr>
        <w:pStyle w:val="ListParagraph"/>
        <w:numPr>
          <w:ilvl w:val="0"/>
          <w:numId w:val="2"/>
        </w:numPr>
        <w:spacing w:after="70"/>
      </w:pPr>
      <w:r>
        <w:rPr>
          <w:sz w:val="21"/>
          <w:szCs w:val="21"/>
        </w:rPr>
        <w:t xml:space="preserve">Wallet: credits held, debited, refunded, and reconciled against an append-only ledger</w:t>
      </w:r>
    </w:p>
    <w:p>
      <w:pPr>
        <w:pStyle w:val="ListParagraph"/>
        <w:numPr>
          <w:ilvl w:val="0"/>
          <w:numId w:val="2"/>
        </w:numPr>
        <w:spacing w:after="70"/>
      </w:pPr>
      <w:r>
        <w:rPr>
          <w:sz w:val="21"/>
          <w:szCs w:val="21"/>
        </w:rPr>
        <w:t xml:space="preserve">ERP connector with a mock SAP/Tally-style service that can time out after committing, return 429, return 503, and deliver stale reads</w:t>
      </w:r>
    </w:p>
    <w:p>
      <w:pPr>
        <w:pStyle w:val="ListParagraph"/>
        <w:numPr>
          <w:ilvl w:val="0"/>
          <w:numId w:val="2"/>
        </w:numPr>
        <w:spacing w:after="70"/>
      </w:pPr>
      <w:r>
        <w:rPr>
          <w:sz w:val="21"/>
          <w:szCs w:val="21"/>
        </w:rPr>
        <w:t xml:space="preserve">Read cache for ERP lookups, with a staleness budget per object type and invalidation from both writes and webhooks</w:t>
      </w:r>
    </w:p>
    <w:p>
      <w:pPr>
        <w:pStyle w:val="ListParagraph"/>
        <w:numPr>
          <w:ilvl w:val="0"/>
          <w:numId w:val="2"/>
        </w:numPr>
        <w:spacing w:after="70"/>
      </w:pPr>
      <w:r>
        <w:rPr>
          <w:sz w:val="21"/>
          <w:szCs w:val="21"/>
        </w:rPr>
        <w:t xml:space="preserve">Per-ERP rate limiter and a queue with backpressure so one tenant cannot starve others</w:t>
      </w:r>
    </w:p>
    <w:p>
      <w:pPr>
        <w:pStyle w:val="ListParagraph"/>
        <w:numPr>
          <w:ilvl w:val="0"/>
          <w:numId w:val="2"/>
        </w:numPr>
        <w:spacing w:after="70"/>
      </w:pPr>
      <w:r>
        <w:rPr>
          <w:sz w:val="21"/>
          <w:szCs w:val="21"/>
        </w:rPr>
        <w:t xml:space="preserve">LLM classification step (for example, categorising an invoice line) with results cached by content hash</w:t>
      </w:r>
    </w:p>
    <w:p>
      <w:pPr>
        <w:pStyle w:val="Heading1"/>
        <w:spacing w:after="140" w:before="280"/>
      </w:pPr>
      <w:r>
        <w:rPr>
          <w:color w:val="1B2A44"/>
        </w:rPr>
        <w:t xml:space="preserve">3. The Decision Record (Required)</w:t>
      </w:r>
    </w:p>
    <w:p>
      <w:pPr>
        <w:spacing w:after="110"/>
      </w:pPr>
      <w:r>
        <w:rPr>
          <w:b w:val="false"/>
          <w:bCs w:val="false"/>
          <w:i w:val="false"/>
          <w:iCs w:val="false"/>
          <w:color w:val="222222"/>
          <w:sz w:val="21"/>
          <w:szCs w:val="21"/>
        </w:rPr>
        <w:t xml:space="preserve">Include a file, DECISIONS.md, with one entry for each of the eight choices below. Each entry gives: the option you chose, the option you rejected, and the specific failure your choice prevents. A bare answer scores nothing.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600"/>
      </w:tblGrid>
      <w:tr>
        <w:trPr>
          <w:tblHeader/>
        </w:trPr>
        <w:tc>
          <w:tcPr>
            <w:tcW w:type="dxa" w:w="600"/>
            <w:shd w:fill="1B2A44" w:color="auto" w:val="clear"/>
            <w:tcMar>
              <w:top w:type="dxa" w:w="70"/>
              <w:left w:type="dxa" w:w="110"/>
              <w:bottom w:type="dxa" w:w="70"/>
              <w:right w:type="dxa" w:w="110"/>
            </w:tcMar>
          </w:tcPr>
          <w:p>
            <w:r>
              <w:rPr>
                <w:b/>
                <w:bCs/>
                <w:color w:val="FFFFFF"/>
                <w:sz w:val="19"/>
                <w:szCs w:val="19"/>
              </w:rPr>
              <w:t xml:space="preserve">#</w:t>
            </w:r>
          </w:p>
        </w:tc>
        <w:tc>
          <w:tcPr>
            <w:tcW w:type="dxa" w:w="3400"/>
            <w:shd w:fill="1B2A44" w:color="auto" w:val="clear"/>
            <w:tcMar>
              <w:top w:type="dxa" w:w="70"/>
              <w:left w:type="dxa" w:w="110"/>
              <w:bottom w:type="dxa" w:w="70"/>
              <w:right w:type="dxa" w:w="110"/>
            </w:tcMar>
          </w:tcPr>
          <w:p>
            <w:r>
              <w:rPr>
                <w:b/>
                <w:bCs/>
                <w:color w:val="FFFFFF"/>
                <w:sz w:val="19"/>
                <w:szCs w:val="19"/>
              </w:rPr>
              <w:t xml:space="preserve">Choice you must make</w:t>
            </w:r>
          </w:p>
        </w:tc>
        <w:tc>
          <w:tcPr>
            <w:tcW w:type="dxa" w:w="4600"/>
            <w:shd w:fill="1B2A44" w:color="auto" w:val="clear"/>
            <w:tcMar>
              <w:top w:type="dxa" w:w="70"/>
              <w:left w:type="dxa" w:w="110"/>
              <w:bottom w:type="dxa" w:w="70"/>
              <w:right w:type="dxa" w:w="110"/>
            </w:tcMar>
          </w:tcPr>
          <w:p>
            <w:r>
              <w:rPr>
                <w:b/>
                <w:bCs/>
                <w:color w:val="FFFFFF"/>
                <w:sz w:val="19"/>
                <w:szCs w:val="19"/>
              </w:rPr>
              <w:t xml:space="preserve">Options to weigh</w:t>
            </w:r>
          </w:p>
        </w:tc>
      </w:tr>
      <w:tr>
        <w:trPr>
          <w:tblHeader w:val="false"/>
        </w:trPr>
        <w:tc>
          <w:tcPr>
            <w:tcW w:type="dxa" w:w="600"/>
            <w:shd w:fill="F4F1EA" w:color="auto" w:val="clear"/>
            <w:tcMar>
              <w:top w:type="dxa" w:w="70"/>
              <w:left w:type="dxa" w:w="110"/>
              <w:bottom w:type="dxa" w:w="70"/>
              <w:right w:type="dxa" w:w="110"/>
            </w:tcMar>
          </w:tcPr>
          <w:p>
            <w:r>
              <w:rPr>
                <w:b w:val="false"/>
                <w:bCs w:val="false"/>
                <w:color w:val="222222"/>
                <w:sz w:val="19"/>
                <w:szCs w:val="19"/>
              </w:rPr>
              <w:t xml:space="preserve">D1</w:t>
            </w:r>
          </w:p>
        </w:tc>
        <w:tc>
          <w:tcPr>
            <w:tcW w:type="dxa" w:w="3400"/>
            <w:shd w:fill="F4F1EA" w:color="auto" w:val="clear"/>
            <w:tcMar>
              <w:top w:type="dxa" w:w="70"/>
              <w:left w:type="dxa" w:w="110"/>
              <w:bottom w:type="dxa" w:w="70"/>
              <w:right w:type="dxa" w:w="110"/>
            </w:tcMar>
          </w:tcPr>
          <w:p>
            <w:r>
              <w:rPr>
                <w:b w:val="false"/>
                <w:bCs w:val="false"/>
                <w:color w:val="222222"/>
                <w:sz w:val="19"/>
                <w:szCs w:val="19"/>
              </w:rPr>
              <w:t xml:space="preserve">How to guarantee the ERP write happens once</w:t>
            </w:r>
          </w:p>
        </w:tc>
        <w:tc>
          <w:tcPr>
            <w:tcW w:type="dxa" w:w="4600"/>
            <w:shd w:fill="F4F1EA" w:color="auto" w:val="clear"/>
            <w:tcMar>
              <w:top w:type="dxa" w:w="70"/>
              <w:left w:type="dxa" w:w="110"/>
              <w:bottom w:type="dxa" w:w="70"/>
              <w:right w:type="dxa" w:w="110"/>
            </w:tcMar>
          </w:tcPr>
          <w:p>
            <w:r>
              <w:rPr>
                <w:b w:val="false"/>
                <w:bCs w:val="false"/>
                <w:color w:val="222222"/>
                <w:sz w:val="19"/>
                <w:szCs w:val="19"/>
              </w:rPr>
              <w:t xml:space="preserve">Idempotency key at the ERP, own dedupe table, optimistic lock, or 'check then write'</w:t>
            </w:r>
          </w:p>
        </w:tc>
      </w:tr>
      <w:tr>
        <w:trPr>
          <w:tblHeader w:val="false"/>
        </w:trPr>
        <w:tc>
          <w:tcPr>
            <w:tcW w:type="dxa" w:w="600"/>
            <w:tcMar>
              <w:top w:type="dxa" w:w="70"/>
              <w:left w:type="dxa" w:w="110"/>
              <w:bottom w:type="dxa" w:w="70"/>
              <w:right w:type="dxa" w:w="110"/>
            </w:tcMar>
          </w:tcPr>
          <w:p>
            <w:r>
              <w:rPr>
                <w:b w:val="false"/>
                <w:bCs w:val="false"/>
                <w:color w:val="222222"/>
                <w:sz w:val="19"/>
                <w:szCs w:val="19"/>
              </w:rPr>
              <w:t xml:space="preserve">D2</w:t>
            </w:r>
          </w:p>
        </w:tc>
        <w:tc>
          <w:tcPr>
            <w:tcW w:type="dxa" w:w="3400"/>
            <w:tcMar>
              <w:top w:type="dxa" w:w="70"/>
              <w:left w:type="dxa" w:w="110"/>
              <w:bottom w:type="dxa" w:w="70"/>
              <w:right w:type="dxa" w:w="110"/>
            </w:tcMar>
          </w:tcPr>
          <w:p>
            <w:r>
              <w:rPr>
                <w:b w:val="false"/>
                <w:bCs w:val="false"/>
                <w:color w:val="222222"/>
                <w:sz w:val="19"/>
                <w:szCs w:val="19"/>
              </w:rPr>
              <w:t xml:space="preserve">What to do when the ERP outcome is unknown after a timeout</w:t>
            </w:r>
          </w:p>
        </w:tc>
        <w:tc>
          <w:tcPr>
            <w:tcW w:type="dxa" w:w="4600"/>
            <w:tcMar>
              <w:top w:type="dxa" w:w="70"/>
              <w:left w:type="dxa" w:w="110"/>
              <w:bottom w:type="dxa" w:w="70"/>
              <w:right w:type="dxa" w:w="110"/>
            </w:tcMar>
          </w:tcPr>
          <w:p>
            <w:r>
              <w:rPr>
                <w:b w:val="false"/>
                <w:bCs w:val="false"/>
                <w:color w:val="222222"/>
                <w:sz w:val="19"/>
                <w:szCs w:val="19"/>
              </w:rPr>
              <w:t xml:space="preserve">Retry, assume failure and refund, mark UNKNOWN and reconcile, or query the ERP first</w:t>
            </w:r>
          </w:p>
        </w:tc>
      </w:tr>
      <w:tr>
        <w:trPr>
          <w:tblHeader w:val="false"/>
        </w:trPr>
        <w:tc>
          <w:tcPr>
            <w:tcW w:type="dxa" w:w="600"/>
            <w:shd w:fill="F4F1EA" w:color="auto" w:val="clear"/>
            <w:tcMar>
              <w:top w:type="dxa" w:w="70"/>
              <w:left w:type="dxa" w:w="110"/>
              <w:bottom w:type="dxa" w:w="70"/>
              <w:right w:type="dxa" w:w="110"/>
            </w:tcMar>
          </w:tcPr>
          <w:p>
            <w:r>
              <w:rPr>
                <w:b w:val="false"/>
                <w:bCs w:val="false"/>
                <w:color w:val="222222"/>
                <w:sz w:val="19"/>
                <w:szCs w:val="19"/>
              </w:rPr>
              <w:t xml:space="preserve">D3</w:t>
            </w:r>
          </w:p>
        </w:tc>
        <w:tc>
          <w:tcPr>
            <w:tcW w:type="dxa" w:w="3400"/>
            <w:shd w:fill="F4F1EA" w:color="auto" w:val="clear"/>
            <w:tcMar>
              <w:top w:type="dxa" w:w="70"/>
              <w:left w:type="dxa" w:w="110"/>
              <w:bottom w:type="dxa" w:w="70"/>
              <w:right w:type="dxa" w:w="110"/>
            </w:tcMar>
          </w:tcPr>
          <w:p>
            <w:r>
              <w:rPr>
                <w:b w:val="false"/>
                <w:bCs w:val="false"/>
                <w:color w:val="222222"/>
                <w:sz w:val="19"/>
                <w:szCs w:val="19"/>
              </w:rPr>
              <w:t xml:space="preserve">Where the wallet debit lives relative to the action</w:t>
            </w:r>
          </w:p>
        </w:tc>
        <w:tc>
          <w:tcPr>
            <w:tcW w:type="dxa" w:w="4600"/>
            <w:shd w:fill="F4F1EA" w:color="auto" w:val="clear"/>
            <w:tcMar>
              <w:top w:type="dxa" w:w="70"/>
              <w:left w:type="dxa" w:w="110"/>
              <w:bottom w:type="dxa" w:w="70"/>
              <w:right w:type="dxa" w:w="110"/>
            </w:tcMar>
          </w:tcPr>
          <w:p>
            <w:r>
              <w:rPr>
                <w:b w:val="false"/>
                <w:bCs w:val="false"/>
                <w:color w:val="222222"/>
                <w:sz w:val="19"/>
                <w:szCs w:val="19"/>
              </w:rPr>
              <w:t xml:space="preserve">Debit first then act, act then debit, two-phase hold and capture, or saga with compensation</w:t>
            </w:r>
          </w:p>
        </w:tc>
      </w:tr>
      <w:tr>
        <w:trPr>
          <w:tblHeader w:val="false"/>
        </w:trPr>
        <w:tc>
          <w:tcPr>
            <w:tcW w:type="dxa" w:w="600"/>
            <w:tcMar>
              <w:top w:type="dxa" w:w="70"/>
              <w:left w:type="dxa" w:w="110"/>
              <w:bottom w:type="dxa" w:w="70"/>
              <w:right w:type="dxa" w:w="110"/>
            </w:tcMar>
          </w:tcPr>
          <w:p>
            <w:r>
              <w:rPr>
                <w:b w:val="false"/>
                <w:bCs w:val="false"/>
                <w:color w:val="222222"/>
                <w:sz w:val="19"/>
                <w:szCs w:val="19"/>
              </w:rPr>
              <w:t xml:space="preserve">D4</w:t>
            </w:r>
          </w:p>
        </w:tc>
        <w:tc>
          <w:tcPr>
            <w:tcW w:type="dxa" w:w="3400"/>
            <w:tcMar>
              <w:top w:type="dxa" w:w="70"/>
              <w:left w:type="dxa" w:w="110"/>
              <w:bottom w:type="dxa" w:w="70"/>
              <w:right w:type="dxa" w:w="110"/>
            </w:tcMar>
          </w:tcPr>
          <w:p>
            <w:r>
              <w:rPr>
                <w:b w:val="false"/>
                <w:bCs w:val="false"/>
                <w:color w:val="222222"/>
                <w:sz w:val="19"/>
                <w:szCs w:val="19"/>
              </w:rPr>
              <w:t xml:space="preserve">Cache for ERP reads</w:t>
            </w:r>
          </w:p>
        </w:tc>
        <w:tc>
          <w:tcPr>
            <w:tcW w:type="dxa" w:w="4600"/>
            <w:tcMar>
              <w:top w:type="dxa" w:w="70"/>
              <w:left w:type="dxa" w:w="110"/>
              <w:bottom w:type="dxa" w:w="70"/>
              <w:right w:type="dxa" w:w="110"/>
            </w:tcMar>
          </w:tcPr>
          <w:p>
            <w:r>
              <w:rPr>
                <w:b w:val="false"/>
                <w:bCs w:val="false"/>
                <w:color w:val="222222"/>
                <w:sz w:val="19"/>
                <w:szCs w:val="19"/>
              </w:rPr>
              <w:t xml:space="preserve">Cache-aside, read-through, write-through, or no cache with a short-lived request coalescer</w:t>
            </w:r>
          </w:p>
        </w:tc>
      </w:tr>
      <w:tr>
        <w:trPr>
          <w:tblHeader w:val="false"/>
        </w:trPr>
        <w:tc>
          <w:tcPr>
            <w:tcW w:type="dxa" w:w="600"/>
            <w:shd w:fill="F4F1EA" w:color="auto" w:val="clear"/>
            <w:tcMar>
              <w:top w:type="dxa" w:w="70"/>
              <w:left w:type="dxa" w:w="110"/>
              <w:bottom w:type="dxa" w:w="70"/>
              <w:right w:type="dxa" w:w="110"/>
            </w:tcMar>
          </w:tcPr>
          <w:p>
            <w:r>
              <w:rPr>
                <w:b w:val="false"/>
                <w:bCs w:val="false"/>
                <w:color w:val="222222"/>
                <w:sz w:val="19"/>
                <w:szCs w:val="19"/>
              </w:rPr>
              <w:t xml:space="preserve">D5</w:t>
            </w:r>
          </w:p>
        </w:tc>
        <w:tc>
          <w:tcPr>
            <w:tcW w:type="dxa" w:w="3400"/>
            <w:shd w:fill="F4F1EA" w:color="auto" w:val="clear"/>
            <w:tcMar>
              <w:top w:type="dxa" w:w="70"/>
              <w:left w:type="dxa" w:w="110"/>
              <w:bottom w:type="dxa" w:w="70"/>
              <w:right w:type="dxa" w:w="110"/>
            </w:tcMar>
          </w:tcPr>
          <w:p>
            <w:r>
              <w:rPr>
                <w:b w:val="false"/>
                <w:bCs w:val="false"/>
                <w:color w:val="222222"/>
                <w:sz w:val="19"/>
                <w:szCs w:val="19"/>
              </w:rPr>
              <w:t xml:space="preserve">How cached invoice data is invalidated</w:t>
            </w:r>
          </w:p>
        </w:tc>
        <w:tc>
          <w:tcPr>
            <w:tcW w:type="dxa" w:w="4600"/>
            <w:shd w:fill="F4F1EA" w:color="auto" w:val="clear"/>
            <w:tcMar>
              <w:top w:type="dxa" w:w="70"/>
              <w:left w:type="dxa" w:w="110"/>
              <w:bottom w:type="dxa" w:w="70"/>
              <w:right w:type="dxa" w:w="110"/>
            </w:tcMar>
          </w:tcPr>
          <w:p>
            <w:r>
              <w:rPr>
                <w:b w:val="false"/>
                <w:bCs w:val="false"/>
                <w:color w:val="222222"/>
                <w:sz w:val="19"/>
                <w:szCs w:val="19"/>
              </w:rPr>
              <w:t xml:space="preserve">TTL only, delete on write, versioned keys, or webhook-driven invalidation with a sequence number</w:t>
            </w:r>
          </w:p>
        </w:tc>
      </w:tr>
      <w:tr>
        <w:trPr>
          <w:tblHeader w:val="false"/>
        </w:trPr>
        <w:tc>
          <w:tcPr>
            <w:tcW w:type="dxa" w:w="600"/>
            <w:tcMar>
              <w:top w:type="dxa" w:w="70"/>
              <w:left w:type="dxa" w:w="110"/>
              <w:bottom w:type="dxa" w:w="70"/>
              <w:right w:type="dxa" w:w="110"/>
            </w:tcMar>
          </w:tcPr>
          <w:p>
            <w:r>
              <w:rPr>
                <w:b w:val="false"/>
                <w:bCs w:val="false"/>
                <w:color w:val="222222"/>
                <w:sz w:val="19"/>
                <w:szCs w:val="19"/>
              </w:rPr>
              <w:t xml:space="preserve">D6</w:t>
            </w:r>
          </w:p>
        </w:tc>
        <w:tc>
          <w:tcPr>
            <w:tcW w:type="dxa" w:w="3400"/>
            <w:tcMar>
              <w:top w:type="dxa" w:w="70"/>
              <w:left w:type="dxa" w:w="110"/>
              <w:bottom w:type="dxa" w:w="70"/>
              <w:right w:type="dxa" w:w="110"/>
            </w:tcMar>
          </w:tcPr>
          <w:p>
            <w:r>
              <w:rPr>
                <w:b w:val="false"/>
                <w:bCs w:val="false"/>
                <w:color w:val="222222"/>
                <w:sz w:val="19"/>
                <w:szCs w:val="19"/>
              </w:rPr>
              <w:t xml:space="preserve">Protection against cache stampede on a hot vendor</w:t>
            </w:r>
          </w:p>
        </w:tc>
        <w:tc>
          <w:tcPr>
            <w:tcW w:type="dxa" w:w="4600"/>
            <w:tcMar>
              <w:top w:type="dxa" w:w="70"/>
              <w:left w:type="dxa" w:w="110"/>
              <w:bottom w:type="dxa" w:w="70"/>
              <w:right w:type="dxa" w:w="110"/>
            </w:tcMar>
          </w:tcPr>
          <w:p>
            <w:r>
              <w:rPr>
                <w:b w:val="false"/>
                <w:bCs w:val="false"/>
                <w:color w:val="222222"/>
                <w:sz w:val="19"/>
                <w:szCs w:val="19"/>
              </w:rPr>
              <w:t xml:space="preserve">Lock per key, probabilistic early refresh, stale-while-revalidate, or request coalescing</w:t>
            </w:r>
          </w:p>
        </w:tc>
      </w:tr>
      <w:tr>
        <w:trPr>
          <w:tblHeader w:val="false"/>
        </w:trPr>
        <w:tc>
          <w:tcPr>
            <w:tcW w:type="dxa" w:w="600"/>
            <w:shd w:fill="F4F1EA" w:color="auto" w:val="clear"/>
            <w:tcMar>
              <w:top w:type="dxa" w:w="70"/>
              <w:left w:type="dxa" w:w="110"/>
              <w:bottom w:type="dxa" w:w="70"/>
              <w:right w:type="dxa" w:w="110"/>
            </w:tcMar>
          </w:tcPr>
          <w:p>
            <w:r>
              <w:rPr>
                <w:b w:val="false"/>
                <w:bCs w:val="false"/>
                <w:color w:val="222222"/>
                <w:sz w:val="19"/>
                <w:szCs w:val="19"/>
              </w:rPr>
              <w:t xml:space="preserve">D7</w:t>
            </w:r>
          </w:p>
        </w:tc>
        <w:tc>
          <w:tcPr>
            <w:tcW w:type="dxa" w:w="3400"/>
            <w:shd w:fill="F4F1EA" w:color="auto" w:val="clear"/>
            <w:tcMar>
              <w:top w:type="dxa" w:w="70"/>
              <w:left w:type="dxa" w:w="110"/>
              <w:bottom w:type="dxa" w:w="70"/>
              <w:right w:type="dxa" w:w="110"/>
            </w:tcMar>
          </w:tcPr>
          <w:p>
            <w:r>
              <w:rPr>
                <w:b w:val="false"/>
                <w:bCs w:val="false"/>
                <w:color w:val="222222"/>
                <w:sz w:val="19"/>
                <w:szCs w:val="19"/>
              </w:rPr>
              <w:t xml:space="preserve">Concurrency control on a tenant's wallet</w:t>
            </w:r>
          </w:p>
        </w:tc>
        <w:tc>
          <w:tcPr>
            <w:tcW w:type="dxa" w:w="4600"/>
            <w:shd w:fill="F4F1EA" w:color="auto" w:val="clear"/>
            <w:tcMar>
              <w:top w:type="dxa" w:w="70"/>
              <w:left w:type="dxa" w:w="110"/>
              <w:bottom w:type="dxa" w:w="70"/>
              <w:right w:type="dxa" w:w="110"/>
            </w:tcMar>
          </w:tcPr>
          <w:p>
            <w:r>
              <w:rPr>
                <w:b w:val="false"/>
                <w:bCs w:val="false"/>
                <w:color w:val="222222"/>
                <w:sz w:val="19"/>
                <w:szCs w:val="19"/>
              </w:rPr>
              <w:t xml:space="preserve">Redis lock, SELECT FOR UPDATE, atomic conditional update, or a single-writer queue per tenant</w:t>
            </w:r>
          </w:p>
        </w:tc>
      </w:tr>
      <w:tr>
        <w:trPr>
          <w:tblHeader w:val="false"/>
        </w:trPr>
        <w:tc>
          <w:tcPr>
            <w:tcW w:type="dxa" w:w="600"/>
            <w:tcMar>
              <w:top w:type="dxa" w:w="70"/>
              <w:left w:type="dxa" w:w="110"/>
              <w:bottom w:type="dxa" w:w="70"/>
              <w:right w:type="dxa" w:w="110"/>
            </w:tcMar>
          </w:tcPr>
          <w:p>
            <w:r>
              <w:rPr>
                <w:b w:val="false"/>
                <w:bCs w:val="false"/>
                <w:color w:val="222222"/>
                <w:sz w:val="19"/>
                <w:szCs w:val="19"/>
              </w:rPr>
              <w:t xml:space="preserve">D8</w:t>
            </w:r>
          </w:p>
        </w:tc>
        <w:tc>
          <w:tcPr>
            <w:tcW w:type="dxa" w:w="3400"/>
            <w:tcMar>
              <w:top w:type="dxa" w:w="70"/>
              <w:left w:type="dxa" w:w="110"/>
              <w:bottom w:type="dxa" w:w="70"/>
              <w:right w:type="dxa" w:w="110"/>
            </w:tcMar>
          </w:tcPr>
          <w:p>
            <w:r>
              <w:rPr>
                <w:b w:val="false"/>
                <w:bCs w:val="false"/>
                <w:color w:val="222222"/>
                <w:sz w:val="19"/>
                <w:szCs w:val="19"/>
              </w:rPr>
              <w:t xml:space="preserve">Queue choice for action execution</w:t>
            </w:r>
          </w:p>
        </w:tc>
        <w:tc>
          <w:tcPr>
            <w:tcW w:type="dxa" w:w="4600"/>
            <w:tcMar>
              <w:top w:type="dxa" w:w="70"/>
              <w:left w:type="dxa" w:w="110"/>
              <w:bottom w:type="dxa" w:w="70"/>
              <w:right w:type="dxa" w:w="110"/>
            </w:tcMar>
          </w:tcPr>
          <w:p>
            <w:r>
              <w:rPr>
                <w:b w:val="false"/>
                <w:bCs w:val="false"/>
                <w:color w:val="222222"/>
                <w:sz w:val="19"/>
                <w:szCs w:val="19"/>
              </w:rPr>
              <w:t xml:space="preserve">BullMQ, a Postgres-backed queue, Kafka, or SQS, justified by ordering, retry, and replay needs</w:t>
            </w:r>
          </w:p>
        </w:tc>
      </w:tr>
    </w:tbl>
    <w:p>
      <w:pPr>
        <w:pStyle w:val="Heading1"/>
        <w:spacing w:after="140" w:before="280"/>
      </w:pPr>
      <w:r>
        <w:rPr>
          <w:color w:val="1B2A44"/>
        </w:rPr>
        <w:t xml:space="preserve">4. Scenarios You Must Pass</w:t>
      </w:r>
    </w:p>
    <w:p>
      <w:pPr>
        <w:spacing w:after="110"/>
      </w:pPr>
      <w:r>
        <w:rPr>
          <w:b w:val="false"/>
          <w:bCs w:val="false"/>
          <w:i w:val="false"/>
          <w:iCs w:val="false"/>
          <w:color w:val="222222"/>
          <w:sz w:val="21"/>
          <w:szCs w:val="21"/>
        </w:rPr>
        <w:t xml:space="preserve">Each scenario needs an automated test and a one-line statement of the expected behaviour.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00"/>
        <w:gridCol w:w="3300"/>
      </w:tblGrid>
      <w:tr>
        <w:trPr>
          <w:tblHeader/>
        </w:trPr>
        <w:tc>
          <w:tcPr>
            <w:tcW w:type="dxa" w:w="500"/>
            <w:shd w:fill="1B2A44" w:color="auto" w:val="clear"/>
            <w:tcMar>
              <w:top w:type="dxa" w:w="70"/>
              <w:left w:type="dxa" w:w="110"/>
              <w:bottom w:type="dxa" w:w="70"/>
              <w:right w:type="dxa" w:w="110"/>
            </w:tcMar>
          </w:tcPr>
          <w:p>
            <w:r>
              <w:rPr>
                <w:b/>
                <w:bCs/>
                <w:color w:val="FFFFFF"/>
                <w:sz w:val="19"/>
                <w:szCs w:val="19"/>
              </w:rPr>
              <w:t xml:space="preserve">#</w:t>
            </w:r>
          </w:p>
        </w:tc>
        <w:tc>
          <w:tcPr>
            <w:tcW w:type="dxa" w:w="2000"/>
            <w:shd w:fill="1B2A44" w:color="auto" w:val="clear"/>
            <w:tcMar>
              <w:top w:type="dxa" w:w="70"/>
              <w:left w:type="dxa" w:w="110"/>
              <w:bottom w:type="dxa" w:w="70"/>
              <w:right w:type="dxa" w:w="110"/>
            </w:tcMar>
          </w:tcPr>
          <w:p>
            <w:r>
              <w:rPr>
                <w:b/>
                <w:bCs/>
                <w:color w:val="FFFFFF"/>
                <w:sz w:val="19"/>
                <w:szCs w:val="19"/>
              </w:rPr>
              <w:t xml:space="preserve">Who is affected</w:t>
            </w:r>
          </w:p>
        </w:tc>
        <w:tc>
          <w:tcPr>
            <w:tcW w:type="dxa" w:w="3300"/>
            <w:shd w:fill="1B2A44" w:color="auto" w:val="clear"/>
            <w:tcMar>
              <w:top w:type="dxa" w:w="70"/>
              <w:left w:type="dxa" w:w="110"/>
              <w:bottom w:type="dxa" w:w="70"/>
              <w:right w:type="dxa" w:w="110"/>
            </w:tcMar>
          </w:tcPr>
          <w:p>
            <w:r>
              <w:rPr>
                <w:b/>
                <w:bCs/>
                <w:color w:val="FFFFFF"/>
                <w:sz w:val="19"/>
                <w:szCs w:val="19"/>
              </w:rPr>
              <w:t xml:space="preserve">The situation</w:t>
            </w:r>
          </w:p>
        </w:tc>
        <w:tc>
          <w:tcPr>
            <w:tcW w:type="dxa" w:w="3300"/>
            <w:shd w:fill="1B2A44" w:color="auto" w:val="clear"/>
            <w:tcMar>
              <w:top w:type="dxa" w:w="70"/>
              <w:left w:type="dxa" w:w="110"/>
              <w:bottom w:type="dxa" w:w="70"/>
              <w:right w:type="dxa" w:w="110"/>
            </w:tcMar>
          </w:tcPr>
          <w:p>
            <w:r>
              <w:rPr>
                <w:b/>
                <w:bCs/>
                <w:color w:val="FFFFFF"/>
                <w:sz w:val="19"/>
                <w:szCs w:val="19"/>
              </w:rPr>
              <w:t xml:space="preserve">What the gateway must do</w:t>
            </w:r>
          </w:p>
        </w:tc>
      </w:tr>
      <w:tr>
        <w:trPr>
          <w:tblHeader w:val="false"/>
        </w:trPr>
        <w:tc>
          <w:tcPr>
            <w:tcW w:type="dxa" w:w="500"/>
            <w:shd w:fill="F4F1EA" w:color="auto" w:val="clear"/>
            <w:tcMar>
              <w:top w:type="dxa" w:w="70"/>
              <w:left w:type="dxa" w:w="110"/>
              <w:bottom w:type="dxa" w:w="70"/>
              <w:right w:type="dxa" w:w="110"/>
            </w:tcMar>
          </w:tcPr>
          <w:p>
            <w:r>
              <w:rPr>
                <w:b w:val="false"/>
                <w:bCs w:val="false"/>
                <w:color w:val="222222"/>
                <w:sz w:val="19"/>
                <w:szCs w:val="19"/>
              </w:rPr>
              <w:t xml:space="preserve">1</w:t>
            </w:r>
          </w:p>
        </w:tc>
        <w:tc>
          <w:tcPr>
            <w:tcW w:type="dxa" w:w="2000"/>
            <w:shd w:fill="F4F1EA" w:color="auto" w:val="clear"/>
            <w:tcMar>
              <w:top w:type="dxa" w:w="70"/>
              <w:left w:type="dxa" w:w="110"/>
              <w:bottom w:type="dxa" w:w="70"/>
              <w:right w:type="dxa" w:w="110"/>
            </w:tcMar>
          </w:tcPr>
          <w:p>
            <w:r>
              <w:rPr>
                <w:b w:val="false"/>
                <w:bCs w:val="false"/>
                <w:color w:val="222222"/>
                <w:sz w:val="19"/>
                <w:szCs w:val="19"/>
              </w:rPr>
              <w:t xml:space="preserve">Tenant admin</w:t>
            </w:r>
          </w:p>
        </w:tc>
        <w:tc>
          <w:tcPr>
            <w:tcW w:type="dxa" w:w="3300"/>
            <w:shd w:fill="F4F1EA" w:color="auto" w:val="clear"/>
            <w:tcMar>
              <w:top w:type="dxa" w:w="70"/>
              <w:left w:type="dxa" w:w="110"/>
              <w:bottom w:type="dxa" w:w="70"/>
              <w:right w:type="dxa" w:w="110"/>
            </w:tcMar>
          </w:tcPr>
          <w:p>
            <w:r>
              <w:rPr>
                <w:b w:val="false"/>
                <w:bCs w:val="false"/>
                <w:color w:val="222222"/>
                <w:sz w:val="19"/>
                <w:szCs w:val="19"/>
              </w:rPr>
              <w:t xml:space="preserve">Same action submitted twice with the same key, 200ms apart</w:t>
            </w:r>
          </w:p>
        </w:tc>
        <w:tc>
          <w:tcPr>
            <w:tcW w:type="dxa" w:w="3300"/>
            <w:shd w:fill="F4F1EA" w:color="auto" w:val="clear"/>
            <w:tcMar>
              <w:top w:type="dxa" w:w="70"/>
              <w:left w:type="dxa" w:w="110"/>
              <w:bottom w:type="dxa" w:w="70"/>
              <w:right w:type="dxa" w:w="110"/>
            </w:tcMar>
          </w:tcPr>
          <w:p>
            <w:r>
              <w:rPr>
                <w:b w:val="false"/>
                <w:bCs w:val="false"/>
                <w:color w:val="222222"/>
                <w:sz w:val="19"/>
                <w:szCs w:val="19"/>
              </w:rPr>
              <w:t xml:space="preserve">One ERP write, one debit, identical responses</w:t>
            </w:r>
          </w:p>
        </w:tc>
      </w:tr>
      <w:tr>
        <w:trPr>
          <w:tblHeader w:val="false"/>
        </w:trPr>
        <w:tc>
          <w:tcPr>
            <w:tcW w:type="dxa" w:w="500"/>
            <w:tcMar>
              <w:top w:type="dxa" w:w="70"/>
              <w:left w:type="dxa" w:w="110"/>
              <w:bottom w:type="dxa" w:w="70"/>
              <w:right w:type="dxa" w:w="110"/>
            </w:tcMar>
          </w:tcPr>
          <w:p>
            <w:r>
              <w:rPr>
                <w:b w:val="false"/>
                <w:bCs w:val="false"/>
                <w:color w:val="222222"/>
                <w:sz w:val="19"/>
                <w:szCs w:val="19"/>
              </w:rPr>
              <w:t xml:space="preserve">2</w:t>
            </w:r>
          </w:p>
        </w:tc>
        <w:tc>
          <w:tcPr>
            <w:tcW w:type="dxa" w:w="2000"/>
            <w:tcMar>
              <w:top w:type="dxa" w:w="70"/>
              <w:left w:type="dxa" w:w="110"/>
              <w:bottom w:type="dxa" w:w="70"/>
              <w:right w:type="dxa" w:w="110"/>
            </w:tcMar>
          </w:tcPr>
          <w:p>
            <w:r>
              <w:rPr>
                <w:b w:val="false"/>
                <w:bCs w:val="false"/>
                <w:color w:val="222222"/>
                <w:sz w:val="19"/>
                <w:szCs w:val="19"/>
              </w:rPr>
              <w:t xml:space="preserve">Finance user</w:t>
            </w:r>
          </w:p>
        </w:tc>
        <w:tc>
          <w:tcPr>
            <w:tcW w:type="dxa" w:w="3300"/>
            <w:tcMar>
              <w:top w:type="dxa" w:w="70"/>
              <w:left w:type="dxa" w:w="110"/>
              <w:bottom w:type="dxa" w:w="70"/>
              <w:right w:type="dxa" w:w="110"/>
            </w:tcMar>
          </w:tcPr>
          <w:p>
            <w:r>
              <w:rPr>
                <w:b w:val="false"/>
                <w:bCs w:val="false"/>
                <w:color w:val="222222"/>
                <w:sz w:val="19"/>
                <w:szCs w:val="19"/>
              </w:rPr>
              <w:t xml:space="preserve">SAP commits the payment, then the connection drops before the response</w:t>
            </w:r>
          </w:p>
        </w:tc>
        <w:tc>
          <w:tcPr>
            <w:tcW w:type="dxa" w:w="3300"/>
            <w:tcMar>
              <w:top w:type="dxa" w:w="70"/>
              <w:left w:type="dxa" w:w="110"/>
              <w:bottom w:type="dxa" w:w="70"/>
              <w:right w:type="dxa" w:w="110"/>
            </w:tcMar>
          </w:tcPr>
          <w:p>
            <w:r>
              <w:rPr>
                <w:b w:val="false"/>
                <w:bCs w:val="false"/>
                <w:color w:val="222222"/>
                <w:sz w:val="19"/>
                <w:szCs w:val="19"/>
              </w:rPr>
              <w:t xml:space="preserve">Action marked UNKNOWN; gateway queries SAP by reference before any refund or retry; no double payment</w:t>
            </w:r>
          </w:p>
        </w:tc>
      </w:tr>
      <w:tr>
        <w:trPr>
          <w:tblHeader w:val="false"/>
        </w:trPr>
        <w:tc>
          <w:tcPr>
            <w:tcW w:type="dxa" w:w="500"/>
            <w:shd w:fill="F4F1EA" w:color="auto" w:val="clear"/>
            <w:tcMar>
              <w:top w:type="dxa" w:w="70"/>
              <w:left w:type="dxa" w:w="110"/>
              <w:bottom w:type="dxa" w:w="70"/>
              <w:right w:type="dxa" w:w="110"/>
            </w:tcMar>
          </w:tcPr>
          <w:p>
            <w:r>
              <w:rPr>
                <w:b w:val="false"/>
                <w:bCs w:val="false"/>
                <w:color w:val="222222"/>
                <w:sz w:val="19"/>
                <w:szCs w:val="19"/>
              </w:rPr>
              <w:t xml:space="preserve">3</w:t>
            </w:r>
          </w:p>
        </w:tc>
        <w:tc>
          <w:tcPr>
            <w:tcW w:type="dxa" w:w="2000"/>
            <w:shd w:fill="F4F1EA" w:color="auto" w:val="clear"/>
            <w:tcMar>
              <w:top w:type="dxa" w:w="70"/>
              <w:left w:type="dxa" w:w="110"/>
              <w:bottom w:type="dxa" w:w="70"/>
              <w:right w:type="dxa" w:w="110"/>
            </w:tcMar>
          </w:tcPr>
          <w:p>
            <w:r>
              <w:rPr>
                <w:b w:val="false"/>
                <w:bCs w:val="false"/>
                <w:color w:val="222222"/>
                <w:sz w:val="19"/>
                <w:szCs w:val="19"/>
              </w:rPr>
              <w:t xml:space="preserve">Tenant admin</w:t>
            </w:r>
          </w:p>
        </w:tc>
        <w:tc>
          <w:tcPr>
            <w:tcW w:type="dxa" w:w="3300"/>
            <w:shd w:fill="F4F1EA" w:color="auto" w:val="clear"/>
            <w:tcMar>
              <w:top w:type="dxa" w:w="70"/>
              <w:left w:type="dxa" w:w="110"/>
              <w:bottom w:type="dxa" w:w="70"/>
              <w:right w:type="dxa" w:w="110"/>
            </w:tcMar>
          </w:tcPr>
          <w:p>
            <w:r>
              <w:rPr>
                <w:b w:val="false"/>
                <w:bCs w:val="false"/>
                <w:color w:val="222222"/>
                <w:sz w:val="19"/>
                <w:szCs w:val="19"/>
              </w:rPr>
              <w:t xml:space="preserve">Two agents try to pay the same invoice concurrently</w:t>
            </w:r>
          </w:p>
        </w:tc>
        <w:tc>
          <w:tcPr>
            <w:tcW w:type="dxa" w:w="3300"/>
            <w:shd w:fill="F4F1EA" w:color="auto" w:val="clear"/>
            <w:tcMar>
              <w:top w:type="dxa" w:w="70"/>
              <w:left w:type="dxa" w:w="110"/>
              <w:bottom w:type="dxa" w:w="70"/>
              <w:right w:type="dxa" w:w="110"/>
            </w:tcMar>
          </w:tcPr>
          <w:p>
            <w:r>
              <w:rPr>
                <w:b w:val="false"/>
                <w:bCs w:val="false"/>
                <w:color w:val="222222"/>
                <w:sz w:val="19"/>
                <w:szCs w:val="19"/>
              </w:rPr>
              <w:t xml:space="preserve">Exactly one succeeds; the other receives a conflict with the current state</w:t>
            </w:r>
          </w:p>
        </w:tc>
      </w:tr>
      <w:tr>
        <w:trPr>
          <w:tblHeader w:val="false"/>
        </w:trPr>
        <w:tc>
          <w:tcPr>
            <w:tcW w:type="dxa" w:w="500"/>
            <w:tcMar>
              <w:top w:type="dxa" w:w="70"/>
              <w:left w:type="dxa" w:w="110"/>
              <w:bottom w:type="dxa" w:w="70"/>
              <w:right w:type="dxa" w:w="110"/>
            </w:tcMar>
          </w:tcPr>
          <w:p>
            <w:r>
              <w:rPr>
                <w:b w:val="false"/>
                <w:bCs w:val="false"/>
                <w:color w:val="222222"/>
                <w:sz w:val="19"/>
                <w:szCs w:val="19"/>
              </w:rPr>
              <w:t xml:space="preserve">4</w:t>
            </w:r>
          </w:p>
        </w:tc>
        <w:tc>
          <w:tcPr>
            <w:tcW w:type="dxa" w:w="2000"/>
            <w:tcMar>
              <w:top w:type="dxa" w:w="70"/>
              <w:left w:type="dxa" w:w="110"/>
              <w:bottom w:type="dxa" w:w="70"/>
              <w:right w:type="dxa" w:w="110"/>
            </w:tcMar>
          </w:tcPr>
          <w:p>
            <w:r>
              <w:rPr>
                <w:b w:val="false"/>
                <w:bCs w:val="false"/>
                <w:color w:val="222222"/>
                <w:sz w:val="19"/>
                <w:szCs w:val="19"/>
              </w:rPr>
              <w:t xml:space="preserve">Tenant</w:t>
            </w:r>
          </w:p>
        </w:tc>
        <w:tc>
          <w:tcPr>
            <w:tcW w:type="dxa" w:w="3300"/>
            <w:tcMar>
              <w:top w:type="dxa" w:w="70"/>
              <w:left w:type="dxa" w:w="110"/>
              <w:bottom w:type="dxa" w:w="70"/>
              <w:right w:type="dxa" w:w="110"/>
            </w:tcMar>
          </w:tcPr>
          <w:p>
            <w:r>
              <w:rPr>
                <w:b w:val="false"/>
                <w:bCs w:val="false"/>
                <w:color w:val="222222"/>
                <w:sz w:val="19"/>
                <w:szCs w:val="19"/>
              </w:rPr>
              <w:t xml:space="preserve">Wallet holds 500 credits; action costs 300; second action costs 300 in parallel</w:t>
            </w:r>
          </w:p>
        </w:tc>
        <w:tc>
          <w:tcPr>
            <w:tcW w:type="dxa" w:w="3300"/>
            <w:tcMar>
              <w:top w:type="dxa" w:w="70"/>
              <w:left w:type="dxa" w:w="110"/>
              <w:bottom w:type="dxa" w:w="70"/>
              <w:right w:type="dxa" w:w="110"/>
            </w:tcMar>
          </w:tcPr>
          <w:p>
            <w:r>
              <w:rPr>
                <w:b w:val="false"/>
                <w:bCs w:val="false"/>
                <w:color w:val="222222"/>
                <w:sz w:val="19"/>
                <w:szCs w:val="19"/>
              </w:rPr>
              <w:t xml:space="preserve">Second action rejected at hold time, never driven negative</w:t>
            </w:r>
          </w:p>
        </w:tc>
      </w:tr>
      <w:tr>
        <w:trPr>
          <w:tblHeader w:val="false"/>
        </w:trPr>
        <w:tc>
          <w:tcPr>
            <w:tcW w:type="dxa" w:w="500"/>
            <w:shd w:fill="F4F1EA" w:color="auto" w:val="clear"/>
            <w:tcMar>
              <w:top w:type="dxa" w:w="70"/>
              <w:left w:type="dxa" w:w="110"/>
              <w:bottom w:type="dxa" w:w="70"/>
              <w:right w:type="dxa" w:w="110"/>
            </w:tcMar>
          </w:tcPr>
          <w:p>
            <w:r>
              <w:rPr>
                <w:b w:val="false"/>
                <w:bCs w:val="false"/>
                <w:color w:val="222222"/>
                <w:sz w:val="19"/>
                <w:szCs w:val="19"/>
              </w:rPr>
              <w:t xml:space="preserve">5</w:t>
            </w:r>
          </w:p>
        </w:tc>
        <w:tc>
          <w:tcPr>
            <w:tcW w:type="dxa" w:w="2000"/>
            <w:shd w:fill="F4F1EA" w:color="auto" w:val="clear"/>
            <w:tcMar>
              <w:top w:type="dxa" w:w="70"/>
              <w:left w:type="dxa" w:w="110"/>
              <w:bottom w:type="dxa" w:w="70"/>
              <w:right w:type="dxa" w:w="110"/>
            </w:tcMar>
          </w:tcPr>
          <w:p>
            <w:r>
              <w:rPr>
                <w:b w:val="false"/>
                <w:bCs w:val="false"/>
                <w:color w:val="222222"/>
                <w:sz w:val="19"/>
                <w:szCs w:val="19"/>
              </w:rPr>
              <w:t xml:space="preserve">Ops</w:t>
            </w:r>
          </w:p>
        </w:tc>
        <w:tc>
          <w:tcPr>
            <w:tcW w:type="dxa" w:w="3300"/>
            <w:shd w:fill="F4F1EA" w:color="auto" w:val="clear"/>
            <w:tcMar>
              <w:top w:type="dxa" w:w="70"/>
              <w:left w:type="dxa" w:w="110"/>
              <w:bottom w:type="dxa" w:w="70"/>
              <w:right w:type="dxa" w:w="110"/>
            </w:tcMar>
          </w:tcPr>
          <w:p>
            <w:r>
              <w:rPr>
                <w:b w:val="false"/>
                <w:bCs w:val="false"/>
                <w:color w:val="222222"/>
                <w:sz w:val="19"/>
                <w:szCs w:val="19"/>
              </w:rPr>
              <w:t xml:space="preserve">SAP returns 429 for 90 seconds during a burst of 5,000 actions</w:t>
            </w:r>
          </w:p>
        </w:tc>
        <w:tc>
          <w:tcPr>
            <w:tcW w:type="dxa" w:w="3300"/>
            <w:shd w:fill="F4F1EA" w:color="auto" w:val="clear"/>
            <w:tcMar>
              <w:top w:type="dxa" w:w="70"/>
              <w:left w:type="dxa" w:w="110"/>
              <w:bottom w:type="dxa" w:w="70"/>
              <w:right w:type="dxa" w:w="110"/>
            </w:tcMar>
          </w:tcPr>
          <w:p>
            <w:r>
              <w:rPr>
                <w:b w:val="false"/>
                <w:bCs w:val="false"/>
                <w:color w:val="222222"/>
                <w:sz w:val="19"/>
                <w:szCs w:val="19"/>
              </w:rPr>
              <w:t xml:space="preserve">Rate limiter backs off; queue depth visible; no action lost; fairness across tenants preserved</w:t>
            </w:r>
          </w:p>
        </w:tc>
      </w:tr>
      <w:tr>
        <w:trPr>
          <w:tblHeader w:val="false"/>
        </w:trPr>
        <w:tc>
          <w:tcPr>
            <w:tcW w:type="dxa" w:w="500"/>
            <w:tcMar>
              <w:top w:type="dxa" w:w="70"/>
              <w:left w:type="dxa" w:w="110"/>
              <w:bottom w:type="dxa" w:w="70"/>
              <w:right w:type="dxa" w:w="110"/>
            </w:tcMar>
          </w:tcPr>
          <w:p>
            <w:r>
              <w:rPr>
                <w:b w:val="false"/>
                <w:bCs w:val="false"/>
                <w:color w:val="222222"/>
                <w:sz w:val="19"/>
                <w:szCs w:val="19"/>
              </w:rPr>
              <w:t xml:space="preserve">6</w:t>
            </w:r>
          </w:p>
        </w:tc>
        <w:tc>
          <w:tcPr>
            <w:tcW w:type="dxa" w:w="2000"/>
            <w:tcMar>
              <w:top w:type="dxa" w:w="70"/>
              <w:left w:type="dxa" w:w="110"/>
              <w:bottom w:type="dxa" w:w="70"/>
              <w:right w:type="dxa" w:w="110"/>
            </w:tcMar>
          </w:tcPr>
          <w:p>
            <w:r>
              <w:rPr>
                <w:b w:val="false"/>
                <w:bCs w:val="false"/>
                <w:color w:val="222222"/>
                <w:sz w:val="19"/>
                <w:szCs w:val="19"/>
              </w:rPr>
              <w:t xml:space="preserve">Analyst</w:t>
            </w:r>
          </w:p>
        </w:tc>
        <w:tc>
          <w:tcPr>
            <w:tcW w:type="dxa" w:w="3300"/>
            <w:tcMar>
              <w:top w:type="dxa" w:w="70"/>
              <w:left w:type="dxa" w:w="110"/>
              <w:bottom w:type="dxa" w:w="70"/>
              <w:right w:type="dxa" w:w="110"/>
            </w:tcMar>
          </w:tcPr>
          <w:p>
            <w:r>
              <w:rPr>
                <w:b w:val="false"/>
                <w:bCs w:val="false"/>
                <w:color w:val="222222"/>
                <w:sz w:val="19"/>
                <w:szCs w:val="19"/>
              </w:rPr>
              <w:t xml:space="preserve">Vendor master changes in SAP via another channel; a webhook arrives 40 seconds late</w:t>
            </w:r>
          </w:p>
        </w:tc>
        <w:tc>
          <w:tcPr>
            <w:tcW w:type="dxa" w:w="3300"/>
            <w:tcMar>
              <w:top w:type="dxa" w:w="70"/>
              <w:left w:type="dxa" w:w="110"/>
              <w:bottom w:type="dxa" w:w="70"/>
              <w:right w:type="dxa" w:w="110"/>
            </w:tcMar>
          </w:tcPr>
          <w:p>
            <w:r>
              <w:rPr>
                <w:b w:val="false"/>
                <w:bCs w:val="false"/>
                <w:color w:val="222222"/>
                <w:sz w:val="19"/>
                <w:szCs w:val="19"/>
              </w:rPr>
              <w:t xml:space="preserve">Cached read invalidated by sequence number; stale read after the write is impossible to observe</w:t>
            </w:r>
          </w:p>
        </w:tc>
      </w:tr>
      <w:tr>
        <w:trPr>
          <w:tblHeader w:val="false"/>
        </w:trPr>
        <w:tc>
          <w:tcPr>
            <w:tcW w:type="dxa" w:w="500"/>
            <w:shd w:fill="F4F1EA" w:color="auto" w:val="clear"/>
            <w:tcMar>
              <w:top w:type="dxa" w:w="70"/>
              <w:left w:type="dxa" w:w="110"/>
              <w:bottom w:type="dxa" w:w="70"/>
              <w:right w:type="dxa" w:w="110"/>
            </w:tcMar>
          </w:tcPr>
          <w:p>
            <w:r>
              <w:rPr>
                <w:b w:val="false"/>
                <w:bCs w:val="false"/>
                <w:color w:val="222222"/>
                <w:sz w:val="19"/>
                <w:szCs w:val="19"/>
              </w:rPr>
              <w:t xml:space="preserve">7</w:t>
            </w:r>
          </w:p>
        </w:tc>
        <w:tc>
          <w:tcPr>
            <w:tcW w:type="dxa" w:w="2000"/>
            <w:shd w:fill="F4F1EA" w:color="auto" w:val="clear"/>
            <w:tcMar>
              <w:top w:type="dxa" w:w="70"/>
              <w:left w:type="dxa" w:w="110"/>
              <w:bottom w:type="dxa" w:w="70"/>
              <w:right w:type="dxa" w:w="110"/>
            </w:tcMar>
          </w:tcPr>
          <w:p>
            <w:r>
              <w:rPr>
                <w:b w:val="false"/>
                <w:bCs w:val="false"/>
                <w:color w:val="222222"/>
                <w:sz w:val="19"/>
                <w:szCs w:val="19"/>
              </w:rPr>
              <w:t xml:space="preserve">Platform</w:t>
            </w:r>
          </w:p>
        </w:tc>
        <w:tc>
          <w:tcPr>
            <w:tcW w:type="dxa" w:w="3300"/>
            <w:shd w:fill="F4F1EA" w:color="auto" w:val="clear"/>
            <w:tcMar>
              <w:top w:type="dxa" w:w="70"/>
              <w:left w:type="dxa" w:w="110"/>
              <w:bottom w:type="dxa" w:w="70"/>
              <w:right w:type="dxa" w:w="110"/>
            </w:tcMar>
          </w:tcPr>
          <w:p>
            <w:r>
              <w:rPr>
                <w:b w:val="false"/>
                <w:bCs w:val="false"/>
                <w:color w:val="222222"/>
                <w:sz w:val="19"/>
                <w:szCs w:val="19"/>
              </w:rPr>
              <w:t xml:space="preserve">1,000 agents request the same vendor record at the moment its cache expires</w:t>
            </w:r>
          </w:p>
        </w:tc>
        <w:tc>
          <w:tcPr>
            <w:tcW w:type="dxa" w:w="3300"/>
            <w:shd w:fill="F4F1EA" w:color="auto" w:val="clear"/>
            <w:tcMar>
              <w:top w:type="dxa" w:w="70"/>
              <w:left w:type="dxa" w:w="110"/>
              <w:bottom w:type="dxa" w:w="70"/>
              <w:right w:type="dxa" w:w="110"/>
            </w:tcMar>
          </w:tcPr>
          <w:p>
            <w:r>
              <w:rPr>
                <w:b w:val="false"/>
                <w:bCs w:val="false"/>
                <w:color w:val="222222"/>
                <w:sz w:val="19"/>
                <w:szCs w:val="19"/>
              </w:rPr>
              <w:t xml:space="preserve">One upstream read; others served from the coalesced result or stale value within budget</w:t>
            </w:r>
          </w:p>
        </w:tc>
      </w:tr>
      <w:tr>
        <w:trPr>
          <w:tblHeader w:val="false"/>
        </w:trPr>
        <w:tc>
          <w:tcPr>
            <w:tcW w:type="dxa" w:w="500"/>
            <w:tcMar>
              <w:top w:type="dxa" w:w="70"/>
              <w:left w:type="dxa" w:w="110"/>
              <w:bottom w:type="dxa" w:w="70"/>
              <w:right w:type="dxa" w:w="110"/>
            </w:tcMar>
          </w:tcPr>
          <w:p>
            <w:r>
              <w:rPr>
                <w:b w:val="false"/>
                <w:bCs w:val="false"/>
                <w:color w:val="222222"/>
                <w:sz w:val="19"/>
                <w:szCs w:val="19"/>
              </w:rPr>
              <w:t xml:space="preserve">8</w:t>
            </w:r>
          </w:p>
        </w:tc>
        <w:tc>
          <w:tcPr>
            <w:tcW w:type="dxa" w:w="2000"/>
            <w:tcMar>
              <w:top w:type="dxa" w:w="70"/>
              <w:left w:type="dxa" w:w="110"/>
              <w:bottom w:type="dxa" w:w="70"/>
              <w:right w:type="dxa" w:w="110"/>
            </w:tcMar>
          </w:tcPr>
          <w:p>
            <w:r>
              <w:rPr>
                <w:b w:val="false"/>
                <w:bCs w:val="false"/>
                <w:color w:val="222222"/>
                <w:sz w:val="19"/>
                <w:szCs w:val="19"/>
              </w:rPr>
              <w:t xml:space="preserve">Tenant</w:t>
            </w:r>
          </w:p>
        </w:tc>
        <w:tc>
          <w:tcPr>
            <w:tcW w:type="dxa" w:w="3300"/>
            <w:tcMar>
              <w:top w:type="dxa" w:w="70"/>
              <w:left w:type="dxa" w:w="110"/>
              <w:bottom w:type="dxa" w:w="70"/>
              <w:right w:type="dxa" w:w="110"/>
            </w:tcMar>
          </w:tcPr>
          <w:p>
            <w:r>
              <w:rPr>
                <w:b w:val="false"/>
                <w:bCs w:val="false"/>
                <w:color w:val="222222"/>
                <w:sz w:val="19"/>
                <w:szCs w:val="19"/>
              </w:rPr>
              <w:t xml:space="preserve">Action fails permanently (validation error) after the wallet hold was placed</w:t>
            </w:r>
          </w:p>
        </w:tc>
        <w:tc>
          <w:tcPr>
            <w:tcW w:type="dxa" w:w="3300"/>
            <w:tcMar>
              <w:top w:type="dxa" w:w="70"/>
              <w:left w:type="dxa" w:w="110"/>
              <w:bottom w:type="dxa" w:w="70"/>
              <w:right w:type="dxa" w:w="110"/>
            </w:tcMar>
          </w:tcPr>
          <w:p>
            <w:r>
              <w:rPr>
                <w:b w:val="false"/>
                <w:bCs w:val="false"/>
                <w:color w:val="222222"/>
                <w:sz w:val="19"/>
                <w:szCs w:val="19"/>
              </w:rPr>
              <w:t xml:space="preserve">Hold released; ledger shows hold, release, and reason; no net charge</w:t>
            </w:r>
          </w:p>
        </w:tc>
      </w:tr>
    </w:tbl>
    <w:p>
      <w:pPr>
        <w:pStyle w:val="Heading1"/>
        <w:spacing w:after="140" w:before="280"/>
      </w:pPr>
      <w:r>
        <w:rPr>
          <w:color w:val="1B2A44"/>
        </w:rPr>
        <w:t xml:space="preserve">5. Constraints</w:t>
      </w:r>
    </w:p>
    <w:p>
      <w:pPr>
        <w:pStyle w:val="ListParagraph"/>
        <w:numPr>
          <w:ilvl w:val="0"/>
          <w:numId w:val="2"/>
        </w:numPr>
        <w:spacing w:after="70"/>
      </w:pPr>
      <w:r>
        <w:rPr>
          <w:sz w:val="21"/>
          <w:szCs w:val="21"/>
        </w:rPr>
        <w:t xml:space="preserve">Every debit, hold, and release is an append-only ledger entry. Balances are derived, not stored as the only truth.</w:t>
      </w:r>
    </w:p>
    <w:p>
      <w:pPr>
        <w:pStyle w:val="ListParagraph"/>
        <w:numPr>
          <w:ilvl w:val="0"/>
          <w:numId w:val="2"/>
        </w:numPr>
        <w:spacing w:after="70"/>
      </w:pPr>
      <w:r>
        <w:rPr>
          <w:sz w:val="21"/>
          <w:szCs w:val="21"/>
        </w:rPr>
        <w:t xml:space="preserve">No cache value may outlive the write that made it wrong by more than its declared staleness budget. State the budget per object type.</w:t>
      </w:r>
    </w:p>
    <w:p>
      <w:pPr>
        <w:pStyle w:val="ListParagraph"/>
        <w:numPr>
          <w:ilvl w:val="0"/>
          <w:numId w:val="2"/>
        </w:numPr>
        <w:spacing w:after="70"/>
      </w:pPr>
      <w:r>
        <w:rPr>
          <w:sz w:val="21"/>
          <w:szCs w:val="21"/>
        </w:rPr>
        <w:t xml:space="preserve">The LLM classification step is deterministic at the boundary: cache keys are content hashes, and a cached result records the model and prompt version.</w:t>
      </w:r>
    </w:p>
    <w:p>
      <w:pPr>
        <w:pStyle w:val="ListParagraph"/>
        <w:numPr>
          <w:ilvl w:val="0"/>
          <w:numId w:val="2"/>
        </w:numPr>
        <w:spacing w:after="70"/>
      </w:pPr>
      <w:r>
        <w:rPr>
          <w:sz w:val="21"/>
          <w:szCs w:val="21"/>
        </w:rPr>
        <w:t xml:space="preserve">No action executes without a durable record written before the ERP call. Crashes between the record and the call must be recoverable on restart.</w:t>
      </w:r>
    </w:p>
    <w:p>
      <w:pPr>
        <w:pStyle w:val="Heading1"/>
        <w:spacing w:after="140" w:before="280"/>
      </w:pPr>
      <w:r>
        <w:rPr>
          <w:color w:val="1B2A44"/>
        </w:rPr>
        <w:t xml:space="preserve">6. Deliverables</w:t>
      </w:r>
    </w:p>
    <w:p>
      <w:pPr>
        <w:pStyle w:val="ListParagraph"/>
        <w:numPr>
          <w:ilvl w:val="0"/>
          <w:numId w:val="2"/>
        </w:numPr>
        <w:spacing w:after="70"/>
      </w:pPr>
      <w:r>
        <w:rPr>
          <w:sz w:val="21"/>
          <w:szCs w:val="21"/>
        </w:rPr>
        <w:t xml:space="preserve">Runnable repo with one command that starts the mock ERP, the gateway, and the seed data</w:t>
      </w:r>
    </w:p>
    <w:p>
      <w:pPr>
        <w:pStyle w:val="ListParagraph"/>
        <w:numPr>
          <w:ilvl w:val="0"/>
          <w:numId w:val="2"/>
        </w:numPr>
        <w:spacing w:after="70"/>
      </w:pPr>
      <w:r>
        <w:rPr>
          <w:sz w:val="21"/>
          <w:szCs w:val="21"/>
        </w:rPr>
        <w:t xml:space="preserve">DECISIONS.md covering D1 to D8, each with chosen option, rejected option, and the failure it prevents</w:t>
      </w:r>
    </w:p>
    <w:p>
      <w:pPr>
        <w:pStyle w:val="ListParagraph"/>
        <w:numPr>
          <w:ilvl w:val="0"/>
          <w:numId w:val="2"/>
        </w:numPr>
        <w:spacing w:after="70"/>
      </w:pPr>
      <w:r>
        <w:rPr>
          <w:sz w:val="21"/>
          <w:szCs w:val="21"/>
        </w:rPr>
        <w:t xml:space="preserve">Automated tests for all eight scenarios</w:t>
      </w:r>
    </w:p>
    <w:p>
      <w:pPr>
        <w:pStyle w:val="ListParagraph"/>
        <w:numPr>
          <w:ilvl w:val="0"/>
          <w:numId w:val="2"/>
        </w:numPr>
        <w:spacing w:after="70"/>
      </w:pPr>
      <w:r>
        <w:rPr>
          <w:sz w:val="21"/>
          <w:szCs w:val="21"/>
        </w:rPr>
        <w:t xml:space="preserve">A failure-injection script that can make the mock ERP time out after commit, and a reconciliation run that resolves the UNKNOWN actions</w:t>
      </w:r>
    </w:p>
    <w:p>
      <w:pPr>
        <w:pStyle w:val="ListParagraph"/>
        <w:numPr>
          <w:ilvl w:val="0"/>
          <w:numId w:val="2"/>
        </w:numPr>
        <w:spacing w:after="70"/>
      </w:pPr>
      <w:r>
        <w:rPr>
          <w:sz w:val="21"/>
          <w:szCs w:val="21"/>
        </w:rPr>
        <w:t xml:space="preserve">One-page README: how to run, the state machine for an action (states and transitions), and what you cut</w:t>
      </w:r>
    </w:p>
    <w:p>
      <w:pPr>
        <w:pStyle w:val="Heading1"/>
        <w:spacing w:after="140" w:before="280"/>
      </w:pPr>
      <w:r>
        <w:rPr>
          <w:color w:val="1B2A44"/>
        </w:rPr>
        <w:t xml:space="preserve">7. Review (45 Minutes)</w:t>
      </w:r>
    </w:p>
    <w:p>
      <w:pPr>
        <w:pStyle w:val="ListParagraph"/>
        <w:numPr>
          <w:ilvl w:val="0"/>
          <w:numId w:val="2"/>
        </w:numPr>
        <w:spacing w:after="70"/>
      </w:pPr>
      <w:r>
        <w:rPr>
          <w:sz w:val="21"/>
          <w:szCs w:val="21"/>
        </w:rPr>
        <w:t xml:space="preserve">Walk one action end-to-end through the state machine, including a forced timeout after commit.</w:t>
      </w:r>
    </w:p>
    <w:p>
      <w:pPr>
        <w:pStyle w:val="ListParagraph"/>
        <w:numPr>
          <w:ilvl w:val="0"/>
          <w:numId w:val="2"/>
        </w:numPr>
        <w:spacing w:after="70"/>
      </w:pPr>
      <w:r>
        <w:rPr>
          <w:sz w:val="21"/>
          <w:szCs w:val="21"/>
        </w:rPr>
        <w:t xml:space="preserve">Defend two decisions from DECISIONS.md. We will argue for the option you rejected.</w:t>
      </w:r>
    </w:p>
    <w:p>
      <w:pPr>
        <w:pStyle w:val="ListParagraph"/>
        <w:numPr>
          <w:ilvl w:val="0"/>
          <w:numId w:val="2"/>
        </w:numPr>
        <w:spacing w:after="70"/>
      </w:pPr>
      <w:r>
        <w:rPr>
          <w:sz w:val="21"/>
          <w:szCs w:val="21"/>
        </w:rPr>
        <w:t xml:space="preserve">We change one thing live: the ERP begins returning stale reads for a 10-minute window. Say what changes in the cache, the wallet, and the reconciliation job.</w:t>
      </w:r>
    </w:p>
    <w:p>
      <w:pPr>
        <w:pStyle w:val="ListParagraph"/>
        <w:numPr>
          <w:ilvl w:val="0"/>
          <w:numId w:val="2"/>
        </w:numPr>
        <w:spacing w:after="70"/>
      </w:pPr>
      <w:r>
        <w:rPr>
          <w:sz w:val="21"/>
          <w:szCs w:val="21"/>
        </w:rPr>
        <w:t xml:space="preserve">We ask: when should this gateway use a single Postgres table and no Redis at all? Answer with a number, not a feeling.</w:t>
      </w:r>
    </w:p>
    <w:p>
      <w:pPr>
        <w:pBdr>
          <w:bottom w:val="single" w:color="C9CDD4" w:sz="6"/>
        </w:pBdr>
        <w:spacing w:after="120" w:before="120"/>
      </w:pPr>
    </w:p>
    <w:p>
      <w:pPr>
        <w:spacing w:after="110"/>
      </w:pPr>
      <w:r>
        <w:rPr>
          <w:b w:val="false"/>
          <w:bCs w:val="false"/>
          <w:i/>
          <w:iCs/>
          <w:color w:val="555555"/>
          <w:sz w:val="20"/>
          <w:szCs w:val="20"/>
        </w:rPr>
        <w:t xml:space="preserve">A correct gateway with three well-argued decisions beats a fast one with none. Cut features before you cut the ledger.</w:t>
      </w:r>
    </w:p>
    <w:p>
      <w:pPr>
        <w:spacing w:after="110"/>
      </w:pPr>
      <w:r>
        <w:rPr>
          <w:b w:val="false"/>
          <w:bCs w:val="false"/>
          <w:i w:val="false"/>
          <w:iCs w:val="false"/>
          <w:color w:val="9C7A2B"/>
          <w:sz w:val="19"/>
          <w:szCs w:val="19"/>
        </w:rPr>
        <w:t xml:space="preserve">limitless-enterprise.ai  ·  Bengaluru</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2026-10-21T07:47:58.606Z</dcterms:created>
  <dcterms:modified xsi:type="dcterms:W3CDTF">2026-10-21T07:47:58.624Z</dcterms:modified>
</cp:coreProperties>
</file>

<file path=docProps/custom.xml><?xml version="1.0" encoding="utf-8"?>
<Properties xmlns="http://schemas.openxmlformats.org/officeDocument/2006/custom-properties" xmlns:vt="http://schemas.openxmlformats.org/officeDocument/2006/docPropsVTypes"/>
</file>