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FC9DA0" w14:textId="77777777" w:rsidR="00D219AB" w:rsidRPr="00CC4732" w:rsidRDefault="00AE6CAF" w:rsidP="00CC4732">
      <w:pPr>
        <w:spacing w:line="360" w:lineRule="auto"/>
        <w:jc w:val="center"/>
        <w:rPr>
          <w:b/>
        </w:rPr>
      </w:pPr>
      <w:r w:rsidRPr="00CC4732">
        <w:rPr>
          <w:b/>
        </w:rPr>
        <w:t xml:space="preserve">Project </w:t>
      </w:r>
      <w:r w:rsidR="004A117B">
        <w:rPr>
          <w:b/>
        </w:rPr>
        <w:t>5</w:t>
      </w:r>
      <w:r w:rsidRPr="00CC4732">
        <w:rPr>
          <w:b/>
        </w:rPr>
        <w:t xml:space="preserve">. </w:t>
      </w:r>
      <w:r w:rsidR="004A117B">
        <w:rPr>
          <w:b/>
        </w:rPr>
        <w:t>Working with Raster Data &amp; Zonal Analysis</w:t>
      </w:r>
      <w:r w:rsidRPr="00CC4732">
        <w:rPr>
          <w:b/>
        </w:rPr>
        <w:t xml:space="preserve"> </w:t>
      </w:r>
    </w:p>
    <w:p w14:paraId="4037E1E9" w14:textId="77777777" w:rsidR="00AE6CAF" w:rsidRPr="00CC4732" w:rsidRDefault="00082FCA" w:rsidP="00CC4732">
      <w:pPr>
        <w:spacing w:line="360" w:lineRule="auto"/>
        <w:ind w:left="360"/>
        <w:rPr>
          <w:b/>
        </w:rPr>
      </w:pPr>
      <w:r w:rsidRPr="00CC4732">
        <w:rPr>
          <w:b/>
        </w:rPr>
        <w:t xml:space="preserve">Abstract </w:t>
      </w:r>
    </w:p>
    <w:p w14:paraId="3AE278DE" w14:textId="77777777" w:rsidR="00082FCA" w:rsidRPr="00CC4732" w:rsidRDefault="00CC4732" w:rsidP="00CC4732">
      <w:pPr>
        <w:snapToGrid w:val="0"/>
        <w:spacing w:line="360" w:lineRule="auto"/>
        <w:ind w:left="360"/>
      </w:pPr>
      <w:r>
        <w:t xml:space="preserve">This report will detail a raster analysis carried out using R. Large raster datasets such as a 30m DEM and the CONUS NLCD data will be used in this analysis. </w:t>
      </w:r>
    </w:p>
    <w:p w14:paraId="1D43B298" w14:textId="77777777" w:rsidR="00E036B6" w:rsidRPr="00CC4732" w:rsidRDefault="00CC4732" w:rsidP="00CC4732">
      <w:pPr>
        <w:numPr>
          <w:ilvl w:val="0"/>
          <w:numId w:val="3"/>
        </w:numPr>
        <w:snapToGrid w:val="0"/>
        <w:spacing w:line="360" w:lineRule="auto"/>
        <w:rPr>
          <w:b/>
        </w:rPr>
      </w:pPr>
      <w:r>
        <w:rPr>
          <w:b/>
        </w:rPr>
        <w:t>Loading the Data</w:t>
      </w:r>
    </w:p>
    <w:p w14:paraId="492731CF" w14:textId="77777777" w:rsidR="00AE6CAF" w:rsidRPr="00CC4732" w:rsidRDefault="00CC4732" w:rsidP="00CC4732">
      <w:pPr>
        <w:snapToGrid w:val="0"/>
        <w:spacing w:line="360" w:lineRule="auto"/>
        <w:ind w:left="360"/>
      </w:pPr>
      <w:r>
        <w:t xml:space="preserve">The data links provided by Dr. Shan for this project consisted of a 30m </w:t>
      </w:r>
      <w:r w:rsidR="004A117B">
        <w:t>Digital Elevation Model (</w:t>
      </w:r>
      <w:r>
        <w:t>DEM</w:t>
      </w:r>
      <w:r w:rsidR="004A117B">
        <w:t>)</w:t>
      </w:r>
      <w:r>
        <w:t xml:space="preserve"> (raster), the CONUS National Land Cover (NLCD) data (raster), a counties shapefile, and a flood zones shapefile. </w:t>
      </w:r>
      <w:r w:rsidR="00E121D9">
        <w:t>The raster data was simply loaded into R using the raster packages raster function. The data was read in almost instantly</w:t>
      </w:r>
      <w:r w:rsidR="00F34881">
        <w:t xml:space="preserve"> despite the size given that raster reads from disk rather than memory</w:t>
      </w:r>
      <w:r w:rsidR="00E121D9">
        <w:t xml:space="preserve">. The shapefiles were read in as usual using </w:t>
      </w:r>
      <w:proofErr w:type="spellStart"/>
      <w:r w:rsidR="00E121D9">
        <w:t>st_read</w:t>
      </w:r>
      <w:proofErr w:type="spellEnd"/>
      <w:r w:rsidR="00E121D9">
        <w:t xml:space="preserve"> from the sf package.</w:t>
      </w:r>
    </w:p>
    <w:p w14:paraId="7FAE9BB3" w14:textId="77777777" w:rsidR="00C66D67" w:rsidRPr="00CC4732" w:rsidRDefault="00E121D9" w:rsidP="00CC4732">
      <w:pPr>
        <w:numPr>
          <w:ilvl w:val="0"/>
          <w:numId w:val="3"/>
        </w:numPr>
        <w:snapToGrid w:val="0"/>
        <w:spacing w:line="360" w:lineRule="auto"/>
        <w:rPr>
          <w:b/>
        </w:rPr>
      </w:pPr>
      <w:r>
        <w:rPr>
          <w:b/>
        </w:rPr>
        <w:t>Terrain Analysis</w:t>
      </w:r>
    </w:p>
    <w:p w14:paraId="6898297F" w14:textId="507D4FD7" w:rsidR="00E121D9" w:rsidRDefault="00E121D9" w:rsidP="00E121D9">
      <w:pPr>
        <w:snapToGrid w:val="0"/>
        <w:spacing w:line="360" w:lineRule="auto"/>
        <w:ind w:left="360"/>
      </w:pPr>
      <w:r>
        <w:t>The next step in the analysis was to calculate the slope and map it as well as elevation. The elevation was already available in the raw DEM data in units of</w:t>
      </w:r>
      <w:r w:rsidR="000E038B">
        <w:t xml:space="preserve"> meters</w:t>
      </w:r>
      <w:r>
        <w:t xml:space="preserve"> </w:t>
      </w:r>
      <w:r w:rsidR="00F34881">
        <w:t>as seen in Figure 1a.</w:t>
      </w:r>
      <w:r>
        <w:t xml:space="preserve"> Slope was calculated using the terrain function provided by raster in degrees</w:t>
      </w:r>
      <w:r w:rsidR="00535B52">
        <w:t xml:space="preserve"> as seen in </w:t>
      </w:r>
      <w:r w:rsidR="00F34881">
        <w:t>Figure 1b</w:t>
      </w:r>
      <w:r>
        <w:t xml:space="preserve">. In order to develop an understanding of the relationship between the slope and elevation, the raster data for slope and elevation were converted to vectors in data frames. The vectorized slope (rather than a matrix) was sampled with a sample size of 250,000 points for both slope and elevation. </w:t>
      </w:r>
      <w:r w:rsidR="00535B52">
        <w:t xml:space="preserve">The </w:t>
      </w:r>
      <w:r>
        <w:t xml:space="preserve">slope was plotted on the y-axis and the elevation on the x-axis for the sampled subset as seen in </w:t>
      </w:r>
      <w:r w:rsidR="00F34881">
        <w:t>Figure 1c</w:t>
      </w:r>
      <w:r>
        <w:t>.</w:t>
      </w:r>
      <w:r w:rsidR="000E038B">
        <w:t xml:space="preserve"> No real relationship can be established.</w:t>
      </w:r>
    </w:p>
    <w:p w14:paraId="307CD690" w14:textId="77777777" w:rsidR="00F34881" w:rsidRDefault="00F34881" w:rsidP="00F34881">
      <w:pPr>
        <w:keepNext/>
        <w:snapToGrid w:val="0"/>
        <w:spacing w:line="360" w:lineRule="auto"/>
        <w:ind w:left="360"/>
        <w:jc w:val="center"/>
      </w:pPr>
      <w:r w:rsidRPr="00486E2A">
        <w:rPr>
          <w:noProof/>
        </w:rPr>
        <w:pict w14:anchorId="7DEF13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402.6pt;height:201.6pt;visibility:visible;mso-wrap-style:square">
            <v:imagedata r:id="rId8" o:title=""/>
          </v:shape>
        </w:pict>
      </w:r>
    </w:p>
    <w:p w14:paraId="40401B98" w14:textId="591C3411" w:rsidR="00F34881" w:rsidRDefault="00F34881" w:rsidP="00F34881">
      <w:pPr>
        <w:pStyle w:val="Caption"/>
        <w:jc w:val="center"/>
      </w:pPr>
      <w:r>
        <w:t xml:space="preserve">Figure </w:t>
      </w:r>
      <w:fldSimple w:instr=" SEQ Figure \* ARABIC ">
        <w:r w:rsidR="00521B83">
          <w:rPr>
            <w:noProof/>
          </w:rPr>
          <w:t>1</w:t>
        </w:r>
      </w:fldSimple>
      <w:r>
        <w:t>: (a) Elevation in Meters. (b) Slope calculated in degrees. (c) Elevation vs Slope.</w:t>
      </w:r>
    </w:p>
    <w:p w14:paraId="766F626B" w14:textId="77777777" w:rsidR="00F34881" w:rsidRPr="00F34881" w:rsidRDefault="00F34881" w:rsidP="00F34881"/>
    <w:p w14:paraId="2A1F98A9" w14:textId="77777777" w:rsidR="009957AB" w:rsidRPr="00CC4732" w:rsidRDefault="00214C0F" w:rsidP="00CC4732">
      <w:pPr>
        <w:numPr>
          <w:ilvl w:val="0"/>
          <w:numId w:val="3"/>
        </w:numPr>
        <w:snapToGrid w:val="0"/>
        <w:spacing w:line="360" w:lineRule="auto"/>
        <w:rPr>
          <w:b/>
        </w:rPr>
      </w:pPr>
      <w:r>
        <w:rPr>
          <w:b/>
        </w:rPr>
        <w:lastRenderedPageBreak/>
        <w:t xml:space="preserve">Zonal </w:t>
      </w:r>
      <w:r w:rsidR="004A117B">
        <w:rPr>
          <w:b/>
        </w:rPr>
        <w:t>Analysis</w:t>
      </w:r>
    </w:p>
    <w:p w14:paraId="1930538E" w14:textId="5AE9C42F" w:rsidR="00C52807" w:rsidRDefault="00CC4732" w:rsidP="004A117B">
      <w:pPr>
        <w:snapToGrid w:val="0"/>
        <w:spacing w:line="360" w:lineRule="auto"/>
        <w:ind w:left="360"/>
      </w:pPr>
      <w:r w:rsidRPr="00CC4732">
        <w:t>T</w:t>
      </w:r>
      <w:r w:rsidR="004A117B">
        <w:t xml:space="preserve">o prepare the data sets for zonal analysis, all datasets were projected to the same projection as the DEM’s native projection, UTM Zone 16N, and cropped to the county data. </w:t>
      </w:r>
      <w:r w:rsidR="00272489">
        <w:t xml:space="preserve">The datum used was WGS84. </w:t>
      </w:r>
      <w:r w:rsidR="004A117B">
        <w:t xml:space="preserve">This wasn’t a particularly difficult </w:t>
      </w:r>
      <w:proofErr w:type="gramStart"/>
      <w:r w:rsidR="004A117B">
        <w:t>task</w:t>
      </w:r>
      <w:proofErr w:type="gramEnd"/>
      <w:r w:rsidR="004A117B">
        <w:t xml:space="preserve"> but </w:t>
      </w:r>
      <w:r w:rsidR="000E038B">
        <w:t xml:space="preserve">it </w:t>
      </w:r>
      <w:r w:rsidR="004A117B">
        <w:t xml:space="preserve">was </w:t>
      </w:r>
      <w:r w:rsidR="005A4ADB">
        <w:t>extremely slow</w:t>
      </w:r>
      <w:r w:rsidR="004A117B">
        <w:t xml:space="preserve">. Given the NLCD data size, it was deemed unwise to project it and then crop it. The counties were instead projected to the projection provided by NLCD and then </w:t>
      </w:r>
      <w:r w:rsidR="000E038B">
        <w:t xml:space="preserve">the </w:t>
      </w:r>
      <w:r w:rsidR="004A117B">
        <w:t xml:space="preserve">NLCD </w:t>
      </w:r>
      <w:r w:rsidR="000E038B">
        <w:t xml:space="preserve">data </w:t>
      </w:r>
      <w:r w:rsidR="004A117B">
        <w:t>was cropped by this projected county data. After cropping the data, it was re-projected to UTM Zone 16N</w:t>
      </w:r>
      <w:r w:rsidR="00AB46E8">
        <w:t xml:space="preserve"> using the nearest neighbor method (due to it being categorical) and resolution set to 30 square meters in order to match it up with the DEM raster</w:t>
      </w:r>
      <w:r w:rsidR="004A117B">
        <w:t>. Despite this attempt at speeding these operations up, projecting the subset of NLCD data still took roughly 40 minutes to complete.</w:t>
      </w:r>
      <w:r w:rsidR="00AB46E8">
        <w:t xml:space="preserve"> Given that the NLCD raster was a categorical representation, it was necessary to use the raster package’s ratify function on it in order to re-establish the factor levels.</w:t>
      </w:r>
      <w:r w:rsidR="00944A33">
        <w:t xml:space="preserve"> In order to display it with the NLCD’s official colors, a color picker tool in Google Chrome was used to lift the category colors from the web and were manually </w:t>
      </w:r>
      <w:proofErr w:type="gramStart"/>
      <w:r w:rsidR="00944A33">
        <w:t>entered into</w:t>
      </w:r>
      <w:proofErr w:type="gramEnd"/>
      <w:r w:rsidR="00944A33">
        <w:t xml:space="preserve"> a palette vector in R.</w:t>
      </w:r>
      <w:r w:rsidR="00A1422B">
        <w:t xml:space="preserve"> The final NLCD figure was produced with </w:t>
      </w:r>
      <w:r w:rsidR="000E038B">
        <w:t>a</w:t>
      </w:r>
      <w:r w:rsidR="00A1422B">
        <w:t xml:space="preserve"> </w:t>
      </w:r>
      <w:proofErr w:type="spellStart"/>
      <w:r w:rsidR="00A1422B">
        <w:t>rasterVis</w:t>
      </w:r>
      <w:proofErr w:type="spellEnd"/>
      <w:r w:rsidR="00A1422B">
        <w:t xml:space="preserve"> </w:t>
      </w:r>
      <w:proofErr w:type="spellStart"/>
      <w:r w:rsidR="00A1422B">
        <w:t>levelplot</w:t>
      </w:r>
      <w:proofErr w:type="spellEnd"/>
      <w:r w:rsidR="00A1422B">
        <w:t>.</w:t>
      </w:r>
      <w:r w:rsidR="00535B52">
        <w:t xml:space="preserve"> To prepare the flood data, it was re</w:t>
      </w:r>
      <w:r w:rsidR="00535B52">
        <w:noBreakHyphen/>
        <w:t>projected to UTM Zone 16N and re</w:t>
      </w:r>
      <w:r w:rsidR="000E038B">
        <w:t>-</w:t>
      </w:r>
      <w:r w:rsidR="00535B52">
        <w:t>coded to use clearer codes for flood zones</w:t>
      </w:r>
      <w:r w:rsidR="005A4ADB">
        <w:t>. The counties, NLCD, and flood data can be seen in Figure 2a, 2b, and 2c respectively.</w:t>
      </w:r>
    </w:p>
    <w:p w14:paraId="6E021EFD" w14:textId="77777777" w:rsidR="005A4ADB" w:rsidRDefault="00535B52" w:rsidP="005A4ADB">
      <w:pPr>
        <w:keepNext/>
        <w:snapToGrid w:val="0"/>
        <w:spacing w:line="360" w:lineRule="auto"/>
        <w:ind w:left="360"/>
        <w:jc w:val="center"/>
      </w:pPr>
      <w:r w:rsidRPr="00486E2A">
        <w:rPr>
          <w:noProof/>
        </w:rPr>
        <w:pict w14:anchorId="57D2A60B">
          <v:shape id="_x0000_i1067" type="#_x0000_t75" style="width:484.2pt;height:201.6pt;visibility:visible;mso-wrap-style:square">
            <v:imagedata r:id="rId9" o:title=""/>
          </v:shape>
        </w:pict>
      </w:r>
    </w:p>
    <w:p w14:paraId="626BB6C9" w14:textId="509D0E7D" w:rsidR="005A4ADB" w:rsidRPr="005A4ADB" w:rsidRDefault="005A4ADB" w:rsidP="005A4ADB">
      <w:pPr>
        <w:pStyle w:val="Caption"/>
        <w:jc w:val="center"/>
      </w:pPr>
      <w:r>
        <w:t xml:space="preserve">Figure </w:t>
      </w:r>
      <w:fldSimple w:instr=" SEQ Figure \* ARABIC ">
        <w:r w:rsidR="00521B83">
          <w:rPr>
            <w:noProof/>
          </w:rPr>
          <w:t>2</w:t>
        </w:r>
      </w:fldSimple>
      <w:r>
        <w:t>: (a) Indiana county polygons. (b) NLCD data by classification. (c) Flood Zones by FEMA classifications. All data uses the WGS84 Datum and has been projected to the UTM Zone 16N projection.</w:t>
      </w:r>
    </w:p>
    <w:p w14:paraId="595025FE" w14:textId="1BDC1404" w:rsidR="005A4ADB" w:rsidRDefault="005A4ADB" w:rsidP="005A4ADB">
      <w:pPr>
        <w:snapToGrid w:val="0"/>
        <w:spacing w:line="360" w:lineRule="auto"/>
        <w:ind w:left="360" w:firstLine="360"/>
      </w:pPr>
      <w:r>
        <w:t xml:space="preserve">With the data ready for zonal analysis, the package </w:t>
      </w:r>
      <w:proofErr w:type="spellStart"/>
      <w:r>
        <w:t>exactextractr</w:t>
      </w:r>
      <w:proofErr w:type="spellEnd"/>
      <w:r>
        <w:t xml:space="preserve"> was used to speedily extract the average and standard deviation for elevation and slope by </w:t>
      </w:r>
      <w:r w:rsidR="000E038B">
        <w:t>c</w:t>
      </w:r>
      <w:r>
        <w:t xml:space="preserve">ounty. The results can </w:t>
      </w:r>
      <w:r>
        <w:lastRenderedPageBreak/>
        <w:t>be seen in Figure 3a, 3b, 3c, and 3d. While elevation doesn’t change much in Indiana, it is interesting to see the significant change in slopes toward the southern part of the state.</w:t>
      </w:r>
    </w:p>
    <w:p w14:paraId="72CE6D78" w14:textId="77777777" w:rsidR="005A4ADB" w:rsidRDefault="00535B52" w:rsidP="005A4ADB">
      <w:pPr>
        <w:keepNext/>
        <w:snapToGrid w:val="0"/>
        <w:spacing w:line="360" w:lineRule="auto"/>
        <w:ind w:left="360"/>
        <w:jc w:val="center"/>
      </w:pPr>
      <w:r w:rsidRPr="00486E2A">
        <w:rPr>
          <w:noProof/>
        </w:rPr>
        <w:pict w14:anchorId="4738D7E0">
          <v:shape id="Picture 1" o:spid="_x0000_i1066" type="#_x0000_t75" style="width:413.4pt;height:201.6pt;visibility:visible;mso-wrap-style:square">
            <v:imagedata r:id="rId10" o:title=""/>
          </v:shape>
        </w:pict>
      </w:r>
    </w:p>
    <w:p w14:paraId="744A7985" w14:textId="0F8A2F6E" w:rsidR="004C1FE5" w:rsidRDefault="005A4ADB" w:rsidP="005A4ADB">
      <w:pPr>
        <w:pStyle w:val="Caption"/>
        <w:jc w:val="center"/>
        <w:rPr>
          <w:noProof/>
        </w:rPr>
      </w:pPr>
      <w:r>
        <w:t xml:space="preserve">Figure </w:t>
      </w:r>
      <w:fldSimple w:instr=" SEQ Figure \* ARABIC ">
        <w:r w:rsidR="00521B83">
          <w:rPr>
            <w:noProof/>
          </w:rPr>
          <w:t>3</w:t>
        </w:r>
      </w:fldSimple>
      <w:r>
        <w:t>: Mean and Standard Deviation for elevation and slope by Indiana County.</w:t>
      </w:r>
    </w:p>
    <w:p w14:paraId="6824D6EE" w14:textId="77777777" w:rsidR="00CF56FA" w:rsidRDefault="005A4ADB" w:rsidP="00CF56FA">
      <w:pPr>
        <w:snapToGrid w:val="0"/>
        <w:spacing w:line="360" w:lineRule="auto"/>
        <w:ind w:left="360"/>
      </w:pPr>
      <w:r>
        <w:tab/>
        <w:t xml:space="preserve">The next step in zonal analysis was to determine the mean and standard deviation of slope and elevation by land cover class. To accomplish this the dem and slope </w:t>
      </w:r>
      <w:proofErr w:type="spellStart"/>
      <w:r>
        <w:t>rasters</w:t>
      </w:r>
      <w:proofErr w:type="spellEnd"/>
      <w:r>
        <w:t xml:space="preserve"> were resampled to match the </w:t>
      </w:r>
      <w:proofErr w:type="spellStart"/>
      <w:r>
        <w:t>nlcd</w:t>
      </w:r>
      <w:proofErr w:type="spellEnd"/>
      <w:r>
        <w:t xml:space="preserve"> data.</w:t>
      </w:r>
      <w:r w:rsidR="00766F2C">
        <w:t xml:space="preserve"> </w:t>
      </w:r>
      <w:r w:rsidR="00517656">
        <w:t>These are shown in Figure 4a-4d of the appendix. Finally, zonal statistics were carried out for the Flood zones. This proved to be somewhat trickier as there were more than five-thousand polygons. Class discussions proved to be fruitful and pointed to the use of the aggregate function to sum up the zones once the zonal statistics were calculated. The results can be found in Table 1.</w:t>
      </w:r>
    </w:p>
    <w:p w14:paraId="68564CCA" w14:textId="277FD733" w:rsidR="00CF56FA" w:rsidRDefault="00CF56FA" w:rsidP="00CF56FA">
      <w:pPr>
        <w:pStyle w:val="Caption"/>
        <w:keepNext/>
      </w:pPr>
      <w:r>
        <w:t xml:space="preserve">Table </w:t>
      </w:r>
      <w:fldSimple w:instr=" SEQ Table \* ARABIC ">
        <w:r w:rsidR="00521B83">
          <w:rPr>
            <w:noProof/>
          </w:rPr>
          <w:t>1</w:t>
        </w:r>
      </w:fldSimple>
      <w:r>
        <w:t>: Zonal analysis of flood zones.</w:t>
      </w:r>
    </w:p>
    <w:tbl>
      <w:tblPr>
        <w:tblW w:w="9006" w:type="dxa"/>
        <w:jc w:val="center"/>
        <w:tblLook w:val="04A0" w:firstRow="1" w:lastRow="0" w:firstColumn="1" w:lastColumn="0" w:noHBand="0" w:noVBand="1"/>
      </w:tblPr>
      <w:tblGrid>
        <w:gridCol w:w="2446"/>
        <w:gridCol w:w="1480"/>
        <w:gridCol w:w="2360"/>
        <w:gridCol w:w="1300"/>
        <w:gridCol w:w="1420"/>
      </w:tblGrid>
      <w:tr w:rsidR="00CF56FA" w:rsidRPr="00CF56FA" w14:paraId="0F782764" w14:textId="77777777" w:rsidTr="00CF56FA">
        <w:trPr>
          <w:trHeight w:val="288"/>
          <w:jc w:val="center"/>
        </w:trPr>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CCC38A" w14:textId="77777777" w:rsidR="00CF56FA" w:rsidRPr="00CF56FA" w:rsidRDefault="00CF56FA" w:rsidP="00CF56FA">
            <w:pPr>
              <w:jc w:val="center"/>
              <w:rPr>
                <w:rFonts w:ascii="Calibri" w:eastAsia="Times New Roman" w:hAnsi="Calibri" w:cs="Calibri"/>
                <w:b/>
                <w:bCs/>
                <w:color w:val="000000"/>
                <w:sz w:val="22"/>
                <w:szCs w:val="22"/>
              </w:rPr>
            </w:pPr>
            <w:r w:rsidRPr="00CF56FA">
              <w:rPr>
                <w:rFonts w:ascii="Calibri" w:eastAsia="Times New Roman" w:hAnsi="Calibri" w:cs="Calibri"/>
                <w:b/>
                <w:bCs/>
                <w:color w:val="000000"/>
                <w:sz w:val="22"/>
                <w:szCs w:val="22"/>
              </w:rPr>
              <w:t>Flood Zone</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37765D06" w14:textId="77777777" w:rsidR="00CF56FA" w:rsidRPr="00CF56FA" w:rsidRDefault="00CF56FA" w:rsidP="00CF56FA">
            <w:pPr>
              <w:jc w:val="center"/>
              <w:rPr>
                <w:rFonts w:ascii="Calibri" w:eastAsia="Times New Roman" w:hAnsi="Calibri" w:cs="Calibri"/>
                <w:b/>
                <w:bCs/>
                <w:color w:val="000000"/>
                <w:sz w:val="22"/>
                <w:szCs w:val="22"/>
              </w:rPr>
            </w:pPr>
            <w:r w:rsidRPr="00CF56FA">
              <w:rPr>
                <w:rFonts w:ascii="Calibri" w:eastAsia="Times New Roman" w:hAnsi="Calibri" w:cs="Calibri"/>
                <w:b/>
                <w:bCs/>
                <w:color w:val="000000"/>
                <w:sz w:val="22"/>
                <w:szCs w:val="22"/>
              </w:rPr>
              <w:t>Mean Elevation</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52DB8B7E" w14:textId="77777777" w:rsidR="00CF56FA" w:rsidRPr="00CF56FA" w:rsidRDefault="00CF56FA" w:rsidP="00CF56FA">
            <w:pPr>
              <w:jc w:val="center"/>
              <w:rPr>
                <w:rFonts w:ascii="Calibri" w:eastAsia="Times New Roman" w:hAnsi="Calibri" w:cs="Calibri"/>
                <w:b/>
                <w:bCs/>
                <w:color w:val="000000"/>
                <w:sz w:val="22"/>
                <w:szCs w:val="22"/>
              </w:rPr>
            </w:pPr>
            <w:r w:rsidRPr="00CF56FA">
              <w:rPr>
                <w:rFonts w:ascii="Calibri" w:eastAsia="Times New Roman" w:hAnsi="Calibri" w:cs="Calibri"/>
                <w:b/>
                <w:bCs/>
                <w:color w:val="000000"/>
                <w:sz w:val="22"/>
                <w:szCs w:val="22"/>
              </w:rPr>
              <w:t>Std. Dev. Elevation</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B833238" w14:textId="77777777" w:rsidR="00CF56FA" w:rsidRPr="00CF56FA" w:rsidRDefault="00CF56FA" w:rsidP="00CF56FA">
            <w:pPr>
              <w:jc w:val="center"/>
              <w:rPr>
                <w:rFonts w:ascii="Calibri" w:eastAsia="Times New Roman" w:hAnsi="Calibri" w:cs="Calibri"/>
                <w:b/>
                <w:bCs/>
                <w:color w:val="000000"/>
                <w:sz w:val="22"/>
                <w:szCs w:val="22"/>
              </w:rPr>
            </w:pPr>
            <w:r w:rsidRPr="00CF56FA">
              <w:rPr>
                <w:rFonts w:ascii="Calibri" w:eastAsia="Times New Roman" w:hAnsi="Calibri" w:cs="Calibri"/>
                <w:b/>
                <w:bCs/>
                <w:color w:val="000000"/>
                <w:sz w:val="22"/>
                <w:szCs w:val="22"/>
              </w:rPr>
              <w:t>Mean Slope</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032A7932" w14:textId="77777777" w:rsidR="00CF56FA" w:rsidRPr="00CF56FA" w:rsidRDefault="00CF56FA" w:rsidP="00CF56FA">
            <w:pPr>
              <w:jc w:val="center"/>
              <w:rPr>
                <w:rFonts w:ascii="Calibri" w:eastAsia="Times New Roman" w:hAnsi="Calibri" w:cs="Calibri"/>
                <w:b/>
                <w:bCs/>
                <w:color w:val="000000"/>
                <w:sz w:val="22"/>
                <w:szCs w:val="22"/>
              </w:rPr>
            </w:pPr>
            <w:r w:rsidRPr="00CF56FA">
              <w:rPr>
                <w:rFonts w:ascii="Calibri" w:eastAsia="Times New Roman" w:hAnsi="Calibri" w:cs="Calibri"/>
                <w:b/>
                <w:bCs/>
                <w:color w:val="000000"/>
                <w:sz w:val="22"/>
                <w:szCs w:val="22"/>
              </w:rPr>
              <w:t>Std. Dev. Slope</w:t>
            </w:r>
          </w:p>
        </w:tc>
      </w:tr>
      <w:tr w:rsidR="00CF56FA" w:rsidRPr="00CF56FA" w14:paraId="52D9D616" w14:textId="77777777" w:rsidTr="00CF56FA">
        <w:trPr>
          <w:trHeight w:val="288"/>
          <w:jc w:val="center"/>
        </w:trPr>
        <w:tc>
          <w:tcPr>
            <w:tcW w:w="2446" w:type="dxa"/>
            <w:tcBorders>
              <w:top w:val="nil"/>
              <w:left w:val="single" w:sz="4" w:space="0" w:color="auto"/>
              <w:bottom w:val="single" w:sz="4" w:space="0" w:color="auto"/>
              <w:right w:val="single" w:sz="4" w:space="0" w:color="auto"/>
            </w:tcBorders>
            <w:shd w:val="clear" w:color="auto" w:fill="auto"/>
            <w:noWrap/>
            <w:vAlign w:val="bottom"/>
            <w:hideMark/>
          </w:tcPr>
          <w:p w14:paraId="0F8BF1F6" w14:textId="77777777" w:rsidR="00CF56FA" w:rsidRPr="00CF56FA" w:rsidRDefault="00CF56FA" w:rsidP="00CF56FA">
            <w:pPr>
              <w:jc w:val="center"/>
              <w:rPr>
                <w:rFonts w:ascii="Calibri" w:eastAsia="Times New Roman" w:hAnsi="Calibri" w:cs="Calibri"/>
                <w:b/>
                <w:bCs/>
                <w:color w:val="000000"/>
                <w:sz w:val="22"/>
                <w:szCs w:val="22"/>
              </w:rPr>
            </w:pPr>
            <w:r w:rsidRPr="00CF56FA">
              <w:rPr>
                <w:rFonts w:ascii="Calibri" w:eastAsia="Times New Roman" w:hAnsi="Calibri" w:cs="Calibri"/>
                <w:b/>
                <w:bCs/>
                <w:color w:val="000000"/>
                <w:sz w:val="22"/>
                <w:szCs w:val="22"/>
              </w:rPr>
              <w:t>Area Not Included</w:t>
            </w:r>
          </w:p>
        </w:tc>
        <w:tc>
          <w:tcPr>
            <w:tcW w:w="1480" w:type="dxa"/>
            <w:tcBorders>
              <w:top w:val="nil"/>
              <w:left w:val="nil"/>
              <w:bottom w:val="single" w:sz="4" w:space="0" w:color="auto"/>
              <w:right w:val="single" w:sz="4" w:space="0" w:color="auto"/>
            </w:tcBorders>
            <w:shd w:val="clear" w:color="auto" w:fill="auto"/>
            <w:noWrap/>
            <w:vAlign w:val="bottom"/>
            <w:hideMark/>
          </w:tcPr>
          <w:p w14:paraId="06CE318E" w14:textId="77777777" w:rsidR="00CF56FA" w:rsidRPr="00CF56FA" w:rsidRDefault="00CF56FA" w:rsidP="00CF56FA">
            <w:pPr>
              <w:jc w:val="center"/>
              <w:rPr>
                <w:rFonts w:ascii="Calibri" w:eastAsia="Times New Roman" w:hAnsi="Calibri" w:cs="Calibri"/>
                <w:color w:val="000000"/>
                <w:sz w:val="22"/>
                <w:szCs w:val="22"/>
              </w:rPr>
            </w:pPr>
            <w:r w:rsidRPr="00CF56FA">
              <w:rPr>
                <w:rFonts w:ascii="Calibri" w:eastAsia="Times New Roman" w:hAnsi="Calibri" w:cs="Calibri"/>
                <w:color w:val="000000"/>
                <w:sz w:val="22"/>
                <w:szCs w:val="22"/>
              </w:rPr>
              <w:t>262.24</w:t>
            </w:r>
          </w:p>
        </w:tc>
        <w:tc>
          <w:tcPr>
            <w:tcW w:w="2360" w:type="dxa"/>
            <w:tcBorders>
              <w:top w:val="nil"/>
              <w:left w:val="nil"/>
              <w:bottom w:val="single" w:sz="4" w:space="0" w:color="auto"/>
              <w:right w:val="single" w:sz="4" w:space="0" w:color="auto"/>
            </w:tcBorders>
            <w:shd w:val="clear" w:color="auto" w:fill="auto"/>
            <w:noWrap/>
            <w:vAlign w:val="bottom"/>
            <w:hideMark/>
          </w:tcPr>
          <w:p w14:paraId="2F4FB721" w14:textId="77777777" w:rsidR="00CF56FA" w:rsidRPr="00CF56FA" w:rsidRDefault="00CF56FA" w:rsidP="00CF56FA">
            <w:pPr>
              <w:jc w:val="center"/>
              <w:rPr>
                <w:rFonts w:ascii="Calibri" w:eastAsia="Times New Roman" w:hAnsi="Calibri" w:cs="Calibri"/>
                <w:color w:val="000000"/>
                <w:sz w:val="22"/>
                <w:szCs w:val="22"/>
              </w:rPr>
            </w:pPr>
            <w:r w:rsidRPr="00CF56FA">
              <w:rPr>
                <w:rFonts w:ascii="Calibri" w:eastAsia="Times New Roman" w:hAnsi="Calibri" w:cs="Calibri"/>
                <w:color w:val="000000"/>
                <w:sz w:val="22"/>
                <w:szCs w:val="22"/>
              </w:rPr>
              <w:t>92.31</w:t>
            </w:r>
          </w:p>
        </w:tc>
        <w:tc>
          <w:tcPr>
            <w:tcW w:w="1300" w:type="dxa"/>
            <w:tcBorders>
              <w:top w:val="nil"/>
              <w:left w:val="nil"/>
              <w:bottom w:val="single" w:sz="4" w:space="0" w:color="auto"/>
              <w:right w:val="single" w:sz="4" w:space="0" w:color="auto"/>
            </w:tcBorders>
            <w:shd w:val="clear" w:color="auto" w:fill="auto"/>
            <w:noWrap/>
            <w:vAlign w:val="bottom"/>
            <w:hideMark/>
          </w:tcPr>
          <w:p w14:paraId="20313CB7" w14:textId="77777777" w:rsidR="00CF56FA" w:rsidRPr="00CF56FA" w:rsidRDefault="00CF56FA" w:rsidP="00CF56FA">
            <w:pPr>
              <w:jc w:val="center"/>
              <w:rPr>
                <w:rFonts w:ascii="Calibri" w:eastAsia="Times New Roman" w:hAnsi="Calibri" w:cs="Calibri"/>
                <w:color w:val="000000"/>
                <w:sz w:val="22"/>
                <w:szCs w:val="22"/>
              </w:rPr>
            </w:pPr>
            <w:r w:rsidRPr="00CF56FA">
              <w:rPr>
                <w:rFonts w:ascii="Calibri" w:eastAsia="Times New Roman" w:hAnsi="Calibri" w:cs="Calibri"/>
                <w:color w:val="000000"/>
                <w:sz w:val="22"/>
                <w:szCs w:val="22"/>
              </w:rPr>
              <w:t>0.01</w:t>
            </w:r>
          </w:p>
        </w:tc>
        <w:tc>
          <w:tcPr>
            <w:tcW w:w="1420" w:type="dxa"/>
            <w:tcBorders>
              <w:top w:val="nil"/>
              <w:left w:val="nil"/>
              <w:bottom w:val="single" w:sz="4" w:space="0" w:color="auto"/>
              <w:right w:val="single" w:sz="4" w:space="0" w:color="auto"/>
            </w:tcBorders>
            <w:shd w:val="clear" w:color="auto" w:fill="auto"/>
            <w:noWrap/>
            <w:vAlign w:val="bottom"/>
            <w:hideMark/>
          </w:tcPr>
          <w:p w14:paraId="1BF2F626" w14:textId="77777777" w:rsidR="00CF56FA" w:rsidRPr="00CF56FA" w:rsidRDefault="00CF56FA" w:rsidP="00CF56FA">
            <w:pPr>
              <w:jc w:val="center"/>
              <w:rPr>
                <w:rFonts w:ascii="Calibri" w:eastAsia="Times New Roman" w:hAnsi="Calibri" w:cs="Calibri"/>
                <w:color w:val="000000"/>
                <w:sz w:val="22"/>
                <w:szCs w:val="22"/>
              </w:rPr>
            </w:pPr>
            <w:r w:rsidRPr="00CF56FA">
              <w:rPr>
                <w:rFonts w:ascii="Calibri" w:eastAsia="Times New Roman" w:hAnsi="Calibri" w:cs="Calibri"/>
                <w:color w:val="000000"/>
                <w:sz w:val="22"/>
                <w:szCs w:val="22"/>
              </w:rPr>
              <w:t>0.01</w:t>
            </w:r>
          </w:p>
        </w:tc>
      </w:tr>
      <w:tr w:rsidR="00CF56FA" w:rsidRPr="00CF56FA" w14:paraId="3382010C" w14:textId="77777777" w:rsidTr="00CF56FA">
        <w:trPr>
          <w:trHeight w:val="288"/>
          <w:jc w:val="center"/>
        </w:trPr>
        <w:tc>
          <w:tcPr>
            <w:tcW w:w="2446" w:type="dxa"/>
            <w:tcBorders>
              <w:top w:val="nil"/>
              <w:left w:val="single" w:sz="4" w:space="0" w:color="auto"/>
              <w:bottom w:val="single" w:sz="4" w:space="0" w:color="auto"/>
              <w:right w:val="single" w:sz="4" w:space="0" w:color="auto"/>
            </w:tcBorders>
            <w:shd w:val="clear" w:color="auto" w:fill="auto"/>
            <w:noWrap/>
            <w:vAlign w:val="bottom"/>
            <w:hideMark/>
          </w:tcPr>
          <w:p w14:paraId="09F6F25F" w14:textId="77777777" w:rsidR="00CF56FA" w:rsidRPr="00CF56FA" w:rsidRDefault="00CF56FA" w:rsidP="00CF56FA">
            <w:pPr>
              <w:jc w:val="center"/>
              <w:rPr>
                <w:rFonts w:ascii="Calibri" w:eastAsia="Times New Roman" w:hAnsi="Calibri" w:cs="Calibri"/>
                <w:b/>
                <w:bCs/>
                <w:color w:val="000000"/>
                <w:sz w:val="22"/>
                <w:szCs w:val="22"/>
              </w:rPr>
            </w:pPr>
            <w:r w:rsidRPr="00CF56FA">
              <w:rPr>
                <w:rFonts w:ascii="Calibri" w:eastAsia="Times New Roman" w:hAnsi="Calibri" w:cs="Calibri"/>
                <w:b/>
                <w:bCs/>
                <w:color w:val="000000"/>
                <w:sz w:val="22"/>
                <w:szCs w:val="22"/>
              </w:rPr>
              <w:t>Open Water</w:t>
            </w:r>
          </w:p>
        </w:tc>
        <w:tc>
          <w:tcPr>
            <w:tcW w:w="1480" w:type="dxa"/>
            <w:tcBorders>
              <w:top w:val="nil"/>
              <w:left w:val="nil"/>
              <w:bottom w:val="single" w:sz="4" w:space="0" w:color="auto"/>
              <w:right w:val="single" w:sz="4" w:space="0" w:color="auto"/>
            </w:tcBorders>
            <w:shd w:val="clear" w:color="auto" w:fill="auto"/>
            <w:noWrap/>
            <w:vAlign w:val="bottom"/>
            <w:hideMark/>
          </w:tcPr>
          <w:p w14:paraId="61BCDAF6" w14:textId="77777777" w:rsidR="00CF56FA" w:rsidRPr="00CF56FA" w:rsidRDefault="00CF56FA" w:rsidP="00CF56FA">
            <w:pPr>
              <w:jc w:val="center"/>
              <w:rPr>
                <w:rFonts w:ascii="Calibri" w:eastAsia="Times New Roman" w:hAnsi="Calibri" w:cs="Calibri"/>
                <w:color w:val="000000"/>
                <w:sz w:val="22"/>
                <w:szCs w:val="22"/>
              </w:rPr>
            </w:pPr>
            <w:r w:rsidRPr="00CF56FA">
              <w:rPr>
                <w:rFonts w:ascii="Calibri" w:eastAsia="Times New Roman" w:hAnsi="Calibri" w:cs="Calibri"/>
                <w:color w:val="000000"/>
                <w:sz w:val="22"/>
                <w:szCs w:val="22"/>
              </w:rPr>
              <w:t>176.38</w:t>
            </w:r>
          </w:p>
        </w:tc>
        <w:tc>
          <w:tcPr>
            <w:tcW w:w="2360" w:type="dxa"/>
            <w:tcBorders>
              <w:top w:val="nil"/>
              <w:left w:val="nil"/>
              <w:bottom w:val="single" w:sz="4" w:space="0" w:color="auto"/>
              <w:right w:val="single" w:sz="4" w:space="0" w:color="auto"/>
            </w:tcBorders>
            <w:shd w:val="clear" w:color="auto" w:fill="auto"/>
            <w:noWrap/>
            <w:vAlign w:val="bottom"/>
            <w:hideMark/>
          </w:tcPr>
          <w:p w14:paraId="2528EEE7" w14:textId="77777777" w:rsidR="00CF56FA" w:rsidRPr="00CF56FA" w:rsidRDefault="00CF56FA" w:rsidP="00CF56FA">
            <w:pPr>
              <w:jc w:val="center"/>
              <w:rPr>
                <w:rFonts w:ascii="Calibri" w:eastAsia="Times New Roman" w:hAnsi="Calibri" w:cs="Calibri"/>
                <w:color w:val="000000"/>
                <w:sz w:val="22"/>
                <w:szCs w:val="22"/>
              </w:rPr>
            </w:pPr>
            <w:r w:rsidRPr="00CF56FA">
              <w:rPr>
                <w:rFonts w:ascii="Calibri" w:eastAsia="Times New Roman" w:hAnsi="Calibri" w:cs="Calibri"/>
                <w:color w:val="000000"/>
                <w:sz w:val="22"/>
                <w:szCs w:val="22"/>
              </w:rPr>
              <w:t>16.29</w:t>
            </w:r>
          </w:p>
        </w:tc>
        <w:tc>
          <w:tcPr>
            <w:tcW w:w="1300" w:type="dxa"/>
            <w:tcBorders>
              <w:top w:val="nil"/>
              <w:left w:val="nil"/>
              <w:bottom w:val="single" w:sz="4" w:space="0" w:color="auto"/>
              <w:right w:val="single" w:sz="4" w:space="0" w:color="auto"/>
            </w:tcBorders>
            <w:shd w:val="clear" w:color="auto" w:fill="auto"/>
            <w:noWrap/>
            <w:vAlign w:val="bottom"/>
            <w:hideMark/>
          </w:tcPr>
          <w:p w14:paraId="2E61DE19" w14:textId="77777777" w:rsidR="00CF56FA" w:rsidRPr="00CF56FA" w:rsidRDefault="00CF56FA" w:rsidP="00CF56FA">
            <w:pPr>
              <w:jc w:val="center"/>
              <w:rPr>
                <w:rFonts w:ascii="Calibri" w:eastAsia="Times New Roman" w:hAnsi="Calibri" w:cs="Calibri"/>
                <w:color w:val="000000"/>
                <w:sz w:val="22"/>
                <w:szCs w:val="22"/>
              </w:rPr>
            </w:pPr>
            <w:r w:rsidRPr="00CF56FA">
              <w:rPr>
                <w:rFonts w:ascii="Calibri" w:eastAsia="Times New Roman" w:hAnsi="Calibri" w:cs="Calibri"/>
                <w:color w:val="000000"/>
                <w:sz w:val="22"/>
                <w:szCs w:val="22"/>
              </w:rPr>
              <w:t>0.00</w:t>
            </w:r>
          </w:p>
        </w:tc>
        <w:tc>
          <w:tcPr>
            <w:tcW w:w="1420" w:type="dxa"/>
            <w:tcBorders>
              <w:top w:val="nil"/>
              <w:left w:val="nil"/>
              <w:bottom w:val="single" w:sz="4" w:space="0" w:color="auto"/>
              <w:right w:val="single" w:sz="4" w:space="0" w:color="auto"/>
            </w:tcBorders>
            <w:shd w:val="clear" w:color="auto" w:fill="auto"/>
            <w:noWrap/>
            <w:vAlign w:val="bottom"/>
            <w:hideMark/>
          </w:tcPr>
          <w:p w14:paraId="7B92382D" w14:textId="77777777" w:rsidR="00CF56FA" w:rsidRPr="00CF56FA" w:rsidRDefault="00CF56FA" w:rsidP="00CF56FA">
            <w:pPr>
              <w:jc w:val="center"/>
              <w:rPr>
                <w:rFonts w:ascii="Calibri" w:eastAsia="Times New Roman" w:hAnsi="Calibri" w:cs="Calibri"/>
                <w:color w:val="000000"/>
                <w:sz w:val="22"/>
                <w:szCs w:val="22"/>
              </w:rPr>
            </w:pPr>
            <w:r w:rsidRPr="00CF56FA">
              <w:rPr>
                <w:rFonts w:ascii="Calibri" w:eastAsia="Times New Roman" w:hAnsi="Calibri" w:cs="Calibri"/>
                <w:color w:val="000000"/>
                <w:sz w:val="22"/>
                <w:szCs w:val="22"/>
              </w:rPr>
              <w:t>0.00</w:t>
            </w:r>
          </w:p>
        </w:tc>
      </w:tr>
      <w:tr w:rsidR="00CF56FA" w:rsidRPr="00CF56FA" w14:paraId="7CD75FAF" w14:textId="77777777" w:rsidTr="00CF56FA">
        <w:trPr>
          <w:trHeight w:val="288"/>
          <w:jc w:val="center"/>
        </w:trPr>
        <w:tc>
          <w:tcPr>
            <w:tcW w:w="2446" w:type="dxa"/>
            <w:tcBorders>
              <w:top w:val="nil"/>
              <w:left w:val="single" w:sz="4" w:space="0" w:color="auto"/>
              <w:bottom w:val="single" w:sz="4" w:space="0" w:color="auto"/>
              <w:right w:val="single" w:sz="4" w:space="0" w:color="auto"/>
            </w:tcBorders>
            <w:shd w:val="clear" w:color="auto" w:fill="auto"/>
            <w:noWrap/>
            <w:vAlign w:val="bottom"/>
            <w:hideMark/>
          </w:tcPr>
          <w:p w14:paraId="1D6EF603" w14:textId="77777777" w:rsidR="00CF56FA" w:rsidRPr="00CF56FA" w:rsidRDefault="00CF56FA" w:rsidP="00CF56FA">
            <w:pPr>
              <w:jc w:val="center"/>
              <w:rPr>
                <w:rFonts w:ascii="Calibri" w:eastAsia="Times New Roman" w:hAnsi="Calibri" w:cs="Calibri"/>
                <w:b/>
                <w:bCs/>
                <w:color w:val="000000"/>
                <w:sz w:val="22"/>
                <w:szCs w:val="22"/>
              </w:rPr>
            </w:pPr>
            <w:r w:rsidRPr="00CF56FA">
              <w:rPr>
                <w:rFonts w:ascii="Calibri" w:eastAsia="Times New Roman" w:hAnsi="Calibri" w:cs="Calibri"/>
                <w:b/>
                <w:bCs/>
                <w:color w:val="000000"/>
                <w:sz w:val="22"/>
                <w:szCs w:val="22"/>
              </w:rPr>
              <w:t>100/500 Year, Protected</w:t>
            </w:r>
          </w:p>
        </w:tc>
        <w:tc>
          <w:tcPr>
            <w:tcW w:w="1480" w:type="dxa"/>
            <w:tcBorders>
              <w:top w:val="nil"/>
              <w:left w:val="nil"/>
              <w:bottom w:val="single" w:sz="4" w:space="0" w:color="auto"/>
              <w:right w:val="single" w:sz="4" w:space="0" w:color="auto"/>
            </w:tcBorders>
            <w:shd w:val="clear" w:color="auto" w:fill="auto"/>
            <w:noWrap/>
            <w:vAlign w:val="bottom"/>
            <w:hideMark/>
          </w:tcPr>
          <w:p w14:paraId="44E0A3F6" w14:textId="77777777" w:rsidR="00CF56FA" w:rsidRPr="00CF56FA" w:rsidRDefault="00CF56FA" w:rsidP="00CF56FA">
            <w:pPr>
              <w:jc w:val="center"/>
              <w:rPr>
                <w:rFonts w:ascii="Calibri" w:eastAsia="Times New Roman" w:hAnsi="Calibri" w:cs="Calibri"/>
                <w:color w:val="000000"/>
                <w:sz w:val="22"/>
                <w:szCs w:val="22"/>
              </w:rPr>
            </w:pPr>
            <w:r w:rsidRPr="00CF56FA">
              <w:rPr>
                <w:rFonts w:ascii="Calibri" w:eastAsia="Times New Roman" w:hAnsi="Calibri" w:cs="Calibri"/>
                <w:color w:val="000000"/>
                <w:sz w:val="22"/>
                <w:szCs w:val="22"/>
              </w:rPr>
              <w:t>228.79</w:t>
            </w:r>
          </w:p>
        </w:tc>
        <w:tc>
          <w:tcPr>
            <w:tcW w:w="2360" w:type="dxa"/>
            <w:tcBorders>
              <w:top w:val="nil"/>
              <w:left w:val="nil"/>
              <w:bottom w:val="single" w:sz="4" w:space="0" w:color="auto"/>
              <w:right w:val="single" w:sz="4" w:space="0" w:color="auto"/>
            </w:tcBorders>
            <w:shd w:val="clear" w:color="auto" w:fill="auto"/>
            <w:noWrap/>
            <w:vAlign w:val="bottom"/>
            <w:hideMark/>
          </w:tcPr>
          <w:p w14:paraId="78FEEA28" w14:textId="77777777" w:rsidR="00CF56FA" w:rsidRPr="00CF56FA" w:rsidRDefault="00CF56FA" w:rsidP="00CF56FA">
            <w:pPr>
              <w:jc w:val="center"/>
              <w:rPr>
                <w:rFonts w:ascii="Calibri" w:eastAsia="Times New Roman" w:hAnsi="Calibri" w:cs="Calibri"/>
                <w:color w:val="000000"/>
                <w:sz w:val="22"/>
                <w:szCs w:val="22"/>
              </w:rPr>
            </w:pPr>
            <w:r w:rsidRPr="00CF56FA">
              <w:rPr>
                <w:rFonts w:ascii="Calibri" w:eastAsia="Times New Roman" w:hAnsi="Calibri" w:cs="Calibri"/>
                <w:color w:val="000000"/>
                <w:sz w:val="22"/>
                <w:szCs w:val="22"/>
              </w:rPr>
              <w:t>NA</w:t>
            </w:r>
          </w:p>
        </w:tc>
        <w:tc>
          <w:tcPr>
            <w:tcW w:w="1300" w:type="dxa"/>
            <w:tcBorders>
              <w:top w:val="nil"/>
              <w:left w:val="nil"/>
              <w:bottom w:val="single" w:sz="4" w:space="0" w:color="auto"/>
              <w:right w:val="single" w:sz="4" w:space="0" w:color="auto"/>
            </w:tcBorders>
            <w:shd w:val="clear" w:color="auto" w:fill="auto"/>
            <w:noWrap/>
            <w:vAlign w:val="bottom"/>
            <w:hideMark/>
          </w:tcPr>
          <w:p w14:paraId="6669FFE8" w14:textId="77777777" w:rsidR="00CF56FA" w:rsidRPr="00CF56FA" w:rsidRDefault="00CF56FA" w:rsidP="00CF56FA">
            <w:pPr>
              <w:jc w:val="center"/>
              <w:rPr>
                <w:rFonts w:ascii="Calibri" w:eastAsia="Times New Roman" w:hAnsi="Calibri" w:cs="Calibri"/>
                <w:color w:val="000000"/>
                <w:sz w:val="22"/>
                <w:szCs w:val="22"/>
              </w:rPr>
            </w:pPr>
            <w:r w:rsidRPr="00CF56FA">
              <w:rPr>
                <w:rFonts w:ascii="Calibri" w:eastAsia="Times New Roman" w:hAnsi="Calibri" w:cs="Calibri"/>
                <w:color w:val="000000"/>
                <w:sz w:val="22"/>
                <w:szCs w:val="22"/>
              </w:rPr>
              <w:t>0.03</w:t>
            </w:r>
          </w:p>
        </w:tc>
        <w:tc>
          <w:tcPr>
            <w:tcW w:w="1420" w:type="dxa"/>
            <w:tcBorders>
              <w:top w:val="nil"/>
              <w:left w:val="nil"/>
              <w:bottom w:val="single" w:sz="4" w:space="0" w:color="auto"/>
              <w:right w:val="single" w:sz="4" w:space="0" w:color="auto"/>
            </w:tcBorders>
            <w:shd w:val="clear" w:color="auto" w:fill="auto"/>
            <w:noWrap/>
            <w:vAlign w:val="bottom"/>
            <w:hideMark/>
          </w:tcPr>
          <w:p w14:paraId="0B8B5F65" w14:textId="77777777" w:rsidR="00CF56FA" w:rsidRPr="00CF56FA" w:rsidRDefault="00CF56FA" w:rsidP="00CF56FA">
            <w:pPr>
              <w:jc w:val="center"/>
              <w:rPr>
                <w:rFonts w:ascii="Calibri" w:eastAsia="Times New Roman" w:hAnsi="Calibri" w:cs="Calibri"/>
                <w:color w:val="000000"/>
                <w:sz w:val="22"/>
                <w:szCs w:val="22"/>
              </w:rPr>
            </w:pPr>
            <w:r w:rsidRPr="00CF56FA">
              <w:rPr>
                <w:rFonts w:ascii="Calibri" w:eastAsia="Times New Roman" w:hAnsi="Calibri" w:cs="Calibri"/>
                <w:color w:val="000000"/>
                <w:sz w:val="22"/>
                <w:szCs w:val="22"/>
              </w:rPr>
              <w:t>NA</w:t>
            </w:r>
          </w:p>
        </w:tc>
      </w:tr>
      <w:tr w:rsidR="00CF56FA" w:rsidRPr="00CF56FA" w14:paraId="4A9F2274" w14:textId="77777777" w:rsidTr="00CF56FA">
        <w:trPr>
          <w:trHeight w:val="288"/>
          <w:jc w:val="center"/>
        </w:trPr>
        <w:tc>
          <w:tcPr>
            <w:tcW w:w="2446" w:type="dxa"/>
            <w:tcBorders>
              <w:top w:val="nil"/>
              <w:left w:val="single" w:sz="4" w:space="0" w:color="auto"/>
              <w:bottom w:val="single" w:sz="4" w:space="0" w:color="auto"/>
              <w:right w:val="single" w:sz="4" w:space="0" w:color="auto"/>
            </w:tcBorders>
            <w:shd w:val="clear" w:color="auto" w:fill="auto"/>
            <w:noWrap/>
            <w:vAlign w:val="bottom"/>
            <w:hideMark/>
          </w:tcPr>
          <w:p w14:paraId="6D7EAD0A" w14:textId="77777777" w:rsidR="00CF56FA" w:rsidRPr="00CF56FA" w:rsidRDefault="00CF56FA" w:rsidP="00CF56FA">
            <w:pPr>
              <w:jc w:val="center"/>
              <w:rPr>
                <w:rFonts w:ascii="Calibri" w:eastAsia="Times New Roman" w:hAnsi="Calibri" w:cs="Calibri"/>
                <w:b/>
                <w:bCs/>
                <w:color w:val="000000"/>
                <w:sz w:val="22"/>
                <w:szCs w:val="22"/>
              </w:rPr>
            </w:pPr>
            <w:r w:rsidRPr="00CF56FA">
              <w:rPr>
                <w:rFonts w:ascii="Calibri" w:eastAsia="Times New Roman" w:hAnsi="Calibri" w:cs="Calibri"/>
                <w:b/>
                <w:bCs/>
                <w:color w:val="000000"/>
                <w:sz w:val="22"/>
                <w:szCs w:val="22"/>
              </w:rPr>
              <w:t>100 Year</w:t>
            </w:r>
          </w:p>
        </w:tc>
        <w:tc>
          <w:tcPr>
            <w:tcW w:w="1480" w:type="dxa"/>
            <w:tcBorders>
              <w:top w:val="nil"/>
              <w:left w:val="nil"/>
              <w:bottom w:val="single" w:sz="4" w:space="0" w:color="auto"/>
              <w:right w:val="single" w:sz="4" w:space="0" w:color="auto"/>
            </w:tcBorders>
            <w:shd w:val="clear" w:color="auto" w:fill="auto"/>
            <w:noWrap/>
            <w:vAlign w:val="bottom"/>
            <w:hideMark/>
          </w:tcPr>
          <w:p w14:paraId="2FC14B33" w14:textId="77777777" w:rsidR="00CF56FA" w:rsidRPr="00CF56FA" w:rsidRDefault="00CF56FA" w:rsidP="00CF56FA">
            <w:pPr>
              <w:jc w:val="center"/>
              <w:rPr>
                <w:rFonts w:ascii="Calibri" w:eastAsia="Times New Roman" w:hAnsi="Calibri" w:cs="Calibri"/>
                <w:color w:val="000000"/>
                <w:sz w:val="22"/>
                <w:szCs w:val="22"/>
              </w:rPr>
            </w:pPr>
            <w:r w:rsidRPr="00CF56FA">
              <w:rPr>
                <w:rFonts w:ascii="Calibri" w:eastAsia="Times New Roman" w:hAnsi="Calibri" w:cs="Calibri"/>
                <w:color w:val="000000"/>
                <w:sz w:val="22"/>
                <w:szCs w:val="22"/>
              </w:rPr>
              <w:t>227.17</w:t>
            </w:r>
          </w:p>
        </w:tc>
        <w:tc>
          <w:tcPr>
            <w:tcW w:w="2360" w:type="dxa"/>
            <w:tcBorders>
              <w:top w:val="nil"/>
              <w:left w:val="nil"/>
              <w:bottom w:val="single" w:sz="4" w:space="0" w:color="auto"/>
              <w:right w:val="single" w:sz="4" w:space="0" w:color="auto"/>
            </w:tcBorders>
            <w:shd w:val="clear" w:color="auto" w:fill="auto"/>
            <w:noWrap/>
            <w:vAlign w:val="bottom"/>
            <w:hideMark/>
          </w:tcPr>
          <w:p w14:paraId="256EB307" w14:textId="77777777" w:rsidR="00CF56FA" w:rsidRPr="00CF56FA" w:rsidRDefault="00CF56FA" w:rsidP="00CF56FA">
            <w:pPr>
              <w:jc w:val="center"/>
              <w:rPr>
                <w:rFonts w:ascii="Calibri" w:eastAsia="Times New Roman" w:hAnsi="Calibri" w:cs="Calibri"/>
                <w:color w:val="000000"/>
                <w:sz w:val="22"/>
                <w:szCs w:val="22"/>
              </w:rPr>
            </w:pPr>
            <w:r w:rsidRPr="00CF56FA">
              <w:rPr>
                <w:rFonts w:ascii="Calibri" w:eastAsia="Times New Roman" w:hAnsi="Calibri" w:cs="Calibri"/>
                <w:color w:val="000000"/>
                <w:sz w:val="22"/>
                <w:szCs w:val="22"/>
              </w:rPr>
              <w:t>NA</w:t>
            </w:r>
          </w:p>
        </w:tc>
        <w:tc>
          <w:tcPr>
            <w:tcW w:w="1300" w:type="dxa"/>
            <w:tcBorders>
              <w:top w:val="nil"/>
              <w:left w:val="nil"/>
              <w:bottom w:val="single" w:sz="4" w:space="0" w:color="auto"/>
              <w:right w:val="single" w:sz="4" w:space="0" w:color="auto"/>
            </w:tcBorders>
            <w:shd w:val="clear" w:color="auto" w:fill="auto"/>
            <w:noWrap/>
            <w:vAlign w:val="bottom"/>
            <w:hideMark/>
          </w:tcPr>
          <w:p w14:paraId="22D6E2AB" w14:textId="77777777" w:rsidR="00CF56FA" w:rsidRPr="00CF56FA" w:rsidRDefault="00CF56FA" w:rsidP="00CF56FA">
            <w:pPr>
              <w:jc w:val="center"/>
              <w:rPr>
                <w:rFonts w:ascii="Calibri" w:eastAsia="Times New Roman" w:hAnsi="Calibri" w:cs="Calibri"/>
                <w:color w:val="000000"/>
                <w:sz w:val="22"/>
                <w:szCs w:val="22"/>
              </w:rPr>
            </w:pPr>
            <w:r w:rsidRPr="00CF56FA">
              <w:rPr>
                <w:rFonts w:ascii="Calibri" w:eastAsia="Times New Roman" w:hAnsi="Calibri" w:cs="Calibri"/>
                <w:color w:val="000000"/>
                <w:sz w:val="22"/>
                <w:szCs w:val="22"/>
              </w:rPr>
              <w:t>0.04</w:t>
            </w:r>
          </w:p>
        </w:tc>
        <w:tc>
          <w:tcPr>
            <w:tcW w:w="1420" w:type="dxa"/>
            <w:tcBorders>
              <w:top w:val="nil"/>
              <w:left w:val="nil"/>
              <w:bottom w:val="single" w:sz="4" w:space="0" w:color="auto"/>
              <w:right w:val="single" w:sz="4" w:space="0" w:color="auto"/>
            </w:tcBorders>
            <w:shd w:val="clear" w:color="auto" w:fill="auto"/>
            <w:noWrap/>
            <w:vAlign w:val="bottom"/>
            <w:hideMark/>
          </w:tcPr>
          <w:p w14:paraId="28C28CC5" w14:textId="77777777" w:rsidR="00CF56FA" w:rsidRPr="00CF56FA" w:rsidRDefault="00CF56FA" w:rsidP="00CF56FA">
            <w:pPr>
              <w:jc w:val="center"/>
              <w:rPr>
                <w:rFonts w:ascii="Calibri" w:eastAsia="Times New Roman" w:hAnsi="Calibri" w:cs="Calibri"/>
                <w:color w:val="000000"/>
                <w:sz w:val="22"/>
                <w:szCs w:val="22"/>
              </w:rPr>
            </w:pPr>
            <w:r w:rsidRPr="00CF56FA">
              <w:rPr>
                <w:rFonts w:ascii="Calibri" w:eastAsia="Times New Roman" w:hAnsi="Calibri" w:cs="Calibri"/>
                <w:color w:val="000000"/>
                <w:sz w:val="22"/>
                <w:szCs w:val="22"/>
              </w:rPr>
              <w:t>NA</w:t>
            </w:r>
          </w:p>
        </w:tc>
      </w:tr>
      <w:tr w:rsidR="00CF56FA" w:rsidRPr="00CF56FA" w14:paraId="78AE61F7" w14:textId="77777777" w:rsidTr="00CF56FA">
        <w:trPr>
          <w:trHeight w:val="288"/>
          <w:jc w:val="center"/>
        </w:trPr>
        <w:tc>
          <w:tcPr>
            <w:tcW w:w="2446" w:type="dxa"/>
            <w:tcBorders>
              <w:top w:val="nil"/>
              <w:left w:val="single" w:sz="4" w:space="0" w:color="auto"/>
              <w:bottom w:val="single" w:sz="4" w:space="0" w:color="auto"/>
              <w:right w:val="single" w:sz="4" w:space="0" w:color="auto"/>
            </w:tcBorders>
            <w:shd w:val="clear" w:color="auto" w:fill="auto"/>
            <w:noWrap/>
            <w:vAlign w:val="bottom"/>
            <w:hideMark/>
          </w:tcPr>
          <w:p w14:paraId="55F9A185" w14:textId="77777777" w:rsidR="00CF56FA" w:rsidRPr="00CF56FA" w:rsidRDefault="00CF56FA" w:rsidP="00CF56FA">
            <w:pPr>
              <w:jc w:val="center"/>
              <w:rPr>
                <w:rFonts w:ascii="Calibri" w:eastAsia="Times New Roman" w:hAnsi="Calibri" w:cs="Calibri"/>
                <w:b/>
                <w:bCs/>
                <w:color w:val="000000"/>
                <w:sz w:val="22"/>
                <w:szCs w:val="22"/>
              </w:rPr>
            </w:pPr>
            <w:r w:rsidRPr="00CF56FA">
              <w:rPr>
                <w:rFonts w:ascii="Calibri" w:eastAsia="Times New Roman" w:hAnsi="Calibri" w:cs="Calibri"/>
                <w:b/>
                <w:bCs/>
                <w:color w:val="000000"/>
                <w:sz w:val="22"/>
                <w:szCs w:val="22"/>
              </w:rPr>
              <w:t>100 Year, 1-3 ft</w:t>
            </w:r>
          </w:p>
        </w:tc>
        <w:tc>
          <w:tcPr>
            <w:tcW w:w="1480" w:type="dxa"/>
            <w:tcBorders>
              <w:top w:val="nil"/>
              <w:left w:val="nil"/>
              <w:bottom w:val="single" w:sz="4" w:space="0" w:color="auto"/>
              <w:right w:val="single" w:sz="4" w:space="0" w:color="auto"/>
            </w:tcBorders>
            <w:shd w:val="clear" w:color="auto" w:fill="auto"/>
            <w:noWrap/>
            <w:vAlign w:val="bottom"/>
            <w:hideMark/>
          </w:tcPr>
          <w:p w14:paraId="64B63BF0" w14:textId="77777777" w:rsidR="00CF56FA" w:rsidRPr="00CF56FA" w:rsidRDefault="00CF56FA" w:rsidP="00CF56FA">
            <w:pPr>
              <w:jc w:val="center"/>
              <w:rPr>
                <w:rFonts w:ascii="Calibri" w:eastAsia="Times New Roman" w:hAnsi="Calibri" w:cs="Calibri"/>
                <w:color w:val="000000"/>
                <w:sz w:val="22"/>
                <w:szCs w:val="22"/>
              </w:rPr>
            </w:pPr>
            <w:r w:rsidRPr="00CF56FA">
              <w:rPr>
                <w:rFonts w:ascii="Calibri" w:eastAsia="Times New Roman" w:hAnsi="Calibri" w:cs="Calibri"/>
                <w:color w:val="000000"/>
                <w:sz w:val="22"/>
                <w:szCs w:val="22"/>
              </w:rPr>
              <w:t>187.02</w:t>
            </w:r>
          </w:p>
        </w:tc>
        <w:tc>
          <w:tcPr>
            <w:tcW w:w="2360" w:type="dxa"/>
            <w:tcBorders>
              <w:top w:val="nil"/>
              <w:left w:val="nil"/>
              <w:bottom w:val="single" w:sz="4" w:space="0" w:color="auto"/>
              <w:right w:val="single" w:sz="4" w:space="0" w:color="auto"/>
            </w:tcBorders>
            <w:shd w:val="clear" w:color="auto" w:fill="auto"/>
            <w:noWrap/>
            <w:vAlign w:val="bottom"/>
            <w:hideMark/>
          </w:tcPr>
          <w:p w14:paraId="3E26511C" w14:textId="77777777" w:rsidR="00CF56FA" w:rsidRPr="00CF56FA" w:rsidRDefault="00CF56FA" w:rsidP="00CF56FA">
            <w:pPr>
              <w:jc w:val="center"/>
              <w:rPr>
                <w:rFonts w:ascii="Calibri" w:eastAsia="Times New Roman" w:hAnsi="Calibri" w:cs="Calibri"/>
                <w:color w:val="000000"/>
                <w:sz w:val="22"/>
                <w:szCs w:val="22"/>
              </w:rPr>
            </w:pPr>
            <w:r w:rsidRPr="00CF56FA">
              <w:rPr>
                <w:rFonts w:ascii="Calibri" w:eastAsia="Times New Roman" w:hAnsi="Calibri" w:cs="Calibri"/>
                <w:color w:val="000000"/>
                <w:sz w:val="22"/>
                <w:szCs w:val="22"/>
              </w:rPr>
              <w:t>NA</w:t>
            </w:r>
          </w:p>
        </w:tc>
        <w:tc>
          <w:tcPr>
            <w:tcW w:w="1300" w:type="dxa"/>
            <w:tcBorders>
              <w:top w:val="nil"/>
              <w:left w:val="nil"/>
              <w:bottom w:val="single" w:sz="4" w:space="0" w:color="auto"/>
              <w:right w:val="single" w:sz="4" w:space="0" w:color="auto"/>
            </w:tcBorders>
            <w:shd w:val="clear" w:color="auto" w:fill="auto"/>
            <w:noWrap/>
            <w:vAlign w:val="bottom"/>
            <w:hideMark/>
          </w:tcPr>
          <w:p w14:paraId="5F0280BA" w14:textId="77777777" w:rsidR="00CF56FA" w:rsidRPr="00CF56FA" w:rsidRDefault="00CF56FA" w:rsidP="00CF56FA">
            <w:pPr>
              <w:jc w:val="center"/>
              <w:rPr>
                <w:rFonts w:ascii="Calibri" w:eastAsia="Times New Roman" w:hAnsi="Calibri" w:cs="Calibri"/>
                <w:color w:val="000000"/>
                <w:sz w:val="22"/>
                <w:szCs w:val="22"/>
              </w:rPr>
            </w:pPr>
            <w:r w:rsidRPr="00CF56FA">
              <w:rPr>
                <w:rFonts w:ascii="Calibri" w:eastAsia="Times New Roman" w:hAnsi="Calibri" w:cs="Calibri"/>
                <w:color w:val="000000"/>
                <w:sz w:val="22"/>
                <w:szCs w:val="22"/>
              </w:rPr>
              <w:t>0.01</w:t>
            </w:r>
          </w:p>
        </w:tc>
        <w:tc>
          <w:tcPr>
            <w:tcW w:w="1420" w:type="dxa"/>
            <w:tcBorders>
              <w:top w:val="nil"/>
              <w:left w:val="nil"/>
              <w:bottom w:val="single" w:sz="4" w:space="0" w:color="auto"/>
              <w:right w:val="single" w:sz="4" w:space="0" w:color="auto"/>
            </w:tcBorders>
            <w:shd w:val="clear" w:color="auto" w:fill="auto"/>
            <w:noWrap/>
            <w:vAlign w:val="bottom"/>
            <w:hideMark/>
          </w:tcPr>
          <w:p w14:paraId="7E114C70" w14:textId="77777777" w:rsidR="00CF56FA" w:rsidRPr="00CF56FA" w:rsidRDefault="00CF56FA" w:rsidP="00CF56FA">
            <w:pPr>
              <w:jc w:val="center"/>
              <w:rPr>
                <w:rFonts w:ascii="Calibri" w:eastAsia="Times New Roman" w:hAnsi="Calibri" w:cs="Calibri"/>
                <w:color w:val="000000"/>
                <w:sz w:val="22"/>
                <w:szCs w:val="22"/>
              </w:rPr>
            </w:pPr>
            <w:r w:rsidRPr="00CF56FA">
              <w:rPr>
                <w:rFonts w:ascii="Calibri" w:eastAsia="Times New Roman" w:hAnsi="Calibri" w:cs="Calibri"/>
                <w:color w:val="000000"/>
                <w:sz w:val="22"/>
                <w:szCs w:val="22"/>
              </w:rPr>
              <w:t>NA</w:t>
            </w:r>
          </w:p>
        </w:tc>
      </w:tr>
    </w:tbl>
    <w:p w14:paraId="54F1358B" w14:textId="77777777" w:rsidR="004C1FE5" w:rsidRPr="00CC4732" w:rsidRDefault="004C1FE5" w:rsidP="00CF56FA">
      <w:pPr>
        <w:snapToGrid w:val="0"/>
        <w:spacing w:line="360" w:lineRule="auto"/>
      </w:pPr>
    </w:p>
    <w:p w14:paraId="449FF63B" w14:textId="77777777" w:rsidR="00214660" w:rsidRPr="00CC4732" w:rsidRDefault="00CF56FA" w:rsidP="00CC4732">
      <w:pPr>
        <w:numPr>
          <w:ilvl w:val="0"/>
          <w:numId w:val="3"/>
        </w:numPr>
        <w:snapToGrid w:val="0"/>
        <w:spacing w:line="360" w:lineRule="auto"/>
        <w:rPr>
          <w:b/>
        </w:rPr>
      </w:pPr>
      <w:r>
        <w:rPr>
          <w:b/>
        </w:rPr>
        <w:t>Conclusion</w:t>
      </w:r>
    </w:p>
    <w:p w14:paraId="47B5FC04" w14:textId="16CDE06B" w:rsidR="00214660" w:rsidRPr="00CC4732" w:rsidRDefault="00CF56FA" w:rsidP="00CC4732">
      <w:pPr>
        <w:snapToGrid w:val="0"/>
        <w:spacing w:line="360" w:lineRule="auto"/>
        <w:ind w:left="360"/>
      </w:pPr>
      <w:r>
        <w:t xml:space="preserve">This project has shown that working with raster data can be quite time intensive and requires careful consideration for how to carry out raster analytics must be taken in order to arrive at a solution efficiently. Perhaps with more time, newer packages that leverage C/C++ code like </w:t>
      </w:r>
      <w:proofErr w:type="spellStart"/>
      <w:r>
        <w:t>exactextractr</w:t>
      </w:r>
      <w:proofErr w:type="spellEnd"/>
      <w:r>
        <w:t xml:space="preserve"> will become more normal in R for raster analytics</w:t>
      </w:r>
      <w:r w:rsidR="000E038B">
        <w:t xml:space="preserve"> and speed up these tasks</w:t>
      </w:r>
      <w:bookmarkStart w:id="0" w:name="_GoBack"/>
      <w:bookmarkEnd w:id="0"/>
      <w:r>
        <w:t>.</w:t>
      </w:r>
    </w:p>
    <w:p w14:paraId="2B920357" w14:textId="77777777" w:rsidR="00C52807" w:rsidRDefault="00082FCA" w:rsidP="004C1FE5">
      <w:pPr>
        <w:snapToGrid w:val="0"/>
        <w:spacing w:line="360" w:lineRule="auto"/>
        <w:rPr>
          <w:b/>
        </w:rPr>
      </w:pPr>
      <w:r w:rsidRPr="00CC4732">
        <w:rPr>
          <w:b/>
        </w:rPr>
        <w:lastRenderedPageBreak/>
        <w:t xml:space="preserve">References </w:t>
      </w:r>
    </w:p>
    <w:p w14:paraId="1B96EAF0" w14:textId="77777777" w:rsidR="00517656" w:rsidRDefault="0017143A" w:rsidP="0017143A">
      <w:pPr>
        <w:snapToGrid w:val="0"/>
        <w:spacing w:line="360" w:lineRule="auto"/>
        <w:ind w:left="360" w:hanging="360"/>
        <w:rPr>
          <w:b/>
        </w:rPr>
      </w:pPr>
      <w:r>
        <w:rPr>
          <w:b/>
        </w:rPr>
        <w:t>DEM – Provided by Dr. Shan – 22 October 2019</w:t>
      </w:r>
    </w:p>
    <w:p w14:paraId="07BFB3DC" w14:textId="77777777" w:rsidR="0017143A" w:rsidRDefault="0017143A" w:rsidP="0017143A">
      <w:pPr>
        <w:snapToGrid w:val="0"/>
        <w:spacing w:line="360" w:lineRule="auto"/>
        <w:ind w:left="360" w:hanging="360"/>
        <w:rPr>
          <w:b/>
        </w:rPr>
      </w:pPr>
      <w:r>
        <w:rPr>
          <w:b/>
        </w:rPr>
        <w:t xml:space="preserve">Flood Rate Insurance Map </w:t>
      </w:r>
      <w:r w:rsidRPr="0017143A">
        <w:rPr>
          <w:b/>
        </w:rPr>
        <w:t>(n.d.). Retrieved October 22, 2019, from https://maps.indiana.edu/previewMaps/Hydrology/Floodplains_FIRM.html.</w:t>
      </w:r>
    </w:p>
    <w:p w14:paraId="6063BB03" w14:textId="77777777" w:rsidR="00517656" w:rsidRDefault="0017143A" w:rsidP="0017143A">
      <w:pPr>
        <w:snapToGrid w:val="0"/>
        <w:spacing w:line="360" w:lineRule="auto"/>
        <w:ind w:left="360" w:hanging="360"/>
        <w:rPr>
          <w:b/>
        </w:rPr>
      </w:pPr>
      <w:proofErr w:type="spellStart"/>
      <w:r w:rsidRPr="0017143A">
        <w:rPr>
          <w:b/>
        </w:rPr>
        <w:t>IndianaMap</w:t>
      </w:r>
      <w:proofErr w:type="spellEnd"/>
      <w:r w:rsidRPr="0017143A">
        <w:rPr>
          <w:b/>
        </w:rPr>
        <w:t xml:space="preserve">. (n.d.). Layer Gallery. Retrieved October 22, 2019, from </w:t>
      </w:r>
      <w:hyperlink r:id="rId11" w:history="1">
        <w:r w:rsidRPr="002F06FD">
          <w:rPr>
            <w:rStyle w:val="Hyperlink"/>
            <w:b/>
          </w:rPr>
          <w:t>https://maps.indiana.edu/layerGallery.html?category=Census</w:t>
        </w:r>
      </w:hyperlink>
      <w:r w:rsidRPr="0017143A">
        <w:rPr>
          <w:b/>
        </w:rPr>
        <w:t>.</w:t>
      </w:r>
    </w:p>
    <w:p w14:paraId="6D0A55DA" w14:textId="77777777" w:rsidR="00517656" w:rsidRDefault="0017143A" w:rsidP="004C1FE5">
      <w:pPr>
        <w:snapToGrid w:val="0"/>
        <w:spacing w:line="360" w:lineRule="auto"/>
        <w:rPr>
          <w:b/>
        </w:rPr>
      </w:pPr>
      <w:r>
        <w:rPr>
          <w:b/>
        </w:rPr>
        <w:t xml:space="preserve">NLCD </w:t>
      </w:r>
      <w:r w:rsidRPr="0017143A">
        <w:rPr>
          <w:b/>
        </w:rPr>
        <w:t>Data. (n.d.). Retrieved October 22, 2019, from https://www.mrlc.gov/data.</w:t>
      </w:r>
    </w:p>
    <w:p w14:paraId="408C7E63" w14:textId="77777777" w:rsidR="00517656" w:rsidRDefault="00517656" w:rsidP="004C1FE5">
      <w:pPr>
        <w:snapToGrid w:val="0"/>
        <w:spacing w:line="360" w:lineRule="auto"/>
        <w:rPr>
          <w:b/>
        </w:rPr>
      </w:pPr>
      <w:r>
        <w:rPr>
          <w:b/>
        </w:rPr>
        <w:t>Appendix</w:t>
      </w:r>
    </w:p>
    <w:p w14:paraId="68D96EE9" w14:textId="77777777" w:rsidR="0017143A" w:rsidRDefault="00517656" w:rsidP="0017143A">
      <w:pPr>
        <w:keepNext/>
        <w:snapToGrid w:val="0"/>
        <w:spacing w:line="360" w:lineRule="auto"/>
        <w:jc w:val="center"/>
      </w:pPr>
      <w:r>
        <w:rPr>
          <w:noProof/>
        </w:rPr>
        <w:pict w14:anchorId="6ABE8B15">
          <v:shapetype id="_x0000_t202" coordsize="21600,21600" o:spt="202" path="m,l,21600r21600,l21600,xe">
            <v:stroke joinstyle="miter"/>
            <v:path gradientshapeok="t" o:connecttype="rect"/>
          </v:shapetype>
          <v:shape id="_x0000_s1030" type="#_x0000_t202" style="position:absolute;left:0;text-align:left;margin-left:243.75pt;margin-top:375.9pt;width:18pt;height:21pt;z-index: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30;mso-fit-shape-to-text:t">
              <w:txbxContent>
                <w:p w14:paraId="784849E0" w14:textId="77777777" w:rsidR="00517656" w:rsidRPr="00517656" w:rsidRDefault="00517656" w:rsidP="00517656">
                  <w:pPr>
                    <w:rPr>
                      <w:b/>
                    </w:rPr>
                  </w:pPr>
                  <w:r>
                    <w:rPr>
                      <w:b/>
                    </w:rPr>
                    <w:t>d</w:t>
                  </w:r>
                </w:p>
              </w:txbxContent>
            </v:textbox>
          </v:shape>
        </w:pict>
      </w:r>
      <w:r>
        <w:rPr>
          <w:noProof/>
        </w:rPr>
        <w:pict w14:anchorId="2AEA953F">
          <v:shape id="_x0000_s1029" type="#_x0000_t202" style="position:absolute;left:0;text-align:left;margin-left:5.7pt;margin-top:374.55pt;width:18pt;height:21pt;z-index:3;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29;mso-fit-shape-to-text:t">
              <w:txbxContent>
                <w:p w14:paraId="23FD56E7" w14:textId="77777777" w:rsidR="00517656" w:rsidRPr="00517656" w:rsidRDefault="00517656" w:rsidP="00517656">
                  <w:pPr>
                    <w:rPr>
                      <w:b/>
                    </w:rPr>
                  </w:pPr>
                  <w:r>
                    <w:rPr>
                      <w:b/>
                    </w:rPr>
                    <w:t>c</w:t>
                  </w:r>
                </w:p>
              </w:txbxContent>
            </v:textbox>
          </v:shape>
        </w:pict>
      </w:r>
      <w:r>
        <w:rPr>
          <w:noProof/>
        </w:rPr>
        <w:pict w14:anchorId="046C6BF4">
          <v:shape id="Text Box 2" o:spid="_x0000_s1027" type="#_x0000_t202" style="position:absolute;left:0;text-align:left;margin-left:9.6pt;margin-top:146.5pt;width:18pt;height:21pt;z-index:1;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Text Box 2;mso-fit-shape-to-text:t">
              <w:txbxContent>
                <w:p w14:paraId="05DCE1C2" w14:textId="77777777" w:rsidR="00517656" w:rsidRPr="00517656" w:rsidRDefault="00517656">
                  <w:pPr>
                    <w:rPr>
                      <w:b/>
                    </w:rPr>
                  </w:pPr>
                  <w:r w:rsidRPr="00517656">
                    <w:rPr>
                      <w:b/>
                    </w:rPr>
                    <w:t>a</w:t>
                  </w:r>
                </w:p>
              </w:txbxContent>
            </v:textbox>
          </v:shape>
        </w:pict>
      </w:r>
      <w:r>
        <w:rPr>
          <w:b/>
          <w:noProof/>
        </w:rPr>
        <w:pict w14:anchorId="4E762FDB">
          <v:shape id="_x0000_s1028" type="#_x0000_t202" style="position:absolute;left:0;text-align:left;margin-left:243.75pt;margin-top:149.55pt;width:18pt;height:21pt;z-index: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28;mso-fit-shape-to-text:t">
              <w:txbxContent>
                <w:p w14:paraId="3711A8BB" w14:textId="77777777" w:rsidR="00517656" w:rsidRPr="00517656" w:rsidRDefault="00517656" w:rsidP="00517656">
                  <w:pPr>
                    <w:rPr>
                      <w:b/>
                    </w:rPr>
                  </w:pPr>
                  <w:r>
                    <w:rPr>
                      <w:b/>
                    </w:rPr>
                    <w:t>b</w:t>
                  </w:r>
                </w:p>
              </w:txbxContent>
            </v:textbox>
          </v:shape>
        </w:pict>
      </w:r>
      <w:r w:rsidRPr="00517656">
        <w:rPr>
          <w:b/>
          <w:noProof/>
        </w:rPr>
        <w:pict w14:anchorId="2716B196">
          <v:shape id="_x0000_i1088" type="#_x0000_t75" style="width:468pt;height:447pt;visibility:visible;mso-wrap-style:square">
            <v:imagedata r:id="rId12" o:title=""/>
          </v:shape>
        </w:pict>
      </w:r>
    </w:p>
    <w:p w14:paraId="7880BD67" w14:textId="51CB804A" w:rsidR="00517656" w:rsidRPr="004C1FE5" w:rsidRDefault="0017143A" w:rsidP="0017143A">
      <w:pPr>
        <w:pStyle w:val="Caption"/>
        <w:jc w:val="center"/>
        <w:rPr>
          <w:b w:val="0"/>
          <w:bCs w:val="0"/>
        </w:rPr>
      </w:pPr>
      <w:r>
        <w:t xml:space="preserve">Figure </w:t>
      </w:r>
      <w:fldSimple w:instr=" SEQ Figure \* ARABIC ">
        <w:r w:rsidR="00521B83">
          <w:rPr>
            <w:noProof/>
          </w:rPr>
          <w:t>4</w:t>
        </w:r>
      </w:fldSimple>
      <w:r>
        <w:t>: Zonal analysis results by land cover categories.</w:t>
      </w:r>
    </w:p>
    <w:sectPr w:rsidR="00517656" w:rsidRPr="004C1FE5" w:rsidSect="00AE6CAF">
      <w:headerReference w:type="default" r:id="rId13"/>
      <w:footerReference w:type="even" r:id="rId14"/>
      <w:footerReference w:type="default" r:id="rId1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B91C1" w14:textId="77777777" w:rsidR="00BE42E0" w:rsidRDefault="00BE42E0">
      <w:r>
        <w:separator/>
      </w:r>
    </w:p>
  </w:endnote>
  <w:endnote w:type="continuationSeparator" w:id="0">
    <w:p w14:paraId="54D2D3C3" w14:textId="77777777" w:rsidR="00BE42E0" w:rsidRDefault="00BE42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70E90" w14:textId="77777777" w:rsidR="00AD3AA0" w:rsidRDefault="00AD3A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E684FA" w14:textId="77777777" w:rsidR="00AD3AA0" w:rsidRDefault="00AD3A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2A74B" w14:textId="77777777" w:rsidR="00AD3AA0" w:rsidRPr="007829A2" w:rsidRDefault="007829A2">
    <w:pPr>
      <w:pStyle w:val="Footer"/>
      <w:framePr w:wrap="around" w:vAnchor="text" w:hAnchor="margin" w:xAlign="center" w:y="1"/>
      <w:rPr>
        <w:rStyle w:val="PageNumber"/>
        <w:sz w:val="20"/>
      </w:rPr>
    </w:pPr>
    <w:r w:rsidRPr="007829A2">
      <w:rPr>
        <w:rStyle w:val="PageNumber"/>
        <w:sz w:val="20"/>
      </w:rPr>
      <w:t xml:space="preserve">Page </w:t>
    </w:r>
    <w:r w:rsidRPr="007829A2">
      <w:rPr>
        <w:rStyle w:val="PageNumber"/>
        <w:bCs/>
        <w:sz w:val="20"/>
      </w:rPr>
      <w:fldChar w:fldCharType="begin"/>
    </w:r>
    <w:r w:rsidRPr="007829A2">
      <w:rPr>
        <w:rStyle w:val="PageNumber"/>
        <w:bCs/>
        <w:sz w:val="20"/>
      </w:rPr>
      <w:instrText xml:space="preserve"> PAGE  \* Arabic  \* MERGEFORMAT </w:instrText>
    </w:r>
    <w:r w:rsidRPr="007829A2">
      <w:rPr>
        <w:rStyle w:val="PageNumber"/>
        <w:bCs/>
        <w:sz w:val="20"/>
      </w:rPr>
      <w:fldChar w:fldCharType="separate"/>
    </w:r>
    <w:r w:rsidR="000313DF">
      <w:rPr>
        <w:rStyle w:val="PageNumber"/>
        <w:bCs/>
        <w:noProof/>
        <w:sz w:val="20"/>
      </w:rPr>
      <w:t>1</w:t>
    </w:r>
    <w:r w:rsidRPr="007829A2">
      <w:rPr>
        <w:rStyle w:val="PageNumber"/>
        <w:bCs/>
        <w:sz w:val="20"/>
      </w:rPr>
      <w:fldChar w:fldCharType="end"/>
    </w:r>
    <w:r w:rsidRPr="007829A2">
      <w:rPr>
        <w:rStyle w:val="PageNumber"/>
        <w:sz w:val="20"/>
      </w:rPr>
      <w:t xml:space="preserve"> of </w:t>
    </w:r>
    <w:r w:rsidRPr="007829A2">
      <w:rPr>
        <w:rStyle w:val="PageNumber"/>
        <w:bCs/>
        <w:sz w:val="20"/>
      </w:rPr>
      <w:fldChar w:fldCharType="begin"/>
    </w:r>
    <w:r w:rsidRPr="007829A2">
      <w:rPr>
        <w:rStyle w:val="PageNumber"/>
        <w:bCs/>
        <w:sz w:val="20"/>
      </w:rPr>
      <w:instrText xml:space="preserve"> NUMPAGES  \* Arabic  \* MERGEFORMAT </w:instrText>
    </w:r>
    <w:r w:rsidRPr="007829A2">
      <w:rPr>
        <w:rStyle w:val="PageNumber"/>
        <w:bCs/>
        <w:sz w:val="20"/>
      </w:rPr>
      <w:fldChar w:fldCharType="separate"/>
    </w:r>
    <w:r w:rsidR="000313DF">
      <w:rPr>
        <w:rStyle w:val="PageNumber"/>
        <w:bCs/>
        <w:noProof/>
        <w:sz w:val="20"/>
      </w:rPr>
      <w:t>2</w:t>
    </w:r>
    <w:r w:rsidRPr="007829A2">
      <w:rPr>
        <w:rStyle w:val="PageNumber"/>
        <w:bCs/>
        <w:sz w:val="20"/>
      </w:rPr>
      <w:fldChar w:fldCharType="end"/>
    </w:r>
  </w:p>
  <w:p w14:paraId="2058BA98" w14:textId="77777777" w:rsidR="00AD3AA0" w:rsidRDefault="00AD3A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B5926B" w14:textId="77777777" w:rsidR="00BE42E0" w:rsidRDefault="00BE42E0">
      <w:r>
        <w:separator/>
      </w:r>
    </w:p>
  </w:footnote>
  <w:footnote w:type="continuationSeparator" w:id="0">
    <w:p w14:paraId="76ADFB37" w14:textId="77777777" w:rsidR="00BE42E0" w:rsidRDefault="00BE42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B46DA" w14:textId="77777777" w:rsidR="00AD3AA0" w:rsidRPr="007829A2" w:rsidRDefault="004A117B" w:rsidP="00D219AB">
    <w:pPr>
      <w:pStyle w:val="Header"/>
      <w:rPr>
        <w:b/>
        <w:sz w:val="20"/>
      </w:rPr>
    </w:pPr>
    <w:r>
      <w:rPr>
        <w:b/>
        <w:sz w:val="20"/>
      </w:rPr>
      <w:t>W. Logan Downing</w:t>
    </w:r>
    <w:r w:rsidR="00AD3AA0" w:rsidRPr="007829A2">
      <w:rPr>
        <w:b/>
        <w:sz w:val="20"/>
      </w:rPr>
      <w:t xml:space="preserve"> </w:t>
    </w:r>
    <w:r w:rsidR="000313DF">
      <w:rPr>
        <w:b/>
        <w:sz w:val="20"/>
      </w:rPr>
      <w:tab/>
      <w:t xml:space="preserve">        </w:t>
    </w:r>
    <w:r w:rsidR="000313DF">
      <w:rPr>
        <w:b/>
        <w:sz w:val="20"/>
      </w:rPr>
      <w:tab/>
      <w:t xml:space="preserve">                  </w:t>
    </w:r>
    <w:r w:rsidR="007829A2" w:rsidRPr="007829A2">
      <w:rPr>
        <w:b/>
        <w:sz w:val="20"/>
      </w:rPr>
      <w:t xml:space="preserve">CE597 </w:t>
    </w:r>
    <w:r w:rsidR="000313DF">
      <w:rPr>
        <w:b/>
        <w:sz w:val="20"/>
      </w:rPr>
      <w:t>Geospatial Data Analytics</w:t>
    </w:r>
    <w:r w:rsidR="007829A2" w:rsidRPr="007829A2">
      <w:rPr>
        <w:b/>
        <w:sz w:val="20"/>
      </w:rPr>
      <w:t xml:space="preserve">, </w:t>
    </w:r>
    <w:r w:rsidR="000313DF">
      <w:rPr>
        <w:b/>
        <w:sz w:val="20"/>
      </w:rPr>
      <w:t xml:space="preserve">Fall </w:t>
    </w:r>
    <w:r w:rsidR="007829A2" w:rsidRPr="007829A2">
      <w:rPr>
        <w:b/>
        <w:sz w:val="20"/>
      </w:rPr>
      <w:t>2019</w:t>
    </w:r>
    <w:r w:rsidR="007829A2" w:rsidRPr="007829A2">
      <w:rPr>
        <w:b/>
        <w:sz w:val="20"/>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53CD"/>
    <w:multiLevelType w:val="hybridMultilevel"/>
    <w:tmpl w:val="54ACB4D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0850A5"/>
    <w:multiLevelType w:val="hybridMultilevel"/>
    <w:tmpl w:val="9014F8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7E40000"/>
    <w:multiLevelType w:val="hybridMultilevel"/>
    <w:tmpl w:val="63529504"/>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C500DED"/>
    <w:multiLevelType w:val="hybridMultilevel"/>
    <w:tmpl w:val="BC4A0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167CFE"/>
    <w:multiLevelType w:val="hybridMultilevel"/>
    <w:tmpl w:val="BD40E3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0F429EF"/>
    <w:multiLevelType w:val="hybridMultilevel"/>
    <w:tmpl w:val="05A6310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Courier Ne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Courier Ne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Courier Ne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6" w15:restartNumberingAfterBreak="0">
    <w:nsid w:val="782C013F"/>
    <w:multiLevelType w:val="hybridMultilevel"/>
    <w:tmpl w:val="8E90C494"/>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2520"/>
        </w:tabs>
        <w:ind w:left="2520" w:hanging="360"/>
      </w:pPr>
      <w:rPr>
        <w:rFonts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2"/>
  </w:num>
  <w:num w:numId="2">
    <w:abstractNumId w:val="4"/>
  </w:num>
  <w:num w:numId="3">
    <w:abstractNumId w:val="6"/>
  </w:num>
  <w:num w:numId="4">
    <w:abstractNumId w:val="1"/>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A1EFC"/>
    <w:rsid w:val="00014CCE"/>
    <w:rsid w:val="000205CA"/>
    <w:rsid w:val="000313DF"/>
    <w:rsid w:val="00034E6F"/>
    <w:rsid w:val="00036D37"/>
    <w:rsid w:val="0004136E"/>
    <w:rsid w:val="0005187F"/>
    <w:rsid w:val="000630F8"/>
    <w:rsid w:val="00082FCA"/>
    <w:rsid w:val="000B7D8B"/>
    <w:rsid w:val="000D0171"/>
    <w:rsid w:val="000D7003"/>
    <w:rsid w:val="000E038B"/>
    <w:rsid w:val="000E408B"/>
    <w:rsid w:val="001421BA"/>
    <w:rsid w:val="0017143A"/>
    <w:rsid w:val="0017672B"/>
    <w:rsid w:val="00190A17"/>
    <w:rsid w:val="001C444A"/>
    <w:rsid w:val="00203A91"/>
    <w:rsid w:val="00214660"/>
    <w:rsid w:val="00214C0F"/>
    <w:rsid w:val="002267C9"/>
    <w:rsid w:val="002332FC"/>
    <w:rsid w:val="002560B8"/>
    <w:rsid w:val="00272489"/>
    <w:rsid w:val="00276AAC"/>
    <w:rsid w:val="002A1389"/>
    <w:rsid w:val="002B5B42"/>
    <w:rsid w:val="002B6ED0"/>
    <w:rsid w:val="002C10DB"/>
    <w:rsid w:val="002D71D8"/>
    <w:rsid w:val="00320C68"/>
    <w:rsid w:val="00355D4C"/>
    <w:rsid w:val="003604A4"/>
    <w:rsid w:val="00363767"/>
    <w:rsid w:val="003839BF"/>
    <w:rsid w:val="00393914"/>
    <w:rsid w:val="003A4804"/>
    <w:rsid w:val="003F5134"/>
    <w:rsid w:val="003F5363"/>
    <w:rsid w:val="004130D6"/>
    <w:rsid w:val="004160BA"/>
    <w:rsid w:val="0042108F"/>
    <w:rsid w:val="00421488"/>
    <w:rsid w:val="0042207A"/>
    <w:rsid w:val="00422B2B"/>
    <w:rsid w:val="00423BED"/>
    <w:rsid w:val="004827C1"/>
    <w:rsid w:val="004A117B"/>
    <w:rsid w:val="004C1FE5"/>
    <w:rsid w:val="00514688"/>
    <w:rsid w:val="00517656"/>
    <w:rsid w:val="00521B83"/>
    <w:rsid w:val="00535B52"/>
    <w:rsid w:val="00536EDF"/>
    <w:rsid w:val="005444A7"/>
    <w:rsid w:val="00580A84"/>
    <w:rsid w:val="00594914"/>
    <w:rsid w:val="005A4ADB"/>
    <w:rsid w:val="005D26B4"/>
    <w:rsid w:val="005D3BDC"/>
    <w:rsid w:val="005D6E8D"/>
    <w:rsid w:val="00613082"/>
    <w:rsid w:val="006339A4"/>
    <w:rsid w:val="006412F4"/>
    <w:rsid w:val="00694129"/>
    <w:rsid w:val="006B2096"/>
    <w:rsid w:val="006B4164"/>
    <w:rsid w:val="006C14C3"/>
    <w:rsid w:val="006D018C"/>
    <w:rsid w:val="006D1107"/>
    <w:rsid w:val="006E3285"/>
    <w:rsid w:val="006F7FF5"/>
    <w:rsid w:val="007136E2"/>
    <w:rsid w:val="00714A1C"/>
    <w:rsid w:val="007400E1"/>
    <w:rsid w:val="007636C3"/>
    <w:rsid w:val="00766F2C"/>
    <w:rsid w:val="007829A2"/>
    <w:rsid w:val="007B12C1"/>
    <w:rsid w:val="007E2E81"/>
    <w:rsid w:val="007F42C2"/>
    <w:rsid w:val="0082144F"/>
    <w:rsid w:val="0083443C"/>
    <w:rsid w:val="00837325"/>
    <w:rsid w:val="00842843"/>
    <w:rsid w:val="00844189"/>
    <w:rsid w:val="00853455"/>
    <w:rsid w:val="008A1EFC"/>
    <w:rsid w:val="008E57F8"/>
    <w:rsid w:val="008F2078"/>
    <w:rsid w:val="00902AF6"/>
    <w:rsid w:val="00912665"/>
    <w:rsid w:val="00936D61"/>
    <w:rsid w:val="00944A33"/>
    <w:rsid w:val="00955ABD"/>
    <w:rsid w:val="00960C74"/>
    <w:rsid w:val="009645CF"/>
    <w:rsid w:val="009729A0"/>
    <w:rsid w:val="009957AB"/>
    <w:rsid w:val="009E56D7"/>
    <w:rsid w:val="009F4F00"/>
    <w:rsid w:val="00A11043"/>
    <w:rsid w:val="00A1422B"/>
    <w:rsid w:val="00A154CB"/>
    <w:rsid w:val="00A2116C"/>
    <w:rsid w:val="00A23E50"/>
    <w:rsid w:val="00A252CB"/>
    <w:rsid w:val="00A344C7"/>
    <w:rsid w:val="00A36E62"/>
    <w:rsid w:val="00A402E6"/>
    <w:rsid w:val="00A53570"/>
    <w:rsid w:val="00AB46E8"/>
    <w:rsid w:val="00AD3AA0"/>
    <w:rsid w:val="00AE33DC"/>
    <w:rsid w:val="00AE6CAF"/>
    <w:rsid w:val="00B65194"/>
    <w:rsid w:val="00BA6760"/>
    <w:rsid w:val="00BB1C55"/>
    <w:rsid w:val="00BB2320"/>
    <w:rsid w:val="00BD3B20"/>
    <w:rsid w:val="00BE3DB0"/>
    <w:rsid w:val="00BE42E0"/>
    <w:rsid w:val="00BF621D"/>
    <w:rsid w:val="00C1174F"/>
    <w:rsid w:val="00C24CD9"/>
    <w:rsid w:val="00C52754"/>
    <w:rsid w:val="00C52807"/>
    <w:rsid w:val="00C66D67"/>
    <w:rsid w:val="00C92390"/>
    <w:rsid w:val="00CA7C00"/>
    <w:rsid w:val="00CC4732"/>
    <w:rsid w:val="00CE7701"/>
    <w:rsid w:val="00CF56FA"/>
    <w:rsid w:val="00D03EF1"/>
    <w:rsid w:val="00D043F6"/>
    <w:rsid w:val="00D21677"/>
    <w:rsid w:val="00D219AB"/>
    <w:rsid w:val="00D2322E"/>
    <w:rsid w:val="00D4103F"/>
    <w:rsid w:val="00D42379"/>
    <w:rsid w:val="00D83BF0"/>
    <w:rsid w:val="00D94D50"/>
    <w:rsid w:val="00DA02ED"/>
    <w:rsid w:val="00DC2CE6"/>
    <w:rsid w:val="00DD0E06"/>
    <w:rsid w:val="00E036B6"/>
    <w:rsid w:val="00E121D9"/>
    <w:rsid w:val="00E717BA"/>
    <w:rsid w:val="00E74138"/>
    <w:rsid w:val="00E838C3"/>
    <w:rsid w:val="00E91D44"/>
    <w:rsid w:val="00EC4FB4"/>
    <w:rsid w:val="00ED456D"/>
    <w:rsid w:val="00F033D6"/>
    <w:rsid w:val="00F30D74"/>
    <w:rsid w:val="00F336F8"/>
    <w:rsid w:val="00F34881"/>
    <w:rsid w:val="00F41414"/>
    <w:rsid w:val="00F44808"/>
    <w:rsid w:val="00F656C5"/>
    <w:rsid w:val="00F7295B"/>
    <w:rsid w:val="00F77A21"/>
    <w:rsid w:val="00FB0F60"/>
    <w:rsid w:val="00FC28B2"/>
    <w:rsid w:val="00FD2E14"/>
    <w:rsid w:val="00FF5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0A9F74FB"/>
  <w15:chartTrackingRefBased/>
  <w15:docId w15:val="{B2A84BD3-C2C2-40B4-B572-45A07E710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rsid w:val="00C1174F"/>
    <w:rPr>
      <w:color w:val="0000FF"/>
      <w:u w:val="single"/>
    </w:rPr>
  </w:style>
  <w:style w:type="character" w:styleId="FollowedHyperlink">
    <w:name w:val="FollowedHyperlink"/>
    <w:rsid w:val="009F4F00"/>
    <w:rPr>
      <w:color w:val="800080"/>
      <w:u w:val="single"/>
    </w:rPr>
  </w:style>
  <w:style w:type="paragraph" w:styleId="BalloonText">
    <w:name w:val="Balloon Text"/>
    <w:basedOn w:val="Normal"/>
    <w:semiHidden/>
    <w:rsid w:val="00853455"/>
    <w:rPr>
      <w:rFonts w:ascii="Tahoma" w:hAnsi="Tahoma" w:cs="Tahoma"/>
      <w:sz w:val="16"/>
      <w:szCs w:val="16"/>
    </w:rPr>
  </w:style>
  <w:style w:type="paragraph" w:styleId="Caption">
    <w:name w:val="caption"/>
    <w:basedOn w:val="Normal"/>
    <w:next w:val="Normal"/>
    <w:unhideWhenUsed/>
    <w:qFormat/>
    <w:rsid w:val="00F34881"/>
    <w:rPr>
      <w:b/>
      <w:bCs/>
      <w:sz w:val="20"/>
      <w:szCs w:val="20"/>
    </w:rPr>
  </w:style>
  <w:style w:type="character" w:styleId="UnresolvedMention">
    <w:name w:val="Unresolved Mention"/>
    <w:uiPriority w:val="99"/>
    <w:semiHidden/>
    <w:unhideWhenUsed/>
    <w:rsid w:val="001714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096082">
      <w:bodyDiv w:val="1"/>
      <w:marLeft w:val="0"/>
      <w:marRight w:val="0"/>
      <w:marTop w:val="0"/>
      <w:marBottom w:val="0"/>
      <w:divBdr>
        <w:top w:val="none" w:sz="0" w:space="0" w:color="auto"/>
        <w:left w:val="none" w:sz="0" w:space="0" w:color="auto"/>
        <w:bottom w:val="none" w:sz="0" w:space="0" w:color="auto"/>
        <w:right w:val="none" w:sz="0" w:space="0" w:color="auto"/>
      </w:divBdr>
      <w:divsChild>
        <w:div w:id="1229270838">
          <w:marLeft w:val="0"/>
          <w:marRight w:val="0"/>
          <w:marTop w:val="0"/>
          <w:marBottom w:val="0"/>
          <w:divBdr>
            <w:top w:val="none" w:sz="0" w:space="0" w:color="auto"/>
            <w:left w:val="none" w:sz="0" w:space="0" w:color="auto"/>
            <w:bottom w:val="none" w:sz="0" w:space="0" w:color="auto"/>
            <w:right w:val="none" w:sz="0" w:space="0" w:color="auto"/>
          </w:divBdr>
        </w:div>
        <w:div w:id="1237977121">
          <w:marLeft w:val="0"/>
          <w:marRight w:val="0"/>
          <w:marTop w:val="0"/>
          <w:marBottom w:val="0"/>
          <w:divBdr>
            <w:top w:val="none" w:sz="0" w:space="0" w:color="auto"/>
            <w:left w:val="none" w:sz="0" w:space="0" w:color="auto"/>
            <w:bottom w:val="none" w:sz="0" w:space="0" w:color="auto"/>
            <w:right w:val="none" w:sz="0" w:space="0" w:color="auto"/>
          </w:divBdr>
        </w:div>
        <w:div w:id="1362169085">
          <w:marLeft w:val="0"/>
          <w:marRight w:val="0"/>
          <w:marTop w:val="0"/>
          <w:marBottom w:val="0"/>
          <w:divBdr>
            <w:top w:val="none" w:sz="0" w:space="0" w:color="auto"/>
            <w:left w:val="none" w:sz="0" w:space="0" w:color="auto"/>
            <w:bottom w:val="none" w:sz="0" w:space="0" w:color="auto"/>
            <w:right w:val="none" w:sz="0" w:space="0" w:color="auto"/>
          </w:divBdr>
        </w:div>
        <w:div w:id="1790469846">
          <w:marLeft w:val="0"/>
          <w:marRight w:val="0"/>
          <w:marTop w:val="0"/>
          <w:marBottom w:val="0"/>
          <w:divBdr>
            <w:top w:val="none" w:sz="0" w:space="0" w:color="auto"/>
            <w:left w:val="none" w:sz="0" w:space="0" w:color="auto"/>
            <w:bottom w:val="none" w:sz="0" w:space="0" w:color="auto"/>
            <w:right w:val="none" w:sz="0" w:space="0" w:color="auto"/>
          </w:divBdr>
        </w:div>
        <w:div w:id="1903132295">
          <w:marLeft w:val="0"/>
          <w:marRight w:val="0"/>
          <w:marTop w:val="0"/>
          <w:marBottom w:val="0"/>
          <w:divBdr>
            <w:top w:val="none" w:sz="0" w:space="0" w:color="auto"/>
            <w:left w:val="none" w:sz="0" w:space="0" w:color="auto"/>
            <w:bottom w:val="none" w:sz="0" w:space="0" w:color="auto"/>
            <w:right w:val="none" w:sz="0" w:space="0" w:color="auto"/>
          </w:divBdr>
        </w:div>
      </w:divsChild>
    </w:div>
    <w:div w:id="719279592">
      <w:bodyDiv w:val="1"/>
      <w:marLeft w:val="0"/>
      <w:marRight w:val="0"/>
      <w:marTop w:val="0"/>
      <w:marBottom w:val="0"/>
      <w:divBdr>
        <w:top w:val="none" w:sz="0" w:space="0" w:color="auto"/>
        <w:left w:val="none" w:sz="0" w:space="0" w:color="auto"/>
        <w:bottom w:val="none" w:sz="0" w:space="0" w:color="auto"/>
        <w:right w:val="none" w:sz="0" w:space="0" w:color="auto"/>
      </w:divBdr>
    </w:div>
    <w:div w:id="892279708">
      <w:bodyDiv w:val="1"/>
      <w:marLeft w:val="0"/>
      <w:marRight w:val="0"/>
      <w:marTop w:val="0"/>
      <w:marBottom w:val="0"/>
      <w:divBdr>
        <w:top w:val="none" w:sz="0" w:space="0" w:color="auto"/>
        <w:left w:val="none" w:sz="0" w:space="0" w:color="auto"/>
        <w:bottom w:val="none" w:sz="0" w:space="0" w:color="auto"/>
        <w:right w:val="none" w:sz="0" w:space="0" w:color="auto"/>
      </w:divBdr>
      <w:divsChild>
        <w:div w:id="828407608">
          <w:marLeft w:val="0"/>
          <w:marRight w:val="0"/>
          <w:marTop w:val="0"/>
          <w:marBottom w:val="0"/>
          <w:divBdr>
            <w:top w:val="none" w:sz="0" w:space="0" w:color="auto"/>
            <w:left w:val="none" w:sz="0" w:space="0" w:color="auto"/>
            <w:bottom w:val="none" w:sz="0" w:space="0" w:color="auto"/>
            <w:right w:val="none" w:sz="0" w:space="0" w:color="auto"/>
          </w:divBdr>
        </w:div>
        <w:div w:id="1243249007">
          <w:marLeft w:val="0"/>
          <w:marRight w:val="0"/>
          <w:marTop w:val="0"/>
          <w:marBottom w:val="0"/>
          <w:divBdr>
            <w:top w:val="none" w:sz="0" w:space="0" w:color="auto"/>
            <w:left w:val="none" w:sz="0" w:space="0" w:color="auto"/>
            <w:bottom w:val="none" w:sz="0" w:space="0" w:color="auto"/>
            <w:right w:val="none" w:sz="0" w:space="0" w:color="auto"/>
          </w:divBdr>
        </w:div>
      </w:divsChild>
    </w:div>
    <w:div w:id="1437362393">
      <w:bodyDiv w:val="1"/>
      <w:marLeft w:val="0"/>
      <w:marRight w:val="0"/>
      <w:marTop w:val="0"/>
      <w:marBottom w:val="0"/>
      <w:divBdr>
        <w:top w:val="none" w:sz="0" w:space="0" w:color="auto"/>
        <w:left w:val="none" w:sz="0" w:space="0" w:color="auto"/>
        <w:bottom w:val="none" w:sz="0" w:space="0" w:color="auto"/>
        <w:right w:val="none" w:sz="0" w:space="0" w:color="auto"/>
      </w:divBdr>
      <w:divsChild>
        <w:div w:id="1467162535">
          <w:marLeft w:val="0"/>
          <w:marRight w:val="0"/>
          <w:marTop w:val="0"/>
          <w:marBottom w:val="0"/>
          <w:divBdr>
            <w:top w:val="none" w:sz="0" w:space="0" w:color="auto"/>
            <w:left w:val="none" w:sz="0" w:space="0" w:color="auto"/>
            <w:bottom w:val="none" w:sz="0" w:space="0" w:color="auto"/>
            <w:right w:val="none" w:sz="0" w:space="0" w:color="auto"/>
          </w:divBdr>
        </w:div>
        <w:div w:id="1787658101">
          <w:marLeft w:val="0"/>
          <w:marRight w:val="0"/>
          <w:marTop w:val="0"/>
          <w:marBottom w:val="0"/>
          <w:divBdr>
            <w:top w:val="none" w:sz="0" w:space="0" w:color="auto"/>
            <w:left w:val="none" w:sz="0" w:space="0" w:color="auto"/>
            <w:bottom w:val="none" w:sz="0" w:space="0" w:color="auto"/>
            <w:right w:val="none" w:sz="0" w:space="0" w:color="auto"/>
          </w:divBdr>
        </w:div>
      </w:divsChild>
    </w:div>
    <w:div w:id="1605073223">
      <w:bodyDiv w:val="1"/>
      <w:marLeft w:val="0"/>
      <w:marRight w:val="0"/>
      <w:marTop w:val="0"/>
      <w:marBottom w:val="0"/>
      <w:divBdr>
        <w:top w:val="none" w:sz="0" w:space="0" w:color="auto"/>
        <w:left w:val="none" w:sz="0" w:space="0" w:color="auto"/>
        <w:bottom w:val="none" w:sz="0" w:space="0" w:color="auto"/>
        <w:right w:val="none" w:sz="0" w:space="0" w:color="auto"/>
      </w:divBdr>
      <w:divsChild>
        <w:div w:id="958611756">
          <w:marLeft w:val="0"/>
          <w:marRight w:val="0"/>
          <w:marTop w:val="0"/>
          <w:marBottom w:val="0"/>
          <w:divBdr>
            <w:top w:val="none" w:sz="0" w:space="0" w:color="auto"/>
            <w:left w:val="none" w:sz="0" w:space="0" w:color="auto"/>
            <w:bottom w:val="none" w:sz="0" w:space="0" w:color="auto"/>
            <w:right w:val="none" w:sz="0" w:space="0" w:color="auto"/>
          </w:divBdr>
        </w:div>
        <w:div w:id="1068650369">
          <w:marLeft w:val="0"/>
          <w:marRight w:val="0"/>
          <w:marTop w:val="0"/>
          <w:marBottom w:val="0"/>
          <w:divBdr>
            <w:top w:val="none" w:sz="0" w:space="0" w:color="auto"/>
            <w:left w:val="none" w:sz="0" w:space="0" w:color="auto"/>
            <w:bottom w:val="none" w:sz="0" w:space="0" w:color="auto"/>
            <w:right w:val="none" w:sz="0" w:space="0" w:color="auto"/>
          </w:divBdr>
        </w:div>
        <w:div w:id="1833720103">
          <w:marLeft w:val="0"/>
          <w:marRight w:val="0"/>
          <w:marTop w:val="0"/>
          <w:marBottom w:val="0"/>
          <w:divBdr>
            <w:top w:val="none" w:sz="0" w:space="0" w:color="auto"/>
            <w:left w:val="none" w:sz="0" w:space="0" w:color="auto"/>
            <w:bottom w:val="none" w:sz="0" w:space="0" w:color="auto"/>
            <w:right w:val="none" w:sz="0" w:space="0" w:color="auto"/>
          </w:divBdr>
        </w:div>
      </w:divsChild>
    </w:div>
    <w:div w:id="1821581095">
      <w:bodyDiv w:val="1"/>
      <w:marLeft w:val="0"/>
      <w:marRight w:val="0"/>
      <w:marTop w:val="0"/>
      <w:marBottom w:val="0"/>
      <w:divBdr>
        <w:top w:val="none" w:sz="0" w:space="0" w:color="auto"/>
        <w:left w:val="none" w:sz="0" w:space="0" w:color="auto"/>
        <w:bottom w:val="none" w:sz="0" w:space="0" w:color="auto"/>
        <w:right w:val="none" w:sz="0" w:space="0" w:color="auto"/>
      </w:divBdr>
      <w:divsChild>
        <w:div w:id="536740843">
          <w:marLeft w:val="0"/>
          <w:marRight w:val="0"/>
          <w:marTop w:val="0"/>
          <w:marBottom w:val="0"/>
          <w:divBdr>
            <w:top w:val="none" w:sz="0" w:space="0" w:color="auto"/>
            <w:left w:val="none" w:sz="0" w:space="0" w:color="auto"/>
            <w:bottom w:val="none" w:sz="0" w:space="0" w:color="auto"/>
            <w:right w:val="none" w:sz="0" w:space="0" w:color="auto"/>
          </w:divBdr>
        </w:div>
        <w:div w:id="677197035">
          <w:marLeft w:val="0"/>
          <w:marRight w:val="0"/>
          <w:marTop w:val="0"/>
          <w:marBottom w:val="0"/>
          <w:divBdr>
            <w:top w:val="none" w:sz="0" w:space="0" w:color="auto"/>
            <w:left w:val="none" w:sz="0" w:space="0" w:color="auto"/>
            <w:bottom w:val="none" w:sz="0" w:space="0" w:color="auto"/>
            <w:right w:val="none" w:sz="0" w:space="0" w:color="auto"/>
          </w:divBdr>
        </w:div>
        <w:div w:id="1241939706">
          <w:marLeft w:val="0"/>
          <w:marRight w:val="0"/>
          <w:marTop w:val="0"/>
          <w:marBottom w:val="0"/>
          <w:divBdr>
            <w:top w:val="none" w:sz="0" w:space="0" w:color="auto"/>
            <w:left w:val="none" w:sz="0" w:space="0" w:color="auto"/>
            <w:bottom w:val="none" w:sz="0" w:space="0" w:color="auto"/>
            <w:right w:val="none" w:sz="0" w:space="0" w:color="auto"/>
          </w:divBdr>
        </w:div>
        <w:div w:id="1617564194">
          <w:marLeft w:val="0"/>
          <w:marRight w:val="0"/>
          <w:marTop w:val="0"/>
          <w:marBottom w:val="0"/>
          <w:divBdr>
            <w:top w:val="none" w:sz="0" w:space="0" w:color="auto"/>
            <w:left w:val="none" w:sz="0" w:space="0" w:color="auto"/>
            <w:bottom w:val="none" w:sz="0" w:space="0" w:color="auto"/>
            <w:right w:val="none" w:sz="0" w:space="0" w:color="auto"/>
          </w:divBdr>
        </w:div>
      </w:divsChild>
    </w:div>
    <w:div w:id="1865286922">
      <w:bodyDiv w:val="1"/>
      <w:marLeft w:val="0"/>
      <w:marRight w:val="0"/>
      <w:marTop w:val="0"/>
      <w:marBottom w:val="0"/>
      <w:divBdr>
        <w:top w:val="none" w:sz="0" w:space="0" w:color="auto"/>
        <w:left w:val="none" w:sz="0" w:space="0" w:color="auto"/>
        <w:bottom w:val="none" w:sz="0" w:space="0" w:color="auto"/>
        <w:right w:val="none" w:sz="0" w:space="0" w:color="auto"/>
      </w:divBdr>
      <w:divsChild>
        <w:div w:id="164636748">
          <w:marLeft w:val="0"/>
          <w:marRight w:val="0"/>
          <w:marTop w:val="0"/>
          <w:marBottom w:val="0"/>
          <w:divBdr>
            <w:top w:val="none" w:sz="0" w:space="0" w:color="auto"/>
            <w:left w:val="none" w:sz="0" w:space="0" w:color="auto"/>
            <w:bottom w:val="none" w:sz="0" w:space="0" w:color="auto"/>
            <w:right w:val="none" w:sz="0" w:space="0" w:color="auto"/>
          </w:divBdr>
        </w:div>
        <w:div w:id="522868204">
          <w:marLeft w:val="0"/>
          <w:marRight w:val="0"/>
          <w:marTop w:val="0"/>
          <w:marBottom w:val="0"/>
          <w:divBdr>
            <w:top w:val="none" w:sz="0" w:space="0" w:color="auto"/>
            <w:left w:val="none" w:sz="0" w:space="0" w:color="auto"/>
            <w:bottom w:val="none" w:sz="0" w:space="0" w:color="auto"/>
            <w:right w:val="none" w:sz="0" w:space="0" w:color="auto"/>
          </w:divBdr>
        </w:div>
        <w:div w:id="1305038711">
          <w:marLeft w:val="0"/>
          <w:marRight w:val="0"/>
          <w:marTop w:val="0"/>
          <w:marBottom w:val="0"/>
          <w:divBdr>
            <w:top w:val="none" w:sz="0" w:space="0" w:color="auto"/>
            <w:left w:val="none" w:sz="0" w:space="0" w:color="auto"/>
            <w:bottom w:val="none" w:sz="0" w:space="0" w:color="auto"/>
            <w:right w:val="none" w:sz="0" w:space="0" w:color="auto"/>
          </w:divBdr>
        </w:div>
        <w:div w:id="1863279787">
          <w:marLeft w:val="0"/>
          <w:marRight w:val="0"/>
          <w:marTop w:val="0"/>
          <w:marBottom w:val="0"/>
          <w:divBdr>
            <w:top w:val="none" w:sz="0" w:space="0" w:color="auto"/>
            <w:left w:val="none" w:sz="0" w:space="0" w:color="auto"/>
            <w:bottom w:val="none" w:sz="0" w:space="0" w:color="auto"/>
            <w:right w:val="none" w:sz="0" w:space="0" w:color="auto"/>
          </w:divBdr>
        </w:div>
        <w:div w:id="1903170547">
          <w:marLeft w:val="0"/>
          <w:marRight w:val="0"/>
          <w:marTop w:val="0"/>
          <w:marBottom w:val="0"/>
          <w:divBdr>
            <w:top w:val="none" w:sz="0" w:space="0" w:color="auto"/>
            <w:left w:val="none" w:sz="0" w:space="0" w:color="auto"/>
            <w:bottom w:val="none" w:sz="0" w:space="0" w:color="auto"/>
            <w:right w:val="none" w:sz="0" w:space="0" w:color="auto"/>
          </w:divBdr>
        </w:div>
      </w:divsChild>
    </w:div>
    <w:div w:id="1880824929">
      <w:bodyDiv w:val="1"/>
      <w:marLeft w:val="0"/>
      <w:marRight w:val="0"/>
      <w:marTop w:val="0"/>
      <w:marBottom w:val="0"/>
      <w:divBdr>
        <w:top w:val="none" w:sz="0" w:space="0" w:color="auto"/>
        <w:left w:val="none" w:sz="0" w:space="0" w:color="auto"/>
        <w:bottom w:val="none" w:sz="0" w:space="0" w:color="auto"/>
        <w:right w:val="none" w:sz="0" w:space="0" w:color="auto"/>
      </w:divBdr>
      <w:divsChild>
        <w:div w:id="228002352">
          <w:marLeft w:val="0"/>
          <w:marRight w:val="0"/>
          <w:marTop w:val="0"/>
          <w:marBottom w:val="0"/>
          <w:divBdr>
            <w:top w:val="none" w:sz="0" w:space="0" w:color="auto"/>
            <w:left w:val="none" w:sz="0" w:space="0" w:color="auto"/>
            <w:bottom w:val="none" w:sz="0" w:space="0" w:color="auto"/>
            <w:right w:val="none" w:sz="0" w:space="0" w:color="auto"/>
          </w:divBdr>
        </w:div>
        <w:div w:id="12804078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ps.indiana.edu/layerGallery.html?category=Census"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60098-102A-4702-B720-6B89ABF87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Pages>
  <Words>841</Words>
  <Characters>4799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Gender in population</vt:lpstr>
    </vt:vector>
  </TitlesOfParts>
  <Company>purdue university</Company>
  <LinksUpToDate>false</LinksUpToDate>
  <CharactersWithSpaces>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Gender in population</dc:title>
  <dc:subject/>
  <dc:creator>Anonymous</dc:creator>
  <cp:keywords/>
  <cp:lastModifiedBy>William Downing</cp:lastModifiedBy>
  <cp:revision>16</cp:revision>
  <cp:lastPrinted>2019-11-01T19:09:00Z</cp:lastPrinted>
  <dcterms:created xsi:type="dcterms:W3CDTF">2019-10-31T20:12:00Z</dcterms:created>
  <dcterms:modified xsi:type="dcterms:W3CDTF">2019-11-01T19:09:00Z</dcterms:modified>
</cp:coreProperties>
</file>