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F9118" w14:textId="77777777" w:rsidR="00D219AB" w:rsidRPr="00C04791" w:rsidRDefault="00AE6CAF" w:rsidP="00C04791">
      <w:pPr>
        <w:spacing w:line="360" w:lineRule="auto"/>
        <w:jc w:val="center"/>
        <w:rPr>
          <w:b/>
        </w:rPr>
      </w:pPr>
      <w:r w:rsidRPr="00C04791">
        <w:rPr>
          <w:b/>
        </w:rPr>
        <w:t xml:space="preserve">Project </w:t>
      </w:r>
      <w:r w:rsidR="00844B9C">
        <w:rPr>
          <w:b/>
        </w:rPr>
        <w:t>6</w:t>
      </w:r>
      <w:r w:rsidRPr="00C04791">
        <w:rPr>
          <w:b/>
        </w:rPr>
        <w:t xml:space="preserve">. </w:t>
      </w:r>
      <w:r w:rsidR="00844B9C">
        <w:rPr>
          <w:b/>
        </w:rPr>
        <w:t>Moran’s I: Spatial Autocorrelation</w:t>
      </w:r>
      <w:r w:rsidRPr="00C04791">
        <w:rPr>
          <w:b/>
        </w:rPr>
        <w:t xml:space="preserve"> </w:t>
      </w:r>
    </w:p>
    <w:p w14:paraId="079E0BEE" w14:textId="77777777" w:rsidR="00AE6CAF" w:rsidRPr="00C04791" w:rsidRDefault="00082FCA" w:rsidP="00C04791">
      <w:pPr>
        <w:spacing w:line="360" w:lineRule="auto"/>
        <w:ind w:left="360"/>
        <w:rPr>
          <w:b/>
        </w:rPr>
      </w:pPr>
      <w:r w:rsidRPr="00C04791">
        <w:rPr>
          <w:b/>
        </w:rPr>
        <w:t xml:space="preserve">Abstract </w:t>
      </w:r>
    </w:p>
    <w:p w14:paraId="553C6481" w14:textId="77777777" w:rsidR="00082FCA" w:rsidRPr="00C04791" w:rsidRDefault="00F656C5" w:rsidP="00C04791">
      <w:pPr>
        <w:snapToGrid w:val="0"/>
        <w:spacing w:line="360" w:lineRule="auto"/>
        <w:ind w:left="360"/>
      </w:pPr>
      <w:r w:rsidRPr="00C04791">
        <w:t>T</w:t>
      </w:r>
      <w:r w:rsidR="00B8748C">
        <w:t>his project will detail the use of the Moran’s I test statistic</w:t>
      </w:r>
      <w:r w:rsidR="00EE6CF1">
        <w:t xml:space="preserve"> on county census data for Indiana</w:t>
      </w:r>
      <w:r w:rsidR="00B8748C">
        <w:t>. Moran’s I details the overall spatial autocorrelation of a dataset and is available in the ‘</w:t>
      </w:r>
      <w:proofErr w:type="spellStart"/>
      <w:r w:rsidR="00B8748C">
        <w:t>spdep</w:t>
      </w:r>
      <w:proofErr w:type="spellEnd"/>
      <w:r w:rsidR="00B8748C">
        <w:t xml:space="preserve">’ package in R. </w:t>
      </w:r>
    </w:p>
    <w:p w14:paraId="08E887CD" w14:textId="77777777" w:rsidR="00E036B6" w:rsidRPr="00C04791" w:rsidRDefault="00287AD0" w:rsidP="00C04791">
      <w:pPr>
        <w:numPr>
          <w:ilvl w:val="0"/>
          <w:numId w:val="3"/>
        </w:numPr>
        <w:snapToGrid w:val="0"/>
        <w:spacing w:line="360" w:lineRule="auto"/>
        <w:rPr>
          <w:b/>
        </w:rPr>
      </w:pPr>
      <w:r>
        <w:rPr>
          <w:b/>
        </w:rPr>
        <w:t>Spatial Connectivity Evaluation</w:t>
      </w:r>
    </w:p>
    <w:p w14:paraId="5BAE7C44" w14:textId="76852F0A" w:rsidR="00AE6CAF" w:rsidRDefault="00AE6CAF" w:rsidP="00C04791">
      <w:pPr>
        <w:snapToGrid w:val="0"/>
        <w:spacing w:line="360" w:lineRule="auto"/>
        <w:ind w:left="360"/>
      </w:pPr>
      <w:r w:rsidRPr="00C04791">
        <w:t>T</w:t>
      </w:r>
      <w:r w:rsidR="00EE6CF1">
        <w:t xml:space="preserve">o begin this analysis of spatial autocorrelation, it was necessary to generate a set of links for contiguous counties. Fortunately, this is quite easy with the aid of the poly2nb function. This function establishes neighbors from polygons under two different boundary conditions, queen and rook. The queen neighborhood is defined as at least one shared boundary while the rook neighborhood is defined as having more than one shared boundary. This indicates that the queen boundaries will always have more connections. These neighborhoods can be seen in </w:t>
      </w:r>
      <w:r w:rsidR="00EE6CF1" w:rsidRPr="00741A38">
        <w:fldChar w:fldCharType="begin"/>
      </w:r>
      <w:r w:rsidR="00EE6CF1" w:rsidRPr="00741A38">
        <w:instrText xml:space="preserve"> REF _Ref23861009 \h </w:instrText>
      </w:r>
      <w:r w:rsidR="002C4983" w:rsidRPr="00741A38">
        <w:instrText xml:space="preserve"> \* MERGEFORMAT </w:instrText>
      </w:r>
      <w:r w:rsidR="00EE6CF1" w:rsidRPr="00741A38">
        <w:fldChar w:fldCharType="separate"/>
      </w:r>
      <w:r w:rsidR="009B3059" w:rsidRPr="009B3059">
        <w:t xml:space="preserve">Figure </w:t>
      </w:r>
      <w:r w:rsidR="009B3059" w:rsidRPr="009B3059">
        <w:rPr>
          <w:noProof/>
        </w:rPr>
        <w:t>1</w:t>
      </w:r>
      <w:r w:rsidR="00EE6CF1" w:rsidRPr="00741A38">
        <w:fldChar w:fldCharType="end"/>
      </w:r>
      <w:r w:rsidR="002C4983">
        <w:t xml:space="preserve"> </w:t>
      </w:r>
      <w:r w:rsidR="00EE6CF1">
        <w:t>with queen connections in red and rook in blue.</w:t>
      </w:r>
    </w:p>
    <w:p w14:paraId="4FE230C4" w14:textId="77777777" w:rsidR="00EE6CF1" w:rsidRPr="00C04791" w:rsidRDefault="00EE6CF1" w:rsidP="00EE6CF1">
      <w:pPr>
        <w:snapToGrid w:val="0"/>
        <w:spacing w:line="360" w:lineRule="auto"/>
        <w:ind w:left="360"/>
        <w:jc w:val="right"/>
      </w:pPr>
      <w:r>
        <w:rPr>
          <w:noProof/>
        </w:rPr>
        <mc:AlternateContent>
          <mc:Choice Requires="wps">
            <w:drawing>
              <wp:anchor distT="0" distB="0" distL="114300" distR="114300" simplePos="0" relativeHeight="251660288" behindDoc="1" locked="0" layoutInCell="1" allowOverlap="1" wp14:anchorId="48EC1936" wp14:editId="24901572">
                <wp:simplePos x="0" y="0"/>
                <wp:positionH relativeFrom="column">
                  <wp:posOffset>3200400</wp:posOffset>
                </wp:positionH>
                <wp:positionV relativeFrom="page">
                  <wp:posOffset>7124700</wp:posOffset>
                </wp:positionV>
                <wp:extent cx="2743200" cy="389890"/>
                <wp:effectExtent l="0" t="0" r="0" b="0"/>
                <wp:wrapTight wrapText="bothSides">
                  <wp:wrapPolygon edited="0">
                    <wp:start x="0" y="0"/>
                    <wp:lineTo x="0" y="20052"/>
                    <wp:lineTo x="21450" y="20052"/>
                    <wp:lineTo x="2145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743200" cy="389890"/>
                        </a:xfrm>
                        <a:prstGeom prst="rect">
                          <a:avLst/>
                        </a:prstGeom>
                        <a:solidFill>
                          <a:prstClr val="white"/>
                        </a:solidFill>
                        <a:ln>
                          <a:noFill/>
                        </a:ln>
                      </wps:spPr>
                      <wps:txbx>
                        <w:txbxContent>
                          <w:p w14:paraId="2B598776" w14:textId="56F9AABF" w:rsidR="00EE6CF1" w:rsidRPr="002C4983" w:rsidRDefault="00EE6CF1" w:rsidP="00EE6CF1">
                            <w:pPr>
                              <w:pStyle w:val="Caption"/>
                              <w:rPr>
                                <w:b/>
                                <w:i w:val="0"/>
                                <w:noProof/>
                                <w:color w:val="auto"/>
                                <w:sz w:val="24"/>
                                <w:szCs w:val="24"/>
                              </w:rPr>
                            </w:pPr>
                            <w:bookmarkStart w:id="0" w:name="_Ref23861009"/>
                            <w:r w:rsidRPr="002C4983">
                              <w:rPr>
                                <w:b/>
                                <w:i w:val="0"/>
                                <w:color w:val="auto"/>
                              </w:rPr>
                              <w:t xml:space="preserve">Figure </w:t>
                            </w:r>
                            <w:r w:rsidRPr="002C4983">
                              <w:rPr>
                                <w:b/>
                                <w:i w:val="0"/>
                                <w:color w:val="auto"/>
                              </w:rPr>
                              <w:fldChar w:fldCharType="begin"/>
                            </w:r>
                            <w:r w:rsidRPr="002C4983">
                              <w:rPr>
                                <w:b/>
                                <w:i w:val="0"/>
                                <w:color w:val="auto"/>
                              </w:rPr>
                              <w:instrText xml:space="preserve"> SEQ Figure \* ARABIC </w:instrText>
                            </w:r>
                            <w:r w:rsidRPr="002C4983">
                              <w:rPr>
                                <w:b/>
                                <w:i w:val="0"/>
                                <w:color w:val="auto"/>
                              </w:rPr>
                              <w:fldChar w:fldCharType="separate"/>
                            </w:r>
                            <w:r w:rsidR="009B3059">
                              <w:rPr>
                                <w:b/>
                                <w:i w:val="0"/>
                                <w:noProof/>
                                <w:color w:val="auto"/>
                              </w:rPr>
                              <w:t>1</w:t>
                            </w:r>
                            <w:r w:rsidRPr="002C4983">
                              <w:rPr>
                                <w:b/>
                                <w:i w:val="0"/>
                                <w:color w:val="auto"/>
                              </w:rPr>
                              <w:fldChar w:fldCharType="end"/>
                            </w:r>
                            <w:bookmarkEnd w:id="0"/>
                            <w:r w:rsidRPr="002C4983">
                              <w:rPr>
                                <w:b/>
                                <w:i w:val="0"/>
                                <w:color w:val="auto"/>
                              </w:rPr>
                              <w:t>:</w:t>
                            </w:r>
                            <w:r w:rsidRPr="002C4983">
                              <w:rPr>
                                <w:i w:val="0"/>
                                <w:color w:val="auto"/>
                              </w:rPr>
                              <w:t xml:space="preserve"> Neighborhood connections for queen (red) and rook (blue) for Indiana counties.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EC1936" id="_x0000_t202" coordsize="21600,21600" o:spt="202" path="m,l,21600r21600,l21600,xe">
                <v:stroke joinstyle="miter"/>
                <v:path gradientshapeok="t" o:connecttype="rect"/>
              </v:shapetype>
              <v:shape id="Text Box 2" o:spid="_x0000_s1026" type="#_x0000_t202" style="position:absolute;left:0;text-align:left;margin-left:252pt;margin-top:561pt;width:3in;height:30.7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" stroked="f">
                <v:textbox style="mso-fit-shape-to-text:t" inset="0,0,0,0">
                  <w:txbxContent>
                    <w:p w14:paraId="2B598776" w14:textId="56F9AABF" w:rsidR="00EE6CF1" w:rsidRPr="002C4983" w:rsidRDefault="00EE6CF1" w:rsidP="00EE6CF1">
                      <w:pPr>
                        <w:pStyle w:val="Caption"/>
                        <w:rPr>
                          <w:b/>
                          <w:i w:val="0"/>
                          <w:noProof/>
                          <w:color w:val="auto"/>
                          <w:sz w:val="24"/>
                          <w:szCs w:val="24"/>
                        </w:rPr>
                      </w:pPr>
                      <w:bookmarkStart w:id="1" w:name="_Ref23861009"/>
                      <w:r w:rsidRPr="002C4983">
                        <w:rPr>
                          <w:b/>
                          <w:i w:val="0"/>
                          <w:color w:val="auto"/>
                        </w:rPr>
                        <w:t xml:space="preserve">Figure </w:t>
                      </w:r>
                      <w:r w:rsidRPr="002C4983">
                        <w:rPr>
                          <w:b/>
                          <w:i w:val="0"/>
                          <w:color w:val="auto"/>
                        </w:rPr>
                        <w:fldChar w:fldCharType="begin"/>
                      </w:r>
                      <w:r w:rsidRPr="002C4983">
                        <w:rPr>
                          <w:b/>
                          <w:i w:val="0"/>
                          <w:color w:val="auto"/>
                        </w:rPr>
                        <w:instrText xml:space="preserve"> SEQ Figure \* ARABIC </w:instrText>
                      </w:r>
                      <w:r w:rsidRPr="002C4983">
                        <w:rPr>
                          <w:b/>
                          <w:i w:val="0"/>
                          <w:color w:val="auto"/>
                        </w:rPr>
                        <w:fldChar w:fldCharType="separate"/>
                      </w:r>
                      <w:r w:rsidR="009B3059">
                        <w:rPr>
                          <w:b/>
                          <w:i w:val="0"/>
                          <w:noProof/>
                          <w:color w:val="auto"/>
                        </w:rPr>
                        <w:t>1</w:t>
                      </w:r>
                      <w:r w:rsidRPr="002C4983">
                        <w:rPr>
                          <w:b/>
                          <w:i w:val="0"/>
                          <w:color w:val="auto"/>
                        </w:rPr>
                        <w:fldChar w:fldCharType="end"/>
                      </w:r>
                      <w:bookmarkEnd w:id="1"/>
                      <w:r w:rsidRPr="002C4983">
                        <w:rPr>
                          <w:b/>
                          <w:i w:val="0"/>
                          <w:color w:val="auto"/>
                        </w:rPr>
                        <w:t>:</w:t>
                      </w:r>
                      <w:r w:rsidRPr="002C4983">
                        <w:rPr>
                          <w:i w:val="0"/>
                          <w:color w:val="auto"/>
                        </w:rPr>
                        <w:t xml:space="preserve"> Neighborhood connections for queen (red) and rook (blue) for Indiana counties.</w:t>
                      </w:r>
                    </w:p>
                  </w:txbxContent>
                </v:textbox>
                <w10:wrap type="tight" anchory="page"/>
              </v:shape>
            </w:pict>
          </mc:Fallback>
        </mc:AlternateContent>
      </w:r>
      <w:r>
        <w:rPr>
          <w:noProof/>
        </w:rPr>
        <w:drawing>
          <wp:anchor distT="0" distB="0" distL="114300" distR="114300" simplePos="0" relativeHeight="251658240" behindDoc="1" locked="0" layoutInCell="1" allowOverlap="1" wp14:anchorId="46936E4F" wp14:editId="20FBB9DF">
            <wp:simplePos x="0" y="0"/>
            <wp:positionH relativeFrom="column">
              <wp:posOffset>3200400</wp:posOffset>
            </wp:positionH>
            <wp:positionV relativeFrom="paragraph">
              <wp:posOffset>-3810</wp:posOffset>
            </wp:positionV>
            <wp:extent cx="2743200" cy="2743200"/>
            <wp:effectExtent l="0" t="0" r="0" b="0"/>
            <wp:wrapTight wrapText="bothSides">
              <wp:wrapPolygon edited="0">
                <wp:start x="0" y="0"/>
                <wp:lineTo x="0" y="21450"/>
                <wp:lineTo x="21450" y="21450"/>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anchor>
        </w:drawing>
      </w:r>
    </w:p>
    <w:p w14:paraId="3375B6E8" w14:textId="77777777" w:rsidR="00C66D67" w:rsidRPr="00C04791" w:rsidRDefault="00E93DE3" w:rsidP="00C04791">
      <w:pPr>
        <w:numPr>
          <w:ilvl w:val="0"/>
          <w:numId w:val="3"/>
        </w:numPr>
        <w:snapToGrid w:val="0"/>
        <w:spacing w:line="360" w:lineRule="auto"/>
        <w:rPr>
          <w:b/>
        </w:rPr>
      </w:pPr>
      <w:r>
        <w:rPr>
          <w:b/>
        </w:rPr>
        <w:t>Weight Matrix Evaluation</w:t>
      </w:r>
    </w:p>
    <w:p w14:paraId="45F6A4BE" w14:textId="6511FE56" w:rsidR="00CA7C00" w:rsidRDefault="002A7819" w:rsidP="00C04791">
      <w:pPr>
        <w:snapToGrid w:val="0"/>
        <w:spacing w:line="360" w:lineRule="auto"/>
        <w:ind w:left="360"/>
      </w:pPr>
      <w:r>
        <w:t>Forming weight matrices in R is trivial with the nb2listw function. This function takes the results from the spatial connectivity analysis and a style argument. From this point forward, the rook connectivity definition will be used. Three styles were chosen for evaluation of the counties, these styles are W, B, and C. W refers to</w:t>
      </w:r>
      <w:r w:rsidR="00CB143A">
        <w:t xml:space="preserve"> a row standardized weighting method that sums over all the links to the county in question. W assigns its weigh</w:t>
      </w:r>
      <w:r w:rsidR="009365CA">
        <w:t>t</w:t>
      </w:r>
      <w:r w:rsidR="00CB143A">
        <w:t xml:space="preserve">s such that they sum to one. Online reading points </w:t>
      </w:r>
      <w:r w:rsidR="009365CA">
        <w:t xml:space="preserve">out </w:t>
      </w:r>
      <w:r w:rsidR="00CB143A">
        <w:t>the usefulness of row standardization when the boundaries are arbitrarily defined. B refers to binary, that is all connections to the county in question are given a weight of 1. C refers to a global standardization</w:t>
      </w:r>
      <w:r w:rsidR="00F009F3">
        <w:t>, assigning the same weights to all connections in the entire dataset.</w:t>
      </w:r>
      <w:r w:rsidR="008962F8">
        <w:t xml:space="preserve"> After establishing the weights, </w:t>
      </w:r>
      <w:proofErr w:type="spellStart"/>
      <w:r w:rsidR="008962F8">
        <w:t>moran.test</w:t>
      </w:r>
      <w:proofErr w:type="spellEnd"/>
      <w:r w:rsidR="008962F8">
        <w:t xml:space="preserve"> was </w:t>
      </w:r>
      <w:r w:rsidR="00F05097">
        <w:t>run</w:t>
      </w:r>
      <w:r w:rsidR="008962F8">
        <w:t xml:space="preserve"> with the assumption of normality. The results have been summarized in </w:t>
      </w:r>
      <w:r w:rsidR="00F05097">
        <w:fldChar w:fldCharType="begin"/>
      </w:r>
      <w:r w:rsidR="00F05097">
        <w:instrText xml:space="preserve"> REF _Ref24100088 \h </w:instrText>
      </w:r>
      <w:r w:rsidR="00F05097">
        <w:fldChar w:fldCharType="separate"/>
      </w:r>
      <w:r w:rsidR="009B3059">
        <w:t xml:space="preserve">Table </w:t>
      </w:r>
      <w:r w:rsidR="009B3059">
        <w:rPr>
          <w:noProof/>
        </w:rPr>
        <w:t>1</w:t>
      </w:r>
      <w:r w:rsidR="00F05097">
        <w:fldChar w:fldCharType="end"/>
      </w:r>
      <w:r w:rsidR="00F05097">
        <w:t>.</w:t>
      </w:r>
      <w:r w:rsidR="00F127FC">
        <w:t xml:space="preserve"> As can be seen by the P-Values, the null hypothesis under each weighting scheme </w:t>
      </w:r>
      <w:r w:rsidR="0017430D">
        <w:t xml:space="preserve">fails to be </w:t>
      </w:r>
      <w:r w:rsidR="0017430D">
        <w:lastRenderedPageBreak/>
        <w:t>rejected</w:t>
      </w:r>
      <w:proofErr w:type="gramStart"/>
      <w:r w:rsidR="0017430D">
        <w:t>, that is to say</w:t>
      </w:r>
      <w:r w:rsidR="009365CA">
        <w:t xml:space="preserve">, </w:t>
      </w:r>
      <w:r w:rsidR="0017430D">
        <w:t>we</w:t>
      </w:r>
      <w:proofErr w:type="gramEnd"/>
      <w:r w:rsidR="0017430D">
        <w:t xml:space="preserve"> fail to reject the notion that the data is randomly distributed. Interestingly the B and C methods are identical. This is due to their weighting being simple scaled versions of one another.</w:t>
      </w:r>
    </w:p>
    <w:p w14:paraId="221AEB49" w14:textId="3E61D187" w:rsidR="00ED2367" w:rsidRPr="00ED2367" w:rsidRDefault="00ED2367" w:rsidP="00ED2367">
      <w:pPr>
        <w:pStyle w:val="Caption"/>
        <w:keepNext/>
        <w:rPr>
          <w:i w:val="0"/>
        </w:rPr>
      </w:pPr>
      <w:bookmarkStart w:id="2" w:name="_Ref24100088"/>
      <w:r>
        <w:t xml:space="preserve">Table </w:t>
      </w:r>
      <w:r w:rsidR="00D324C7">
        <w:fldChar w:fldCharType="begin"/>
      </w:r>
      <w:r w:rsidR="00D324C7">
        <w:instrText xml:space="preserve"> SEQ Table \* ARABIC </w:instrText>
      </w:r>
      <w:r w:rsidR="00D324C7">
        <w:fldChar w:fldCharType="separate"/>
      </w:r>
      <w:r w:rsidR="009B3059">
        <w:rPr>
          <w:noProof/>
        </w:rPr>
        <w:t>1</w:t>
      </w:r>
      <w:r w:rsidR="00D324C7">
        <w:rPr>
          <w:noProof/>
        </w:rPr>
        <w:fldChar w:fldCharType="end"/>
      </w:r>
      <w:bookmarkEnd w:id="2"/>
      <w:r>
        <w:t>:</w:t>
      </w:r>
      <w:r>
        <w:rPr>
          <w:i w:val="0"/>
        </w:rPr>
        <w:t xml:space="preserve"> Summary of Moran’s I test statistic information output by R.</w:t>
      </w:r>
    </w:p>
    <w:tbl>
      <w:tblPr>
        <w:tblStyle w:val="TableGrid"/>
        <w:tblW w:w="9139" w:type="dxa"/>
        <w:tblInd w:w="360" w:type="dxa"/>
        <w:tblLook w:val="04A0" w:firstRow="1" w:lastRow="0" w:firstColumn="1" w:lastColumn="0" w:noHBand="0" w:noVBand="1"/>
      </w:tblPr>
      <w:tblGrid>
        <w:gridCol w:w="1833"/>
        <w:gridCol w:w="1916"/>
        <w:gridCol w:w="1815"/>
        <w:gridCol w:w="1797"/>
        <w:gridCol w:w="1778"/>
      </w:tblGrid>
      <w:tr w:rsidR="008962F8" w:rsidRPr="008962F8" w14:paraId="34E9B6B4" w14:textId="77777777" w:rsidTr="008962F8">
        <w:tc>
          <w:tcPr>
            <w:tcW w:w="1833" w:type="dxa"/>
          </w:tcPr>
          <w:p w14:paraId="7DC11653" w14:textId="77777777" w:rsidR="008962F8" w:rsidRPr="008962F8" w:rsidRDefault="008962F8" w:rsidP="008962F8">
            <w:pPr>
              <w:snapToGrid w:val="0"/>
              <w:spacing w:line="360" w:lineRule="auto"/>
              <w:jc w:val="center"/>
              <w:rPr>
                <w:b/>
                <w:sz w:val="20"/>
                <w:szCs w:val="20"/>
              </w:rPr>
            </w:pPr>
            <w:r w:rsidRPr="008962F8">
              <w:rPr>
                <w:b/>
                <w:sz w:val="20"/>
                <w:szCs w:val="20"/>
              </w:rPr>
              <w:t>Weighting Method</w:t>
            </w:r>
          </w:p>
        </w:tc>
        <w:tc>
          <w:tcPr>
            <w:tcW w:w="1916" w:type="dxa"/>
          </w:tcPr>
          <w:p w14:paraId="738260F1" w14:textId="77777777" w:rsidR="008962F8" w:rsidRPr="008962F8" w:rsidRDefault="008962F8" w:rsidP="008962F8">
            <w:pPr>
              <w:snapToGrid w:val="0"/>
              <w:spacing w:line="360" w:lineRule="auto"/>
              <w:jc w:val="center"/>
              <w:rPr>
                <w:b/>
                <w:sz w:val="20"/>
                <w:szCs w:val="20"/>
              </w:rPr>
            </w:pPr>
            <w:r w:rsidRPr="008962F8">
              <w:rPr>
                <w:b/>
                <w:sz w:val="20"/>
                <w:szCs w:val="20"/>
              </w:rPr>
              <w:t>Moran’s I Statistic</w:t>
            </w:r>
          </w:p>
        </w:tc>
        <w:tc>
          <w:tcPr>
            <w:tcW w:w="1815" w:type="dxa"/>
          </w:tcPr>
          <w:p w14:paraId="6BCDE1E1" w14:textId="77777777" w:rsidR="008962F8" w:rsidRPr="008962F8" w:rsidRDefault="008962F8" w:rsidP="008962F8">
            <w:pPr>
              <w:snapToGrid w:val="0"/>
              <w:spacing w:line="360" w:lineRule="auto"/>
              <w:jc w:val="center"/>
              <w:rPr>
                <w:b/>
                <w:sz w:val="20"/>
                <w:szCs w:val="20"/>
              </w:rPr>
            </w:pPr>
            <w:r w:rsidRPr="008962F8">
              <w:rPr>
                <w:b/>
                <w:sz w:val="20"/>
                <w:szCs w:val="20"/>
              </w:rPr>
              <w:t>Expectation</w:t>
            </w:r>
          </w:p>
        </w:tc>
        <w:tc>
          <w:tcPr>
            <w:tcW w:w="1797" w:type="dxa"/>
          </w:tcPr>
          <w:p w14:paraId="545F56F8" w14:textId="77777777" w:rsidR="008962F8" w:rsidRPr="008962F8" w:rsidRDefault="008962F8" w:rsidP="008962F8">
            <w:pPr>
              <w:snapToGrid w:val="0"/>
              <w:spacing w:line="360" w:lineRule="auto"/>
              <w:jc w:val="center"/>
              <w:rPr>
                <w:b/>
                <w:sz w:val="20"/>
                <w:szCs w:val="20"/>
              </w:rPr>
            </w:pPr>
            <w:r w:rsidRPr="008962F8">
              <w:rPr>
                <w:b/>
                <w:sz w:val="20"/>
                <w:szCs w:val="20"/>
              </w:rPr>
              <w:t>Variance</w:t>
            </w:r>
          </w:p>
        </w:tc>
        <w:tc>
          <w:tcPr>
            <w:tcW w:w="1778" w:type="dxa"/>
          </w:tcPr>
          <w:p w14:paraId="68984707" w14:textId="77777777" w:rsidR="008962F8" w:rsidRPr="008962F8" w:rsidRDefault="008962F8" w:rsidP="008962F8">
            <w:pPr>
              <w:snapToGrid w:val="0"/>
              <w:spacing w:line="360" w:lineRule="auto"/>
              <w:jc w:val="center"/>
              <w:rPr>
                <w:b/>
                <w:sz w:val="20"/>
                <w:szCs w:val="20"/>
              </w:rPr>
            </w:pPr>
            <w:r w:rsidRPr="008962F8">
              <w:rPr>
                <w:b/>
                <w:sz w:val="20"/>
                <w:szCs w:val="20"/>
              </w:rPr>
              <w:t>P-Value</w:t>
            </w:r>
          </w:p>
        </w:tc>
      </w:tr>
      <w:tr w:rsidR="008962F8" w:rsidRPr="008962F8" w14:paraId="197045C9" w14:textId="77777777" w:rsidTr="008962F8">
        <w:tc>
          <w:tcPr>
            <w:tcW w:w="1833" w:type="dxa"/>
          </w:tcPr>
          <w:p w14:paraId="0512E518" w14:textId="77777777" w:rsidR="008962F8" w:rsidRPr="008962F8" w:rsidRDefault="008962F8" w:rsidP="008962F8">
            <w:pPr>
              <w:snapToGrid w:val="0"/>
              <w:spacing w:line="360" w:lineRule="auto"/>
              <w:jc w:val="center"/>
              <w:rPr>
                <w:sz w:val="20"/>
                <w:szCs w:val="20"/>
              </w:rPr>
            </w:pPr>
            <w:r>
              <w:rPr>
                <w:sz w:val="20"/>
                <w:szCs w:val="20"/>
              </w:rPr>
              <w:t>W</w:t>
            </w:r>
          </w:p>
        </w:tc>
        <w:tc>
          <w:tcPr>
            <w:tcW w:w="1916" w:type="dxa"/>
          </w:tcPr>
          <w:p w14:paraId="40EB8B0E" w14:textId="77777777" w:rsidR="008962F8" w:rsidRPr="008962F8" w:rsidRDefault="008962F8" w:rsidP="008962F8">
            <w:pPr>
              <w:snapToGrid w:val="0"/>
              <w:spacing w:line="360" w:lineRule="auto"/>
              <w:jc w:val="center"/>
              <w:rPr>
                <w:sz w:val="20"/>
                <w:szCs w:val="20"/>
              </w:rPr>
            </w:pPr>
            <w:r>
              <w:rPr>
                <w:sz w:val="20"/>
                <w:szCs w:val="20"/>
              </w:rPr>
              <w:t>0.064</w:t>
            </w:r>
          </w:p>
        </w:tc>
        <w:tc>
          <w:tcPr>
            <w:tcW w:w="1815" w:type="dxa"/>
          </w:tcPr>
          <w:p w14:paraId="274280EA" w14:textId="77777777" w:rsidR="008962F8" w:rsidRPr="008962F8" w:rsidRDefault="008962F8" w:rsidP="008962F8">
            <w:pPr>
              <w:snapToGrid w:val="0"/>
              <w:spacing w:line="360" w:lineRule="auto"/>
              <w:jc w:val="center"/>
              <w:rPr>
                <w:sz w:val="20"/>
                <w:szCs w:val="20"/>
              </w:rPr>
            </w:pPr>
            <w:r>
              <w:rPr>
                <w:sz w:val="20"/>
                <w:szCs w:val="20"/>
              </w:rPr>
              <w:t>-0.011</w:t>
            </w:r>
          </w:p>
        </w:tc>
        <w:tc>
          <w:tcPr>
            <w:tcW w:w="1797" w:type="dxa"/>
          </w:tcPr>
          <w:p w14:paraId="3D5848E8" w14:textId="77777777" w:rsidR="008962F8" w:rsidRPr="008962F8" w:rsidRDefault="008962F8" w:rsidP="008962F8">
            <w:pPr>
              <w:snapToGrid w:val="0"/>
              <w:spacing w:line="360" w:lineRule="auto"/>
              <w:jc w:val="center"/>
              <w:rPr>
                <w:sz w:val="20"/>
                <w:szCs w:val="20"/>
              </w:rPr>
            </w:pPr>
            <w:r>
              <w:rPr>
                <w:sz w:val="20"/>
                <w:szCs w:val="20"/>
              </w:rPr>
              <w:t>0.004</w:t>
            </w:r>
          </w:p>
        </w:tc>
        <w:tc>
          <w:tcPr>
            <w:tcW w:w="1778" w:type="dxa"/>
          </w:tcPr>
          <w:p w14:paraId="7EF1B316" w14:textId="77777777" w:rsidR="008962F8" w:rsidRPr="008962F8" w:rsidRDefault="008962F8" w:rsidP="008962F8">
            <w:pPr>
              <w:snapToGrid w:val="0"/>
              <w:spacing w:line="360" w:lineRule="auto"/>
              <w:jc w:val="center"/>
              <w:rPr>
                <w:sz w:val="20"/>
                <w:szCs w:val="20"/>
              </w:rPr>
            </w:pPr>
            <w:r>
              <w:rPr>
                <w:sz w:val="20"/>
                <w:szCs w:val="20"/>
              </w:rPr>
              <w:t>0.127</w:t>
            </w:r>
          </w:p>
        </w:tc>
      </w:tr>
      <w:tr w:rsidR="008962F8" w:rsidRPr="008962F8" w14:paraId="2B4C68EA" w14:textId="77777777" w:rsidTr="008962F8">
        <w:tc>
          <w:tcPr>
            <w:tcW w:w="1833" w:type="dxa"/>
          </w:tcPr>
          <w:p w14:paraId="0331EDFD" w14:textId="77777777" w:rsidR="008962F8" w:rsidRPr="008962F8" w:rsidRDefault="008962F8" w:rsidP="008962F8">
            <w:pPr>
              <w:snapToGrid w:val="0"/>
              <w:spacing w:line="360" w:lineRule="auto"/>
              <w:jc w:val="center"/>
              <w:rPr>
                <w:sz w:val="20"/>
                <w:szCs w:val="20"/>
              </w:rPr>
            </w:pPr>
            <w:r>
              <w:rPr>
                <w:sz w:val="20"/>
                <w:szCs w:val="20"/>
              </w:rPr>
              <w:t>B</w:t>
            </w:r>
          </w:p>
        </w:tc>
        <w:tc>
          <w:tcPr>
            <w:tcW w:w="1916" w:type="dxa"/>
          </w:tcPr>
          <w:p w14:paraId="2D83BEB4" w14:textId="77777777" w:rsidR="008962F8" w:rsidRPr="008962F8" w:rsidRDefault="008962F8" w:rsidP="008962F8">
            <w:pPr>
              <w:snapToGrid w:val="0"/>
              <w:spacing w:line="360" w:lineRule="auto"/>
              <w:jc w:val="center"/>
              <w:rPr>
                <w:sz w:val="20"/>
                <w:szCs w:val="20"/>
              </w:rPr>
            </w:pPr>
            <w:r>
              <w:rPr>
                <w:sz w:val="20"/>
                <w:szCs w:val="20"/>
              </w:rPr>
              <w:t>0.066</w:t>
            </w:r>
          </w:p>
        </w:tc>
        <w:tc>
          <w:tcPr>
            <w:tcW w:w="1815" w:type="dxa"/>
          </w:tcPr>
          <w:p w14:paraId="3237D749" w14:textId="77777777" w:rsidR="008962F8" w:rsidRPr="008962F8" w:rsidRDefault="008962F8" w:rsidP="008962F8">
            <w:pPr>
              <w:snapToGrid w:val="0"/>
              <w:spacing w:line="360" w:lineRule="auto"/>
              <w:jc w:val="center"/>
              <w:rPr>
                <w:sz w:val="20"/>
                <w:szCs w:val="20"/>
              </w:rPr>
            </w:pPr>
            <w:r>
              <w:rPr>
                <w:sz w:val="20"/>
                <w:szCs w:val="20"/>
              </w:rPr>
              <w:t>-0.011</w:t>
            </w:r>
          </w:p>
        </w:tc>
        <w:tc>
          <w:tcPr>
            <w:tcW w:w="1797" w:type="dxa"/>
          </w:tcPr>
          <w:p w14:paraId="234AD879" w14:textId="77777777" w:rsidR="008962F8" w:rsidRPr="008962F8" w:rsidRDefault="008962F8" w:rsidP="008962F8">
            <w:pPr>
              <w:snapToGrid w:val="0"/>
              <w:spacing w:line="360" w:lineRule="auto"/>
              <w:jc w:val="center"/>
              <w:rPr>
                <w:sz w:val="20"/>
                <w:szCs w:val="20"/>
              </w:rPr>
            </w:pPr>
            <w:r>
              <w:rPr>
                <w:sz w:val="20"/>
                <w:szCs w:val="20"/>
              </w:rPr>
              <w:t>0.004</w:t>
            </w:r>
          </w:p>
        </w:tc>
        <w:tc>
          <w:tcPr>
            <w:tcW w:w="1778" w:type="dxa"/>
          </w:tcPr>
          <w:p w14:paraId="095F6257" w14:textId="77777777" w:rsidR="008962F8" w:rsidRPr="008962F8" w:rsidRDefault="008962F8" w:rsidP="008962F8">
            <w:pPr>
              <w:snapToGrid w:val="0"/>
              <w:spacing w:line="360" w:lineRule="auto"/>
              <w:jc w:val="center"/>
              <w:rPr>
                <w:sz w:val="20"/>
                <w:szCs w:val="20"/>
              </w:rPr>
            </w:pPr>
            <w:r>
              <w:rPr>
                <w:sz w:val="20"/>
                <w:szCs w:val="20"/>
              </w:rPr>
              <w:t>0.111</w:t>
            </w:r>
          </w:p>
        </w:tc>
      </w:tr>
      <w:tr w:rsidR="008962F8" w:rsidRPr="008962F8" w14:paraId="543C3E0E" w14:textId="77777777" w:rsidTr="008962F8">
        <w:tc>
          <w:tcPr>
            <w:tcW w:w="1833" w:type="dxa"/>
          </w:tcPr>
          <w:p w14:paraId="2D61B386" w14:textId="77777777" w:rsidR="008962F8" w:rsidRPr="008962F8" w:rsidRDefault="008962F8" w:rsidP="008962F8">
            <w:pPr>
              <w:snapToGrid w:val="0"/>
              <w:spacing w:line="360" w:lineRule="auto"/>
              <w:jc w:val="center"/>
              <w:rPr>
                <w:sz w:val="20"/>
                <w:szCs w:val="20"/>
              </w:rPr>
            </w:pPr>
            <w:r>
              <w:rPr>
                <w:sz w:val="20"/>
                <w:szCs w:val="20"/>
              </w:rPr>
              <w:t>C</w:t>
            </w:r>
          </w:p>
        </w:tc>
        <w:tc>
          <w:tcPr>
            <w:tcW w:w="1916" w:type="dxa"/>
          </w:tcPr>
          <w:p w14:paraId="1830DF58" w14:textId="77777777" w:rsidR="008962F8" w:rsidRPr="008962F8" w:rsidRDefault="008962F8" w:rsidP="008962F8">
            <w:pPr>
              <w:snapToGrid w:val="0"/>
              <w:spacing w:line="360" w:lineRule="auto"/>
              <w:jc w:val="center"/>
              <w:rPr>
                <w:sz w:val="20"/>
                <w:szCs w:val="20"/>
              </w:rPr>
            </w:pPr>
            <w:r>
              <w:rPr>
                <w:sz w:val="20"/>
                <w:szCs w:val="20"/>
              </w:rPr>
              <w:t>0.066</w:t>
            </w:r>
          </w:p>
        </w:tc>
        <w:tc>
          <w:tcPr>
            <w:tcW w:w="1815" w:type="dxa"/>
          </w:tcPr>
          <w:p w14:paraId="25F4E745" w14:textId="77777777" w:rsidR="008962F8" w:rsidRPr="008962F8" w:rsidRDefault="008962F8" w:rsidP="008962F8">
            <w:pPr>
              <w:snapToGrid w:val="0"/>
              <w:spacing w:line="360" w:lineRule="auto"/>
              <w:jc w:val="center"/>
              <w:rPr>
                <w:sz w:val="20"/>
                <w:szCs w:val="20"/>
              </w:rPr>
            </w:pPr>
            <w:r>
              <w:rPr>
                <w:sz w:val="20"/>
                <w:szCs w:val="20"/>
              </w:rPr>
              <w:t>-0.011</w:t>
            </w:r>
          </w:p>
        </w:tc>
        <w:tc>
          <w:tcPr>
            <w:tcW w:w="1797" w:type="dxa"/>
          </w:tcPr>
          <w:p w14:paraId="3F5913AA" w14:textId="77777777" w:rsidR="008962F8" w:rsidRPr="008962F8" w:rsidRDefault="008962F8" w:rsidP="008962F8">
            <w:pPr>
              <w:snapToGrid w:val="0"/>
              <w:spacing w:line="360" w:lineRule="auto"/>
              <w:jc w:val="center"/>
              <w:rPr>
                <w:sz w:val="20"/>
                <w:szCs w:val="20"/>
              </w:rPr>
            </w:pPr>
            <w:r>
              <w:rPr>
                <w:sz w:val="20"/>
                <w:szCs w:val="20"/>
              </w:rPr>
              <w:t>0.004</w:t>
            </w:r>
          </w:p>
        </w:tc>
        <w:tc>
          <w:tcPr>
            <w:tcW w:w="1778" w:type="dxa"/>
          </w:tcPr>
          <w:p w14:paraId="5754332E" w14:textId="77777777" w:rsidR="008962F8" w:rsidRPr="008962F8" w:rsidRDefault="008962F8" w:rsidP="008962F8">
            <w:pPr>
              <w:snapToGrid w:val="0"/>
              <w:spacing w:line="360" w:lineRule="auto"/>
              <w:jc w:val="center"/>
              <w:rPr>
                <w:sz w:val="20"/>
                <w:szCs w:val="20"/>
              </w:rPr>
            </w:pPr>
            <w:r>
              <w:rPr>
                <w:sz w:val="20"/>
                <w:szCs w:val="20"/>
              </w:rPr>
              <w:t>0.111</w:t>
            </w:r>
          </w:p>
        </w:tc>
      </w:tr>
    </w:tbl>
    <w:p w14:paraId="262590D4" w14:textId="639B43D3" w:rsidR="0017430D" w:rsidRDefault="0017430D" w:rsidP="00C04791">
      <w:pPr>
        <w:snapToGrid w:val="0"/>
        <w:spacing w:line="360" w:lineRule="auto"/>
        <w:ind w:left="360"/>
      </w:pPr>
      <w:r>
        <w:rPr>
          <w:noProof/>
        </w:rPr>
        <w:drawing>
          <wp:anchor distT="0" distB="0" distL="114300" distR="114300" simplePos="0" relativeHeight="251661312" behindDoc="1" locked="0" layoutInCell="1" allowOverlap="1" wp14:anchorId="74166C70" wp14:editId="1B4AE905">
            <wp:simplePos x="0" y="0"/>
            <wp:positionH relativeFrom="column">
              <wp:posOffset>3444240</wp:posOffset>
            </wp:positionH>
            <wp:positionV relativeFrom="page">
              <wp:posOffset>2933700</wp:posOffset>
            </wp:positionV>
            <wp:extent cx="2377440" cy="2377440"/>
            <wp:effectExtent l="0" t="0" r="3810" b="3810"/>
            <wp:wrapTight wrapText="bothSides">
              <wp:wrapPolygon edited="0">
                <wp:start x="0" y="0"/>
                <wp:lineTo x="0" y="21462"/>
                <wp:lineTo x="21462" y="21462"/>
                <wp:lineTo x="214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quick look at the population in </w:t>
      </w:r>
      <w:r>
        <w:fldChar w:fldCharType="begin"/>
      </w:r>
      <w:r>
        <w:instrText xml:space="preserve"> REF _Ref24109187 \h </w:instrText>
      </w:r>
      <w:r>
        <w:fldChar w:fldCharType="separate"/>
      </w:r>
      <w:r w:rsidR="009B3059">
        <w:t xml:space="preserve">Figure </w:t>
      </w:r>
      <w:r w:rsidR="009B3059">
        <w:rPr>
          <w:noProof/>
        </w:rPr>
        <w:t>2</w:t>
      </w:r>
      <w:r>
        <w:fldChar w:fldCharType="end"/>
      </w:r>
      <w:r>
        <w:t xml:space="preserve"> does seem to support the notion of random distribution</w:t>
      </w:r>
      <w:r w:rsidR="009365CA">
        <w:t xml:space="preserve"> </w:t>
      </w:r>
      <w:r>
        <w:t>but not enough to sway Moran’s I to reject the null hypothesis.</w:t>
      </w:r>
    </w:p>
    <w:p w14:paraId="0A31E485" w14:textId="20B57D1D" w:rsidR="0017430D" w:rsidRDefault="0017430D" w:rsidP="00C04791">
      <w:pPr>
        <w:snapToGrid w:val="0"/>
        <w:spacing w:line="360" w:lineRule="auto"/>
        <w:ind w:left="360"/>
      </w:pPr>
      <w:r>
        <w:rPr>
          <w:noProof/>
        </w:rPr>
        <mc:AlternateContent>
          <mc:Choice Requires="wps">
            <w:drawing>
              <wp:anchor distT="0" distB="0" distL="114300" distR="114300" simplePos="0" relativeHeight="251663360" behindDoc="1" locked="0" layoutInCell="1" allowOverlap="1" wp14:anchorId="23DA20B0" wp14:editId="0224B870">
                <wp:simplePos x="0" y="0"/>
                <wp:positionH relativeFrom="margin">
                  <wp:align>right</wp:align>
                </wp:positionH>
                <wp:positionV relativeFrom="page">
                  <wp:posOffset>5387340</wp:posOffset>
                </wp:positionV>
                <wp:extent cx="2529840" cy="258445"/>
                <wp:effectExtent l="0" t="0" r="3810" b="8255"/>
                <wp:wrapTight wrapText="bothSides">
                  <wp:wrapPolygon edited="0">
                    <wp:start x="0" y="0"/>
                    <wp:lineTo x="0" y="20698"/>
                    <wp:lineTo x="21470" y="20698"/>
                    <wp:lineTo x="214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529840" cy="258445"/>
                        </a:xfrm>
                        <a:prstGeom prst="rect">
                          <a:avLst/>
                        </a:prstGeom>
                        <a:solidFill>
                          <a:prstClr val="white"/>
                        </a:solidFill>
                        <a:ln>
                          <a:noFill/>
                        </a:ln>
                      </wps:spPr>
                      <wps:txbx>
                        <w:txbxContent>
                          <w:p w14:paraId="574E84F8" w14:textId="057849A7" w:rsidR="0017430D" w:rsidRPr="0017430D" w:rsidRDefault="0017430D" w:rsidP="0017430D">
                            <w:pPr>
                              <w:pStyle w:val="Caption"/>
                              <w:rPr>
                                <w:i w:val="0"/>
                                <w:noProof/>
                                <w:sz w:val="24"/>
                                <w:szCs w:val="24"/>
                              </w:rPr>
                            </w:pPr>
                            <w:bookmarkStart w:id="3" w:name="_Ref24109187"/>
                            <w:r>
                              <w:t xml:space="preserve">Figure </w:t>
                            </w:r>
                            <w:r w:rsidR="00D324C7">
                              <w:fldChar w:fldCharType="begin"/>
                            </w:r>
                            <w:r w:rsidR="00D324C7">
                              <w:instrText xml:space="preserve"> SEQ Figure \* ARABI</w:instrText>
                            </w:r>
                            <w:r w:rsidR="00D324C7">
                              <w:instrText xml:space="preserve">C </w:instrText>
                            </w:r>
                            <w:r w:rsidR="00D324C7">
                              <w:fldChar w:fldCharType="separate"/>
                            </w:r>
                            <w:r w:rsidR="009B3059">
                              <w:rPr>
                                <w:noProof/>
                              </w:rPr>
                              <w:t>2</w:t>
                            </w:r>
                            <w:r w:rsidR="00D324C7">
                              <w:rPr>
                                <w:noProof/>
                              </w:rPr>
                              <w:fldChar w:fldCharType="end"/>
                            </w:r>
                            <w:bookmarkEnd w:id="3"/>
                            <w:r>
                              <w:t>:</w:t>
                            </w:r>
                            <w:r>
                              <w:rPr>
                                <w:i w:val="0"/>
                              </w:rPr>
                              <w:t xml:space="preserve"> Population by county with Jenks breaks.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DA20B0" id="Text Box 5" o:spid="_x0000_s1027" type="#_x0000_t202" style="position:absolute;left:0;text-align:left;margin-left:148pt;margin-top:424.2pt;width:199.2pt;height:20.35pt;z-index:-251653120;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" stroked="f">
                <v:textbox style="mso-fit-shape-to-text:t" inset="0,0,0,0">
                  <w:txbxContent>
                    <w:p w14:paraId="574E84F8" w14:textId="057849A7" w:rsidR="0017430D" w:rsidRPr="0017430D" w:rsidRDefault="0017430D" w:rsidP="0017430D">
                      <w:pPr>
                        <w:pStyle w:val="Caption"/>
                        <w:rPr>
                          <w:i w:val="0"/>
                          <w:noProof/>
                          <w:sz w:val="24"/>
                          <w:szCs w:val="24"/>
                        </w:rPr>
                      </w:pPr>
                      <w:bookmarkStart w:id="4" w:name="_Ref24109187"/>
                      <w:r>
                        <w:t xml:space="preserve">Figure </w:t>
                      </w:r>
                      <w:r w:rsidR="00D324C7">
                        <w:fldChar w:fldCharType="begin"/>
                      </w:r>
                      <w:r w:rsidR="00D324C7">
                        <w:instrText xml:space="preserve"> SEQ Figure \* ARABI</w:instrText>
                      </w:r>
                      <w:r w:rsidR="00D324C7">
                        <w:instrText xml:space="preserve">C </w:instrText>
                      </w:r>
                      <w:r w:rsidR="00D324C7">
                        <w:fldChar w:fldCharType="separate"/>
                      </w:r>
                      <w:r w:rsidR="009B3059">
                        <w:rPr>
                          <w:noProof/>
                        </w:rPr>
                        <w:t>2</w:t>
                      </w:r>
                      <w:r w:rsidR="00D324C7">
                        <w:rPr>
                          <w:noProof/>
                        </w:rPr>
                        <w:fldChar w:fldCharType="end"/>
                      </w:r>
                      <w:bookmarkEnd w:id="4"/>
                      <w:r>
                        <w:t>:</w:t>
                      </w:r>
                      <w:r>
                        <w:rPr>
                          <w:i w:val="0"/>
                        </w:rPr>
                        <w:t xml:space="preserve"> Population by county with Jenks breaks.</w:t>
                      </w:r>
                    </w:p>
                  </w:txbxContent>
                </v:textbox>
                <w10:wrap type="tight" anchorx="margin" anchory="page"/>
              </v:shape>
            </w:pict>
          </mc:Fallback>
        </mc:AlternateContent>
      </w:r>
      <w:r>
        <w:tab/>
        <w:t xml:space="preserve">Unfortunately, the Moran’s I statistic wasn’t particularly informative. Only so much information can be gleaned from a single value for 92 counties. Fortunately though, the </w:t>
      </w:r>
      <w:proofErr w:type="spellStart"/>
      <w:r>
        <w:t>moran.test</w:t>
      </w:r>
      <w:proofErr w:type="spellEnd"/>
      <w:r>
        <w:t xml:space="preserve"> function provides finer details by way of plotting the data. These plots can be seen in</w:t>
      </w:r>
      <w:r w:rsidR="00F7013D">
        <w:t xml:space="preserve"> </w:t>
      </w:r>
      <w:r w:rsidR="00F7013D">
        <w:fldChar w:fldCharType="begin"/>
      </w:r>
      <w:r w:rsidR="00F7013D">
        <w:instrText xml:space="preserve"> REF _Ref24109675 \h </w:instrText>
      </w:r>
      <w:r w:rsidR="00F7013D">
        <w:fldChar w:fldCharType="separate"/>
      </w:r>
      <w:r w:rsidR="009B3059">
        <w:t xml:space="preserve">Figure </w:t>
      </w:r>
      <w:r w:rsidR="009B3059">
        <w:rPr>
          <w:noProof/>
        </w:rPr>
        <w:t>3</w:t>
      </w:r>
      <w:r w:rsidR="00F7013D">
        <w:fldChar w:fldCharType="end"/>
      </w:r>
      <w:r w:rsidR="00F7013D">
        <w:t>a, 3b, and 3c.</w:t>
      </w:r>
      <w:r w:rsidR="00E86543">
        <w:t xml:space="preserve"> </w:t>
      </w:r>
    </w:p>
    <w:p w14:paraId="37186B14" w14:textId="77777777" w:rsidR="0017430D" w:rsidRDefault="00F009F3" w:rsidP="0017430D">
      <w:pPr>
        <w:keepNext/>
        <w:snapToGrid w:val="0"/>
        <w:spacing w:line="360" w:lineRule="auto"/>
        <w:ind w:left="360"/>
        <w:jc w:val="center"/>
      </w:pPr>
      <w:r w:rsidRPr="00F009F3">
        <w:rPr>
          <w:noProof/>
        </w:rPr>
        <w:drawing>
          <wp:inline distT="0" distB="0" distL="0" distR="0" wp14:anchorId="55C45284" wp14:editId="679E63C6">
            <wp:extent cx="5612317"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317" cy="1828800"/>
                    </a:xfrm>
                    <a:prstGeom prst="rect">
                      <a:avLst/>
                    </a:prstGeom>
                  </pic:spPr>
                </pic:pic>
              </a:graphicData>
            </a:graphic>
          </wp:inline>
        </w:drawing>
      </w:r>
    </w:p>
    <w:p w14:paraId="3ED0B0E9" w14:textId="0014D753" w:rsidR="00F009F3" w:rsidRPr="0017430D" w:rsidRDefault="0017430D" w:rsidP="0017430D">
      <w:pPr>
        <w:pStyle w:val="Caption"/>
        <w:jc w:val="center"/>
        <w:rPr>
          <w:i w:val="0"/>
        </w:rPr>
      </w:pPr>
      <w:bookmarkStart w:id="5" w:name="_Ref24109675"/>
      <w:r>
        <w:t xml:space="preserve">Figure </w:t>
      </w:r>
      <w:r w:rsidR="00D324C7">
        <w:fldChar w:fldCharType="begin"/>
      </w:r>
      <w:r w:rsidR="00D324C7">
        <w:instrText xml:space="preserve"> SEQ Figure \* ARABIC </w:instrText>
      </w:r>
      <w:r w:rsidR="00D324C7">
        <w:fldChar w:fldCharType="separate"/>
      </w:r>
      <w:r w:rsidR="009B3059">
        <w:rPr>
          <w:noProof/>
        </w:rPr>
        <w:t>3</w:t>
      </w:r>
      <w:r w:rsidR="00D324C7">
        <w:rPr>
          <w:noProof/>
        </w:rPr>
        <w:fldChar w:fldCharType="end"/>
      </w:r>
      <w:bookmarkEnd w:id="5"/>
      <w:r w:rsidR="00F7013D">
        <w:t>a, 3b, 3c</w:t>
      </w:r>
      <w:r>
        <w:t>:</w:t>
      </w:r>
      <w:r w:rsidR="00F7013D">
        <w:rPr>
          <w:i w:val="0"/>
        </w:rPr>
        <w:t xml:space="preserve"> Diagnostic plots for the Moran’s I test for W, B, and C styles. The individual county populations are on the x-axis and the sum of the weighted neighborhood is on the y-axis for each.</w:t>
      </w:r>
    </w:p>
    <w:p w14:paraId="671FC1E5" w14:textId="34B8BB82" w:rsidR="00471EAB" w:rsidRPr="00C04791" w:rsidRDefault="00471EAB" w:rsidP="00471EAB">
      <w:pPr>
        <w:snapToGrid w:val="0"/>
        <w:spacing w:line="360" w:lineRule="auto"/>
        <w:ind w:left="360"/>
      </w:pPr>
      <w:r>
        <w:t xml:space="preserve">Upon inspection of </w:t>
      </w:r>
      <w:r>
        <w:fldChar w:fldCharType="begin"/>
      </w:r>
      <w:r>
        <w:instrText xml:space="preserve"> REF _Ref24109675 \h </w:instrText>
      </w:r>
      <w:r>
        <w:fldChar w:fldCharType="separate"/>
      </w:r>
      <w:r w:rsidR="009B3059">
        <w:t xml:space="preserve">Figure </w:t>
      </w:r>
      <w:r w:rsidR="009B3059">
        <w:rPr>
          <w:noProof/>
        </w:rPr>
        <w:t>3</w:t>
      </w:r>
      <w:r>
        <w:fldChar w:fldCharType="end"/>
      </w:r>
      <w:r>
        <w:t xml:space="preserve">, it becomes apparent that the Binary and Global weighting methods are identical aside from the spatially lagged populations. This is intuitive given their weighting methods. The row normalized (style W) plot in 3a shows the greatest difference from the other two in the distribution of its points. All three plots do show a quite a few low </w:t>
      </w:r>
      <w:r>
        <w:lastRenderedPageBreak/>
        <w:t xml:space="preserve">population counties in the presence of low population counties. Despite this, the Moran’s I still </w:t>
      </w:r>
      <w:proofErr w:type="gramStart"/>
      <w:r>
        <w:t>wasn’t able to</w:t>
      </w:r>
      <w:proofErr w:type="gramEnd"/>
      <w:r>
        <w:t xml:space="preserve"> reject the notion that the county populations are randomly distributed.</w:t>
      </w:r>
    </w:p>
    <w:p w14:paraId="485E5392" w14:textId="77777777" w:rsidR="00214660" w:rsidRPr="00C04791" w:rsidRDefault="00E93DE3" w:rsidP="00C04791">
      <w:pPr>
        <w:numPr>
          <w:ilvl w:val="0"/>
          <w:numId w:val="3"/>
        </w:numPr>
        <w:snapToGrid w:val="0"/>
        <w:spacing w:line="360" w:lineRule="auto"/>
        <w:rPr>
          <w:b/>
        </w:rPr>
      </w:pPr>
      <w:r>
        <w:rPr>
          <w:b/>
        </w:rPr>
        <w:t>Moran’s I Evaluation</w:t>
      </w:r>
    </w:p>
    <w:p w14:paraId="65B8D8A9" w14:textId="33017C59" w:rsidR="00053B25" w:rsidRDefault="00F339B9" w:rsidP="006F56C7">
      <w:pPr>
        <w:pStyle w:val="ListParagraph"/>
        <w:spacing w:line="360" w:lineRule="auto"/>
        <w:ind w:left="360"/>
      </w:pPr>
      <w:r>
        <w:t>F</w:t>
      </w:r>
      <w:r w:rsidR="00DE5662">
        <w:t xml:space="preserve">urther exploration of the </w:t>
      </w:r>
      <w:proofErr w:type="gramStart"/>
      <w:r w:rsidR="00DE5662">
        <w:t>counties</w:t>
      </w:r>
      <w:proofErr w:type="gramEnd"/>
      <w:r w:rsidR="00DE5662">
        <w:t xml:space="preserve"> dataset was carried out using the Moran’s I statistic but with two other attributes from the county census data. I opted to choose two attributes that were closely related, population of males and females, to see if some form of relationship or unexpected distribution could be found. Intuition would suggest that these will be randomly distributed, but Moran’s I will help provide this insight quantitatively. The raw population distributions for both male and female populations can be seen in </w:t>
      </w:r>
      <w:r w:rsidR="00DE5662">
        <w:fldChar w:fldCharType="begin"/>
      </w:r>
      <w:r w:rsidR="00DE5662">
        <w:instrText xml:space="preserve"> REF _Ref24112047 \h </w:instrText>
      </w:r>
      <w:r w:rsidR="00DE5662">
        <w:fldChar w:fldCharType="separate"/>
      </w:r>
      <w:r w:rsidR="009B3059">
        <w:t xml:space="preserve">Figure </w:t>
      </w:r>
      <w:r w:rsidR="009B3059">
        <w:rPr>
          <w:noProof/>
        </w:rPr>
        <w:t>4</w:t>
      </w:r>
      <w:r w:rsidR="00DE5662">
        <w:fldChar w:fldCharType="end"/>
      </w:r>
      <w:r w:rsidR="00DE5662">
        <w:t>a and 4b. Interestingly there appears to be a clustering of similar by male population counties near Indianapolis.</w:t>
      </w:r>
    </w:p>
    <w:p w14:paraId="7F5CB650" w14:textId="77777777" w:rsidR="00DE5662" w:rsidRDefault="00053B25" w:rsidP="00DE5662">
      <w:pPr>
        <w:keepNext/>
        <w:spacing w:line="360" w:lineRule="auto"/>
        <w:ind w:left="360"/>
        <w:jc w:val="center"/>
      </w:pPr>
      <w:r w:rsidRPr="00053B25">
        <w:rPr>
          <w:noProof/>
        </w:rPr>
        <w:drawing>
          <wp:inline distT="0" distB="0" distL="0" distR="0" wp14:anchorId="4266A142" wp14:editId="76454441">
            <wp:extent cx="4368585"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585" cy="2194560"/>
                    </a:xfrm>
                    <a:prstGeom prst="rect">
                      <a:avLst/>
                    </a:prstGeom>
                  </pic:spPr>
                </pic:pic>
              </a:graphicData>
            </a:graphic>
          </wp:inline>
        </w:drawing>
      </w:r>
    </w:p>
    <w:p w14:paraId="22CB22FC" w14:textId="3EDB8FCE" w:rsidR="00053B25" w:rsidRPr="00DE5662" w:rsidRDefault="00DE5662" w:rsidP="00DE5662">
      <w:pPr>
        <w:pStyle w:val="Caption"/>
        <w:jc w:val="center"/>
        <w:rPr>
          <w:i w:val="0"/>
        </w:rPr>
      </w:pPr>
      <w:bookmarkStart w:id="6" w:name="_Ref24112047"/>
      <w:r>
        <w:t xml:space="preserve">Figure </w:t>
      </w:r>
      <w:r w:rsidR="00D324C7">
        <w:fldChar w:fldCharType="begin"/>
      </w:r>
      <w:r w:rsidR="00D324C7">
        <w:instrText xml:space="preserve"> SEQ Figure \* ARABIC </w:instrText>
      </w:r>
      <w:r w:rsidR="00D324C7">
        <w:fldChar w:fldCharType="separate"/>
      </w:r>
      <w:r w:rsidR="009B3059">
        <w:rPr>
          <w:noProof/>
        </w:rPr>
        <w:t>4</w:t>
      </w:r>
      <w:r w:rsidR="00D324C7">
        <w:rPr>
          <w:noProof/>
        </w:rPr>
        <w:fldChar w:fldCharType="end"/>
      </w:r>
      <w:bookmarkEnd w:id="6"/>
      <w:r>
        <w:t>a, 4b:</w:t>
      </w:r>
      <w:r>
        <w:rPr>
          <w:i w:val="0"/>
        </w:rPr>
        <w:t xml:space="preserve"> Spatial distribution of male (A) and female (B) populations according to Jenks breaks.</w:t>
      </w:r>
    </w:p>
    <w:p w14:paraId="6609E434" w14:textId="77777777" w:rsidR="003D2B97" w:rsidRDefault="003D2B97" w:rsidP="003D2B97">
      <w:pPr>
        <w:spacing w:line="360" w:lineRule="auto"/>
        <w:ind w:left="360"/>
      </w:pPr>
      <w:r>
        <w:t xml:space="preserve">To test the spatial auto-correlation for these attributes both a typical </w:t>
      </w:r>
      <w:r w:rsidR="009365CA">
        <w:t>Moran</w:t>
      </w:r>
      <w:r>
        <w:t xml:space="preserve"> test as well as a monte-carlo simulated </w:t>
      </w:r>
      <w:r w:rsidR="009365CA">
        <w:t>Moran</w:t>
      </w:r>
      <w:r>
        <w:t xml:space="preserve"> test were carried out and can be seen in</w:t>
      </w:r>
      <w:r>
        <w:t xml:space="preserve"> Figure 5. A review of the corresponding P-Values of the Moran statistic for male and female populations by county were 0.119 and 0.134 respectively. Under the monte-carlo simulation framework, the P</w:t>
      </w:r>
      <w:r>
        <w:noBreakHyphen/>
        <w:t xml:space="preserve">Values dropped quite significantly for male and female populations to 0.084 and 0.104 respectively. This seems to be due to the randomization of the population distributions and shows a stronger spatial autocorrelation than the </w:t>
      </w:r>
      <w:proofErr w:type="spellStart"/>
      <w:r>
        <w:t>moran.test</w:t>
      </w:r>
      <w:proofErr w:type="spellEnd"/>
      <w:r>
        <w:t xml:space="preserve"> alone but still not enough to reject the null hypothesis of theses populations being randomly distributed.</w:t>
      </w:r>
    </w:p>
    <w:p w14:paraId="248483BF" w14:textId="12A6D34A" w:rsidR="00F92C88" w:rsidRPr="00C04791" w:rsidRDefault="009365CA" w:rsidP="00C04791">
      <w:pPr>
        <w:spacing w:line="360" w:lineRule="auto"/>
        <w:ind w:left="360"/>
      </w:pPr>
      <w:r w:rsidRPr="007C77C9">
        <w:rPr>
          <w:b/>
          <w:bCs/>
        </w:rPr>
        <w:lastRenderedPageBreak/>
        <w:drawing>
          <wp:anchor distT="0" distB="0" distL="114300" distR="114300" simplePos="0" relativeHeight="251667456" behindDoc="1" locked="0" layoutInCell="1" allowOverlap="1" wp14:anchorId="0F3D5C2D" wp14:editId="4005E684">
            <wp:simplePos x="0" y="0"/>
            <wp:positionH relativeFrom="column">
              <wp:posOffset>3048000</wp:posOffset>
            </wp:positionH>
            <wp:positionV relativeFrom="page">
              <wp:posOffset>4381500</wp:posOffset>
            </wp:positionV>
            <wp:extent cx="3281045" cy="3291840"/>
            <wp:effectExtent l="0" t="0" r="0" b="3810"/>
            <wp:wrapTight wrapText="bothSides">
              <wp:wrapPolygon edited="0">
                <wp:start x="0" y="0"/>
                <wp:lineTo x="0" y="21500"/>
                <wp:lineTo x="21445" y="21500"/>
                <wp:lineTo x="2144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1045" cy="3291840"/>
                    </a:xfrm>
                    <a:prstGeom prst="rect">
                      <a:avLst/>
                    </a:prstGeom>
                  </pic:spPr>
                </pic:pic>
              </a:graphicData>
            </a:graphic>
          </wp:anchor>
        </w:drawing>
      </w:r>
      <w:r w:rsidRPr="003D2B97">
        <w:drawing>
          <wp:anchor distT="0" distB="0" distL="114300" distR="114300" simplePos="0" relativeHeight="251664384" behindDoc="1" locked="0" layoutInCell="1" allowOverlap="1" wp14:anchorId="79314CB0" wp14:editId="7357ED73">
            <wp:simplePos x="0" y="0"/>
            <wp:positionH relativeFrom="margin">
              <wp:posOffset>3229610</wp:posOffset>
            </wp:positionH>
            <wp:positionV relativeFrom="margin">
              <wp:align>top</wp:align>
            </wp:positionV>
            <wp:extent cx="2992973" cy="3017520"/>
            <wp:effectExtent l="0" t="0" r="0" b="0"/>
            <wp:wrapTight wrapText="bothSides">
              <wp:wrapPolygon edited="0">
                <wp:start x="0" y="0"/>
                <wp:lineTo x="0" y="21409"/>
                <wp:lineTo x="21449" y="21409"/>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92973" cy="3017520"/>
                    </a:xfrm>
                    <a:prstGeom prst="rect">
                      <a:avLst/>
                    </a:prstGeom>
                  </pic:spPr>
                </pic:pic>
              </a:graphicData>
            </a:graphic>
            <wp14:sizeRelH relativeFrom="margin">
              <wp14:pctWidth>0</wp14:pctWidth>
            </wp14:sizeRelH>
            <wp14:sizeRelV relativeFrom="margin">
              <wp14:pctHeight>0</wp14:pctHeight>
            </wp14:sizeRelV>
          </wp:anchor>
        </w:drawing>
      </w:r>
      <w:r w:rsidR="003D2B97">
        <w:tab/>
        <w:t>Moran’s I, while an interesting concept, is very limiting in that it doesn’</w:t>
      </w:r>
      <w:r w:rsidR="00F92C88">
        <w:t xml:space="preserve">t give you a sense of the Moran’s I values spatially. This </w:t>
      </w:r>
      <w:r w:rsidR="00234F99">
        <w:t xml:space="preserve">is </w:t>
      </w:r>
      <w:r w:rsidR="00F92C88">
        <w:t xml:space="preserve">where a local Moran’s I comes in handy. </w:t>
      </w:r>
      <w:r w:rsidR="00234F99">
        <w:t xml:space="preserve">The local Moran’s I for male and female populations can be seen in </w:t>
      </w:r>
      <w:r w:rsidR="007C77C9">
        <w:fldChar w:fldCharType="begin"/>
      </w:r>
      <w:r w:rsidR="007C77C9">
        <w:instrText xml:space="preserve"> REF _Ref24115849 \h </w:instrText>
      </w:r>
      <w:r w:rsidR="007C77C9">
        <w:fldChar w:fldCharType="separate"/>
      </w:r>
      <w:r w:rsidR="009B3059">
        <w:t xml:space="preserve">Figure </w:t>
      </w:r>
      <w:r w:rsidR="009B3059">
        <w:rPr>
          <w:noProof/>
        </w:rPr>
        <w:t>6</w:t>
      </w:r>
      <w:r w:rsidR="007C77C9">
        <w:fldChar w:fldCharType="end"/>
      </w:r>
      <w:r w:rsidR="007C77C9">
        <w:t xml:space="preserve">. The distributions seen in </w:t>
      </w:r>
      <w:r w:rsidR="007C77C9">
        <w:fldChar w:fldCharType="begin"/>
      </w:r>
      <w:r w:rsidR="007C77C9">
        <w:instrText xml:space="preserve"> REF _Ref24115849 \h </w:instrText>
      </w:r>
      <w:r w:rsidR="007C77C9">
        <w:fldChar w:fldCharType="separate"/>
      </w:r>
      <w:r w:rsidR="009B3059">
        <w:t xml:space="preserve">Figure </w:t>
      </w:r>
      <w:r w:rsidR="009B3059">
        <w:rPr>
          <w:noProof/>
        </w:rPr>
        <w:t>6</w:t>
      </w:r>
      <w:r w:rsidR="007C77C9">
        <w:fldChar w:fldCharType="end"/>
      </w:r>
      <w:r w:rsidR="007C77C9">
        <w:t>a and b are quite similar except for in the tail. There seems to be a slightly greater male population. Spatially though, the Indianapolis male population and female population both seem to be very similar to their surroundings. One particularly surprising result was in the top left portion of Indiana (Porter County), the female population’s local Moran</w:t>
      </w:r>
      <w:r>
        <w:t>’s</w:t>
      </w:r>
      <w:r w:rsidR="007C77C9">
        <w:t xml:space="preserve"> I is higher than that of the male population.</w:t>
      </w:r>
      <w:r w:rsidR="007C77C9">
        <w:rPr>
          <w:noProof/>
        </w:rPr>
        <mc:AlternateContent>
          <mc:Choice Requires="wps">
            <w:drawing>
              <wp:anchor distT="0" distB="0" distL="114300" distR="114300" simplePos="0" relativeHeight="251666432" behindDoc="1" locked="0" layoutInCell="1" allowOverlap="1" wp14:anchorId="119CDACF" wp14:editId="4982F1F2">
                <wp:simplePos x="0" y="0"/>
                <wp:positionH relativeFrom="column">
                  <wp:posOffset>3046730</wp:posOffset>
                </wp:positionH>
                <wp:positionV relativeFrom="page">
                  <wp:posOffset>3951605</wp:posOffset>
                </wp:positionV>
                <wp:extent cx="3174365" cy="521335"/>
                <wp:effectExtent l="0" t="0" r="6985" b="0"/>
                <wp:wrapTight wrapText="bothSides">
                  <wp:wrapPolygon edited="0">
                    <wp:start x="0" y="0"/>
                    <wp:lineTo x="0" y="20521"/>
                    <wp:lineTo x="21518" y="20521"/>
                    <wp:lineTo x="21518"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174365" cy="521335"/>
                        </a:xfrm>
                        <a:prstGeom prst="rect">
                          <a:avLst/>
                        </a:prstGeom>
                        <a:solidFill>
                          <a:prstClr val="white"/>
                        </a:solidFill>
                        <a:ln>
                          <a:noFill/>
                        </a:ln>
                      </wps:spPr>
                      <wps:txbx>
                        <w:txbxContent>
                          <w:p w14:paraId="6B402277" w14:textId="10AA1FA8" w:rsidR="003D2B97" w:rsidRPr="009C2A0C" w:rsidRDefault="003D2B97" w:rsidP="003D2B97">
                            <w:pPr>
                              <w:pStyle w:val="Caption"/>
                              <w:rPr>
                                <w:sz w:val="24"/>
                                <w:szCs w:val="24"/>
                              </w:rPr>
                            </w:pPr>
                            <w:r>
                              <w:t xml:space="preserve">Figure </w:t>
                            </w:r>
                            <w:fldSimple w:instr=" SEQ Figure \* ARABIC ">
                              <w:r w:rsidR="009B3059">
                                <w:rPr>
                                  <w:noProof/>
                                </w:rPr>
                                <w:t>5</w:t>
                              </w:r>
                            </w:fldSimple>
                            <w:r>
                              <w:t>a, 5b, 5c, 5d:</w:t>
                            </w:r>
                            <w:r>
                              <w:rPr>
                                <w:i w:val="0"/>
                              </w:rPr>
                              <w:t xml:space="preserve"> </w:t>
                            </w:r>
                            <w:r w:rsidRPr="003D2B97">
                              <w:rPr>
                                <w:i w:val="0"/>
                              </w:rPr>
                              <w:t xml:space="preserve"> </w:t>
                            </w:r>
                            <w:r>
                              <w:rPr>
                                <w:i w:val="0"/>
                              </w:rPr>
                              <w:t>Row standardized Moran tests for male (A) and female (</w:t>
                            </w:r>
                            <w:r>
                              <w:rPr>
                                <w:i w:val="0"/>
                              </w:rPr>
                              <w:t>C)</w:t>
                            </w:r>
                            <w:r>
                              <w:rPr>
                                <w:i w:val="0"/>
                              </w:rPr>
                              <w:t xml:space="preserve"> populations and monte</w:t>
                            </w:r>
                            <w:r>
                              <w:rPr>
                                <w:i w:val="0"/>
                              </w:rPr>
                              <w:t>-</w:t>
                            </w:r>
                            <w:r>
                              <w:rPr>
                                <w:i w:val="0"/>
                              </w:rPr>
                              <w:t>carlo simulations for male (B) and female (D) populations.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CDACF" id="Text Box 11" o:spid="_x0000_s1028" type="#_x0000_t202" style="position:absolute;left:0;text-align:left;margin-left:239.9pt;margin-top:311.15pt;width:249.95pt;height:41.05pt;z-index:-2516500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gMQIAAGk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" stroked="f">
                <v:textbox style="mso-fit-shape-to-text:t" inset="0,0,0,0">
                  <w:txbxContent>
                    <w:p w14:paraId="6B402277" w14:textId="10AA1FA8" w:rsidR="003D2B97" w:rsidRPr="009C2A0C" w:rsidRDefault="003D2B97" w:rsidP="003D2B97">
                      <w:pPr>
                        <w:pStyle w:val="Caption"/>
                        <w:rPr>
                          <w:sz w:val="24"/>
                          <w:szCs w:val="24"/>
                        </w:rPr>
                      </w:pPr>
                      <w:r>
                        <w:t xml:space="preserve">Figure </w:t>
                      </w:r>
                      <w:fldSimple w:instr=" SEQ Figure \* ARABIC ">
                        <w:r w:rsidR="009B3059">
                          <w:rPr>
                            <w:noProof/>
                          </w:rPr>
                          <w:t>5</w:t>
                        </w:r>
                      </w:fldSimple>
                      <w:r>
                        <w:t>a, 5b, 5c, 5d:</w:t>
                      </w:r>
                      <w:r>
                        <w:rPr>
                          <w:i w:val="0"/>
                        </w:rPr>
                        <w:t xml:space="preserve"> </w:t>
                      </w:r>
                      <w:r w:rsidRPr="003D2B97">
                        <w:rPr>
                          <w:i w:val="0"/>
                        </w:rPr>
                        <w:t xml:space="preserve"> </w:t>
                      </w:r>
                      <w:r>
                        <w:rPr>
                          <w:i w:val="0"/>
                        </w:rPr>
                        <w:t>Row standardized Moran tests for male (A) and female (</w:t>
                      </w:r>
                      <w:r>
                        <w:rPr>
                          <w:i w:val="0"/>
                        </w:rPr>
                        <w:t>C)</w:t>
                      </w:r>
                      <w:r>
                        <w:rPr>
                          <w:i w:val="0"/>
                        </w:rPr>
                        <w:t xml:space="preserve"> populations and monte</w:t>
                      </w:r>
                      <w:r>
                        <w:rPr>
                          <w:i w:val="0"/>
                        </w:rPr>
                        <w:t>-</w:t>
                      </w:r>
                      <w:r>
                        <w:rPr>
                          <w:i w:val="0"/>
                        </w:rPr>
                        <w:t>carlo simulations for male (B) and female (D) populations.</w:t>
                      </w:r>
                    </w:p>
                  </w:txbxContent>
                </v:textbox>
                <w10:wrap type="tight" anchory="page"/>
              </v:shape>
            </w:pict>
          </mc:Fallback>
        </mc:AlternateContent>
      </w:r>
    </w:p>
    <w:p w14:paraId="0ABEFC99" w14:textId="77777777" w:rsidR="00214660" w:rsidRPr="00C04791" w:rsidRDefault="00E93DE3" w:rsidP="00C04791">
      <w:pPr>
        <w:numPr>
          <w:ilvl w:val="0"/>
          <w:numId w:val="3"/>
        </w:numPr>
        <w:snapToGrid w:val="0"/>
        <w:spacing w:line="360" w:lineRule="auto"/>
      </w:pPr>
      <w:r>
        <w:rPr>
          <w:b/>
        </w:rPr>
        <w:t>Conclusions</w:t>
      </w:r>
    </w:p>
    <w:p w14:paraId="5BED34A0" w14:textId="77777777" w:rsidR="00082FCA" w:rsidRPr="00C04791" w:rsidRDefault="009365CA" w:rsidP="009365CA">
      <w:pPr>
        <w:pStyle w:val="ListParagraph"/>
        <w:snapToGrid w:val="0"/>
        <w:spacing w:line="360" w:lineRule="auto"/>
        <w:ind w:left="360"/>
        <w:rPr>
          <w:b/>
        </w:rPr>
      </w:pPr>
      <w:r>
        <w:rPr>
          <w:noProof/>
        </w:rPr>
        <mc:AlternateContent>
          <mc:Choice Requires="wps">
            <w:drawing>
              <wp:anchor distT="0" distB="0" distL="114300" distR="114300" simplePos="0" relativeHeight="251669504" behindDoc="1" locked="0" layoutInCell="1" allowOverlap="1" wp14:anchorId="5E6BC58E" wp14:editId="6786C501">
                <wp:simplePos x="0" y="0"/>
                <wp:positionH relativeFrom="column">
                  <wp:posOffset>3162300</wp:posOffset>
                </wp:positionH>
                <wp:positionV relativeFrom="page">
                  <wp:posOffset>7741920</wp:posOffset>
                </wp:positionV>
                <wp:extent cx="3281045" cy="521335"/>
                <wp:effectExtent l="0" t="0" r="0" b="0"/>
                <wp:wrapTight wrapText="bothSides">
                  <wp:wrapPolygon edited="0">
                    <wp:start x="0" y="0"/>
                    <wp:lineTo x="0" y="20521"/>
                    <wp:lineTo x="21445" y="20521"/>
                    <wp:lineTo x="2144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281045" cy="521335"/>
                        </a:xfrm>
                        <a:prstGeom prst="rect">
                          <a:avLst/>
                        </a:prstGeom>
                        <a:solidFill>
                          <a:prstClr val="white"/>
                        </a:solidFill>
                        <a:ln>
                          <a:noFill/>
                        </a:ln>
                      </wps:spPr>
                      <wps:txbx>
                        <w:txbxContent>
                          <w:p w14:paraId="72BD2597" w14:textId="634079F8" w:rsidR="007C77C9" w:rsidRPr="00EC2D66" w:rsidRDefault="007C77C9" w:rsidP="007C77C9">
                            <w:pPr>
                              <w:pStyle w:val="Caption"/>
                              <w:rPr>
                                <w:b/>
                                <w:bCs/>
                                <w:sz w:val="24"/>
                                <w:szCs w:val="24"/>
                              </w:rPr>
                            </w:pPr>
                            <w:bookmarkStart w:id="7" w:name="_Ref24115849"/>
                            <w:r>
                              <w:t xml:space="preserve">Figure </w:t>
                            </w:r>
                            <w:fldSimple w:instr=" SEQ Figure \* ARABIC ">
                              <w:r w:rsidR="009B3059">
                                <w:rPr>
                                  <w:noProof/>
                                </w:rPr>
                                <w:t>6</w:t>
                              </w:r>
                            </w:fldSimple>
                            <w:bookmarkEnd w:id="7"/>
                            <w:r w:rsidRPr="007C77C9">
                              <w:t xml:space="preserve"> </w:t>
                            </w:r>
                            <w:r>
                              <w:t>a, 6b, 6c, 6d:</w:t>
                            </w:r>
                            <w:r>
                              <w:rPr>
                                <w:i w:val="0"/>
                              </w:rPr>
                              <w:t xml:space="preserve"> Moran’s local I spatial distribution and numerical distribution for males (A and B) as well as females (C and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6BC58E" id="Text Box 16" o:spid="_x0000_s1029" type="#_x0000_t202" style="position:absolute;left:0;text-align:left;margin-left:249pt;margin-top:609.6pt;width:258.35pt;height:41.05pt;z-index:-2516469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" stroked="f">
                <v:textbox style="mso-fit-shape-to-text:t" inset="0,0,0,0">
                  <w:txbxContent>
                    <w:p w14:paraId="72BD2597" w14:textId="634079F8" w:rsidR="007C77C9" w:rsidRPr="00EC2D66" w:rsidRDefault="007C77C9" w:rsidP="007C77C9">
                      <w:pPr>
                        <w:pStyle w:val="Caption"/>
                        <w:rPr>
                          <w:b/>
                          <w:bCs/>
                          <w:sz w:val="24"/>
                          <w:szCs w:val="24"/>
                        </w:rPr>
                      </w:pPr>
                      <w:bookmarkStart w:id="8" w:name="_Ref24115849"/>
                      <w:r>
                        <w:t xml:space="preserve">Figure </w:t>
                      </w:r>
                      <w:fldSimple w:instr=" SEQ Figure \* ARABIC ">
                        <w:r w:rsidR="009B3059">
                          <w:rPr>
                            <w:noProof/>
                          </w:rPr>
                          <w:t>6</w:t>
                        </w:r>
                      </w:fldSimple>
                      <w:bookmarkEnd w:id="8"/>
                      <w:r w:rsidRPr="007C77C9">
                        <w:t xml:space="preserve"> </w:t>
                      </w:r>
                      <w:r>
                        <w:t>a, 6b, 6c, 6d:</w:t>
                      </w:r>
                      <w:r>
                        <w:rPr>
                          <w:i w:val="0"/>
                        </w:rPr>
                        <w:t xml:space="preserve"> Moran’s local I spatial distribution and numerical distribution for males (A and B) as well as females (C and D).</w:t>
                      </w:r>
                    </w:p>
                  </w:txbxContent>
                </v:textbox>
                <w10:wrap type="tight" anchory="page"/>
              </v:shape>
            </w:pict>
          </mc:Fallback>
        </mc:AlternateContent>
      </w:r>
      <w:r w:rsidR="00F92C88">
        <w:t>Moran’s I is an interesting and useful concept for quick analysis of spatial autocorrelation but in many ways, it feels to</w:t>
      </w:r>
      <w:r>
        <w:t>o</w:t>
      </w:r>
      <w:r w:rsidR="00F92C88">
        <w:t xml:space="preserve"> subjective (likely due to the choice in weighting schemes). The monte-carlo simulations do feel more rigorous and perhaps more useful in forming scientific arguments.</w:t>
      </w:r>
      <w:r>
        <w:t xml:space="preserve"> Though it didn’t seem to make much difference for the attributes reviewed here, boundary conditions are important and can greatly influence Moran’s I.</w:t>
      </w:r>
    </w:p>
    <w:p w14:paraId="3608BD0F" w14:textId="77777777" w:rsidR="00082FCA" w:rsidRDefault="00082FCA" w:rsidP="00C04791">
      <w:pPr>
        <w:snapToGrid w:val="0"/>
        <w:spacing w:line="360" w:lineRule="auto"/>
        <w:rPr>
          <w:b/>
        </w:rPr>
      </w:pPr>
      <w:r w:rsidRPr="00C04791">
        <w:rPr>
          <w:b/>
        </w:rPr>
        <w:t xml:space="preserve">References </w:t>
      </w:r>
    </w:p>
    <w:p w14:paraId="117B7960" w14:textId="10808544" w:rsidR="00C52807" w:rsidRPr="00B87DE9" w:rsidRDefault="008B63C5" w:rsidP="00B87DE9">
      <w:pPr>
        <w:snapToGrid w:val="0"/>
        <w:spacing w:line="360" w:lineRule="auto"/>
        <w:ind w:left="360" w:hanging="360"/>
        <w:rPr>
          <w:b/>
        </w:rPr>
      </w:pPr>
      <w:proofErr w:type="spellStart"/>
      <w:r w:rsidRPr="0017143A">
        <w:rPr>
          <w:b/>
        </w:rPr>
        <w:t>IndianaMap</w:t>
      </w:r>
      <w:proofErr w:type="spellEnd"/>
      <w:r w:rsidRPr="0017143A">
        <w:rPr>
          <w:b/>
        </w:rPr>
        <w:t xml:space="preserve">. (n.d.). Layer Gallery. Retrieved October 22, 2019, from </w:t>
      </w:r>
      <w:hyperlink r:id="rId14" w:history="1">
        <w:r w:rsidRPr="002F06FD">
          <w:rPr>
            <w:rStyle w:val="Hyperlink"/>
            <w:b/>
          </w:rPr>
          <w:t>https://maps.indiana.edu/layerGallery.html?category=Census</w:t>
        </w:r>
      </w:hyperlink>
      <w:r w:rsidRPr="0017143A">
        <w:rPr>
          <w:b/>
        </w:rPr>
        <w:t>.</w:t>
      </w:r>
      <w:bookmarkStart w:id="9" w:name="_GoBack"/>
      <w:bookmarkEnd w:id="9"/>
    </w:p>
    <w:sectPr w:rsidR="00C52807" w:rsidRPr="00B87DE9" w:rsidSect="00AE6CAF">
      <w:headerReference w:type="default" r:id="rId15"/>
      <w:footerReference w:type="even"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7F229" w14:textId="77777777" w:rsidR="00D324C7" w:rsidRDefault="00D324C7">
      <w:r>
        <w:separator/>
      </w:r>
    </w:p>
  </w:endnote>
  <w:endnote w:type="continuationSeparator" w:id="0">
    <w:p w14:paraId="3D9C9F0F" w14:textId="77777777" w:rsidR="00D324C7" w:rsidRDefault="00D32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934A7" w14:textId="77777777" w:rsidR="00AD3AA0" w:rsidRDefault="00AD3A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35AC88" w14:textId="77777777" w:rsidR="00AD3AA0" w:rsidRDefault="00AD3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3EE" w14:textId="77777777" w:rsidR="00AD3AA0" w:rsidRPr="007829A2" w:rsidRDefault="007829A2">
    <w:pPr>
      <w:pStyle w:val="Footer"/>
      <w:framePr w:wrap="around" w:vAnchor="text" w:hAnchor="margin" w:xAlign="center" w:y="1"/>
      <w:rPr>
        <w:rStyle w:val="PageNumber"/>
        <w:sz w:val="20"/>
      </w:rPr>
    </w:pPr>
    <w:r w:rsidRPr="007829A2">
      <w:rPr>
        <w:rStyle w:val="PageNumber"/>
        <w:sz w:val="20"/>
      </w:rPr>
      <w:t xml:space="preserve">Page </w:t>
    </w:r>
    <w:r w:rsidRPr="007829A2">
      <w:rPr>
        <w:rStyle w:val="PageNumber"/>
        <w:bCs/>
        <w:sz w:val="20"/>
      </w:rPr>
      <w:fldChar w:fldCharType="begin"/>
    </w:r>
    <w:r w:rsidRPr="007829A2">
      <w:rPr>
        <w:rStyle w:val="PageNumber"/>
        <w:bCs/>
        <w:sz w:val="20"/>
      </w:rPr>
      <w:instrText xml:space="preserve"> PAGE  \* Arabic  \* MERGEFORMAT </w:instrText>
    </w:r>
    <w:r w:rsidRPr="007829A2">
      <w:rPr>
        <w:rStyle w:val="PageNumber"/>
        <w:bCs/>
        <w:sz w:val="20"/>
      </w:rPr>
      <w:fldChar w:fldCharType="separate"/>
    </w:r>
    <w:r w:rsidR="000313DF">
      <w:rPr>
        <w:rStyle w:val="PageNumber"/>
        <w:bCs/>
        <w:noProof/>
        <w:sz w:val="20"/>
      </w:rPr>
      <w:t>1</w:t>
    </w:r>
    <w:r w:rsidRPr="007829A2">
      <w:rPr>
        <w:rStyle w:val="PageNumber"/>
        <w:bCs/>
        <w:sz w:val="20"/>
      </w:rPr>
      <w:fldChar w:fldCharType="end"/>
    </w:r>
    <w:r w:rsidRPr="007829A2">
      <w:rPr>
        <w:rStyle w:val="PageNumber"/>
        <w:sz w:val="20"/>
      </w:rPr>
      <w:t xml:space="preserve"> of </w:t>
    </w:r>
    <w:r w:rsidRPr="007829A2">
      <w:rPr>
        <w:rStyle w:val="PageNumber"/>
        <w:bCs/>
        <w:sz w:val="20"/>
      </w:rPr>
      <w:fldChar w:fldCharType="begin"/>
    </w:r>
    <w:r w:rsidRPr="007829A2">
      <w:rPr>
        <w:rStyle w:val="PageNumber"/>
        <w:bCs/>
        <w:sz w:val="20"/>
      </w:rPr>
      <w:instrText xml:space="preserve"> NUMPAGES  \* Arabic  \* MERGEFORMAT </w:instrText>
    </w:r>
    <w:r w:rsidRPr="007829A2">
      <w:rPr>
        <w:rStyle w:val="PageNumber"/>
        <w:bCs/>
        <w:sz w:val="20"/>
      </w:rPr>
      <w:fldChar w:fldCharType="separate"/>
    </w:r>
    <w:r w:rsidR="000313DF">
      <w:rPr>
        <w:rStyle w:val="PageNumber"/>
        <w:bCs/>
        <w:noProof/>
        <w:sz w:val="20"/>
      </w:rPr>
      <w:t>2</w:t>
    </w:r>
    <w:r w:rsidRPr="007829A2">
      <w:rPr>
        <w:rStyle w:val="PageNumber"/>
        <w:bCs/>
        <w:sz w:val="20"/>
      </w:rPr>
      <w:fldChar w:fldCharType="end"/>
    </w:r>
  </w:p>
  <w:p w14:paraId="79816140" w14:textId="77777777" w:rsidR="00AD3AA0" w:rsidRDefault="00AD3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78F01" w14:textId="77777777" w:rsidR="00D324C7" w:rsidRDefault="00D324C7">
      <w:r>
        <w:separator/>
      </w:r>
    </w:p>
  </w:footnote>
  <w:footnote w:type="continuationSeparator" w:id="0">
    <w:p w14:paraId="4DA61107" w14:textId="77777777" w:rsidR="00D324C7" w:rsidRDefault="00D32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A93DB" w14:textId="77777777" w:rsidR="00AD3AA0" w:rsidRPr="007829A2" w:rsidRDefault="00492BAA" w:rsidP="00D219AB">
    <w:pPr>
      <w:pStyle w:val="Header"/>
      <w:rPr>
        <w:b/>
        <w:sz w:val="20"/>
      </w:rPr>
    </w:pPr>
    <w:r>
      <w:rPr>
        <w:b/>
        <w:sz w:val="20"/>
      </w:rPr>
      <w:t>William Logan Downing</w:t>
    </w:r>
    <w:r w:rsidR="00AD3AA0" w:rsidRPr="007829A2">
      <w:rPr>
        <w:b/>
        <w:sz w:val="20"/>
      </w:rPr>
      <w:t xml:space="preserve"> </w:t>
    </w:r>
    <w:r w:rsidR="000313DF">
      <w:rPr>
        <w:b/>
        <w:sz w:val="20"/>
      </w:rPr>
      <w:tab/>
      <w:t xml:space="preserve">        </w:t>
    </w:r>
    <w:r w:rsidR="000313DF">
      <w:rPr>
        <w:b/>
        <w:sz w:val="20"/>
      </w:rPr>
      <w:tab/>
      <w:t xml:space="preserve">                  </w:t>
    </w:r>
    <w:r w:rsidR="007829A2" w:rsidRPr="007829A2">
      <w:rPr>
        <w:b/>
        <w:sz w:val="20"/>
      </w:rPr>
      <w:t xml:space="preserve">CE597 </w:t>
    </w:r>
    <w:r w:rsidR="000313DF">
      <w:rPr>
        <w:b/>
        <w:sz w:val="20"/>
      </w:rPr>
      <w:t>Geospatial Data Analytics</w:t>
    </w:r>
    <w:r w:rsidR="007829A2" w:rsidRPr="007829A2">
      <w:rPr>
        <w:b/>
        <w:sz w:val="20"/>
      </w:rPr>
      <w:t xml:space="preserve">, </w:t>
    </w:r>
    <w:r w:rsidR="000313DF">
      <w:rPr>
        <w:b/>
        <w:sz w:val="20"/>
      </w:rPr>
      <w:t xml:space="preserve">Fall </w:t>
    </w:r>
    <w:r w:rsidR="007829A2" w:rsidRPr="007829A2">
      <w:rPr>
        <w:b/>
        <w:sz w:val="20"/>
      </w:rPr>
      <w:t>2019</w:t>
    </w:r>
    <w:r w:rsidR="007829A2" w:rsidRPr="007829A2">
      <w:rPr>
        <w:b/>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3CD"/>
    <w:multiLevelType w:val="hybridMultilevel"/>
    <w:tmpl w:val="54ACB4D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0850A5"/>
    <w:multiLevelType w:val="hybridMultilevel"/>
    <w:tmpl w:val="9014F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40000"/>
    <w:multiLevelType w:val="hybridMultilevel"/>
    <w:tmpl w:val="635295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500DED"/>
    <w:multiLevelType w:val="hybridMultilevel"/>
    <w:tmpl w:val="BC4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67CFE"/>
    <w:multiLevelType w:val="hybridMultilevel"/>
    <w:tmpl w:val="BD40E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F429EF"/>
    <w:multiLevelType w:val="hybridMultilevel"/>
    <w:tmpl w:val="05A6310A"/>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6" w15:restartNumberingAfterBreak="0">
    <w:nsid w:val="782C013F"/>
    <w:multiLevelType w:val="hybridMultilevel"/>
    <w:tmpl w:val="8E90C49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FC"/>
    <w:rsid w:val="000205CA"/>
    <w:rsid w:val="000313DF"/>
    <w:rsid w:val="000313F3"/>
    <w:rsid w:val="00034E6F"/>
    <w:rsid w:val="00036D37"/>
    <w:rsid w:val="0004136E"/>
    <w:rsid w:val="0005187F"/>
    <w:rsid w:val="00053B25"/>
    <w:rsid w:val="000630F8"/>
    <w:rsid w:val="00082FCA"/>
    <w:rsid w:val="000B7D8B"/>
    <w:rsid w:val="000D0171"/>
    <w:rsid w:val="000D7003"/>
    <w:rsid w:val="000E408B"/>
    <w:rsid w:val="001421BA"/>
    <w:rsid w:val="0017430D"/>
    <w:rsid w:val="00190A17"/>
    <w:rsid w:val="001C444A"/>
    <w:rsid w:val="00214660"/>
    <w:rsid w:val="002267C9"/>
    <w:rsid w:val="002332FC"/>
    <w:rsid w:val="00234F99"/>
    <w:rsid w:val="002560B8"/>
    <w:rsid w:val="00276AAC"/>
    <w:rsid w:val="00287AD0"/>
    <w:rsid w:val="002A1389"/>
    <w:rsid w:val="002A7819"/>
    <w:rsid w:val="002B5B42"/>
    <w:rsid w:val="002B6ED0"/>
    <w:rsid w:val="002C10DB"/>
    <w:rsid w:val="002C4983"/>
    <w:rsid w:val="002D71D8"/>
    <w:rsid w:val="00320C68"/>
    <w:rsid w:val="003604A4"/>
    <w:rsid w:val="00363767"/>
    <w:rsid w:val="003760B6"/>
    <w:rsid w:val="003839BF"/>
    <w:rsid w:val="00393914"/>
    <w:rsid w:val="003A4804"/>
    <w:rsid w:val="003D2B97"/>
    <w:rsid w:val="003F5134"/>
    <w:rsid w:val="003F5363"/>
    <w:rsid w:val="004130D6"/>
    <w:rsid w:val="0042108F"/>
    <w:rsid w:val="00421488"/>
    <w:rsid w:val="00422B2B"/>
    <w:rsid w:val="00423BED"/>
    <w:rsid w:val="00471EAB"/>
    <w:rsid w:val="004827C1"/>
    <w:rsid w:val="00492899"/>
    <w:rsid w:val="00492BAA"/>
    <w:rsid w:val="00514688"/>
    <w:rsid w:val="00536EDF"/>
    <w:rsid w:val="005444A7"/>
    <w:rsid w:val="00580A84"/>
    <w:rsid w:val="00594914"/>
    <w:rsid w:val="005D26B4"/>
    <w:rsid w:val="005D6E8D"/>
    <w:rsid w:val="005E1157"/>
    <w:rsid w:val="00613082"/>
    <w:rsid w:val="006339A4"/>
    <w:rsid w:val="006412F4"/>
    <w:rsid w:val="006B2096"/>
    <w:rsid w:val="006B4164"/>
    <w:rsid w:val="006C14C3"/>
    <w:rsid w:val="006D018C"/>
    <w:rsid w:val="006D1107"/>
    <w:rsid w:val="006E3285"/>
    <w:rsid w:val="006F56C7"/>
    <w:rsid w:val="006F7FF5"/>
    <w:rsid w:val="007136E2"/>
    <w:rsid w:val="00714A1C"/>
    <w:rsid w:val="007400E1"/>
    <w:rsid w:val="00741A38"/>
    <w:rsid w:val="007636C3"/>
    <w:rsid w:val="007829A2"/>
    <w:rsid w:val="007B12C1"/>
    <w:rsid w:val="007C77C9"/>
    <w:rsid w:val="007F42C2"/>
    <w:rsid w:val="0082144F"/>
    <w:rsid w:val="0083443C"/>
    <w:rsid w:val="00837325"/>
    <w:rsid w:val="00842843"/>
    <w:rsid w:val="00844189"/>
    <w:rsid w:val="00844B9C"/>
    <w:rsid w:val="00853455"/>
    <w:rsid w:val="008962F8"/>
    <w:rsid w:val="008A1EFC"/>
    <w:rsid w:val="008B63C5"/>
    <w:rsid w:val="008E57F8"/>
    <w:rsid w:val="008F2078"/>
    <w:rsid w:val="00902AF6"/>
    <w:rsid w:val="00912665"/>
    <w:rsid w:val="009365CA"/>
    <w:rsid w:val="00936D61"/>
    <w:rsid w:val="00955ABD"/>
    <w:rsid w:val="00960C74"/>
    <w:rsid w:val="009645CF"/>
    <w:rsid w:val="009729A0"/>
    <w:rsid w:val="009957AB"/>
    <w:rsid w:val="009B3059"/>
    <w:rsid w:val="009E56D7"/>
    <w:rsid w:val="009F4F00"/>
    <w:rsid w:val="00A11043"/>
    <w:rsid w:val="00A154CB"/>
    <w:rsid w:val="00A2116C"/>
    <w:rsid w:val="00A23E50"/>
    <w:rsid w:val="00A252CB"/>
    <w:rsid w:val="00A344C7"/>
    <w:rsid w:val="00A36E62"/>
    <w:rsid w:val="00A42496"/>
    <w:rsid w:val="00A53570"/>
    <w:rsid w:val="00AD3AA0"/>
    <w:rsid w:val="00AE33DC"/>
    <w:rsid w:val="00AE6CAF"/>
    <w:rsid w:val="00B65194"/>
    <w:rsid w:val="00B8748C"/>
    <w:rsid w:val="00B87DE9"/>
    <w:rsid w:val="00BA6760"/>
    <w:rsid w:val="00BB1C55"/>
    <w:rsid w:val="00BB2320"/>
    <w:rsid w:val="00BD3B20"/>
    <w:rsid w:val="00BE3DB0"/>
    <w:rsid w:val="00BF621D"/>
    <w:rsid w:val="00C04791"/>
    <w:rsid w:val="00C055F2"/>
    <w:rsid w:val="00C1174F"/>
    <w:rsid w:val="00C52754"/>
    <w:rsid w:val="00C52807"/>
    <w:rsid w:val="00C66D67"/>
    <w:rsid w:val="00C92390"/>
    <w:rsid w:val="00CA7C00"/>
    <w:rsid w:val="00CB143A"/>
    <w:rsid w:val="00CE7701"/>
    <w:rsid w:val="00D03EF1"/>
    <w:rsid w:val="00D219AB"/>
    <w:rsid w:val="00D2322E"/>
    <w:rsid w:val="00D324C7"/>
    <w:rsid w:val="00D4103F"/>
    <w:rsid w:val="00D42379"/>
    <w:rsid w:val="00D83BF0"/>
    <w:rsid w:val="00D94D50"/>
    <w:rsid w:val="00DA02ED"/>
    <w:rsid w:val="00DC2CE6"/>
    <w:rsid w:val="00DD0E06"/>
    <w:rsid w:val="00DE5662"/>
    <w:rsid w:val="00E036B6"/>
    <w:rsid w:val="00E74138"/>
    <w:rsid w:val="00E838C3"/>
    <w:rsid w:val="00E86543"/>
    <w:rsid w:val="00E91D44"/>
    <w:rsid w:val="00E93DE3"/>
    <w:rsid w:val="00EC4FB4"/>
    <w:rsid w:val="00ED2367"/>
    <w:rsid w:val="00ED456D"/>
    <w:rsid w:val="00EE6CF1"/>
    <w:rsid w:val="00F009F3"/>
    <w:rsid w:val="00F033D6"/>
    <w:rsid w:val="00F05097"/>
    <w:rsid w:val="00F127FC"/>
    <w:rsid w:val="00F30D74"/>
    <w:rsid w:val="00F336F8"/>
    <w:rsid w:val="00F339B9"/>
    <w:rsid w:val="00F41414"/>
    <w:rsid w:val="00F44808"/>
    <w:rsid w:val="00F656C5"/>
    <w:rsid w:val="00F7013D"/>
    <w:rsid w:val="00F71346"/>
    <w:rsid w:val="00F7295B"/>
    <w:rsid w:val="00F77A21"/>
    <w:rsid w:val="00F92C88"/>
    <w:rsid w:val="00FB0F60"/>
    <w:rsid w:val="00FC28B2"/>
    <w:rsid w:val="00FD2E14"/>
    <w:rsid w:val="00F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7C858"/>
  <w15:chartTrackingRefBased/>
  <w15:docId w15:val="{641692C2-6952-4B4B-8290-931E38AB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C1174F"/>
    <w:rPr>
      <w:color w:val="0000FF"/>
      <w:u w:val="single"/>
    </w:rPr>
  </w:style>
  <w:style w:type="character" w:styleId="FollowedHyperlink">
    <w:name w:val="FollowedHyperlink"/>
    <w:rsid w:val="009F4F00"/>
    <w:rPr>
      <w:color w:val="800080"/>
      <w:u w:val="single"/>
    </w:rPr>
  </w:style>
  <w:style w:type="paragraph" w:styleId="BalloonText">
    <w:name w:val="Balloon Text"/>
    <w:basedOn w:val="Normal"/>
    <w:semiHidden/>
    <w:rsid w:val="00853455"/>
    <w:rPr>
      <w:rFonts w:ascii="Tahoma" w:hAnsi="Tahoma" w:cs="Tahoma"/>
      <w:sz w:val="16"/>
      <w:szCs w:val="16"/>
    </w:rPr>
  </w:style>
  <w:style w:type="paragraph" w:styleId="Caption">
    <w:name w:val="caption"/>
    <w:basedOn w:val="Normal"/>
    <w:next w:val="Normal"/>
    <w:unhideWhenUsed/>
    <w:qFormat/>
    <w:rsid w:val="00EE6CF1"/>
    <w:pPr>
      <w:spacing w:after="200"/>
    </w:pPr>
    <w:rPr>
      <w:i/>
      <w:iCs/>
      <w:color w:val="44546A" w:themeColor="text2"/>
      <w:sz w:val="18"/>
      <w:szCs w:val="18"/>
    </w:rPr>
  </w:style>
  <w:style w:type="table" w:styleId="TableGrid">
    <w:name w:val="Table Grid"/>
    <w:basedOn w:val="TableNormal"/>
    <w:rsid w:val="00896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6082">
      <w:bodyDiv w:val="1"/>
      <w:marLeft w:val="0"/>
      <w:marRight w:val="0"/>
      <w:marTop w:val="0"/>
      <w:marBottom w:val="0"/>
      <w:divBdr>
        <w:top w:val="none" w:sz="0" w:space="0" w:color="auto"/>
        <w:left w:val="none" w:sz="0" w:space="0" w:color="auto"/>
        <w:bottom w:val="none" w:sz="0" w:space="0" w:color="auto"/>
        <w:right w:val="none" w:sz="0" w:space="0" w:color="auto"/>
      </w:divBdr>
      <w:divsChild>
        <w:div w:id="1229270838">
          <w:marLeft w:val="0"/>
          <w:marRight w:val="0"/>
          <w:marTop w:val="0"/>
          <w:marBottom w:val="0"/>
          <w:divBdr>
            <w:top w:val="none" w:sz="0" w:space="0" w:color="auto"/>
            <w:left w:val="none" w:sz="0" w:space="0" w:color="auto"/>
            <w:bottom w:val="none" w:sz="0" w:space="0" w:color="auto"/>
            <w:right w:val="none" w:sz="0" w:space="0" w:color="auto"/>
          </w:divBdr>
        </w:div>
        <w:div w:id="1237977121">
          <w:marLeft w:val="0"/>
          <w:marRight w:val="0"/>
          <w:marTop w:val="0"/>
          <w:marBottom w:val="0"/>
          <w:divBdr>
            <w:top w:val="none" w:sz="0" w:space="0" w:color="auto"/>
            <w:left w:val="none" w:sz="0" w:space="0" w:color="auto"/>
            <w:bottom w:val="none" w:sz="0" w:space="0" w:color="auto"/>
            <w:right w:val="none" w:sz="0" w:space="0" w:color="auto"/>
          </w:divBdr>
        </w:div>
        <w:div w:id="1362169085">
          <w:marLeft w:val="0"/>
          <w:marRight w:val="0"/>
          <w:marTop w:val="0"/>
          <w:marBottom w:val="0"/>
          <w:divBdr>
            <w:top w:val="none" w:sz="0" w:space="0" w:color="auto"/>
            <w:left w:val="none" w:sz="0" w:space="0" w:color="auto"/>
            <w:bottom w:val="none" w:sz="0" w:space="0" w:color="auto"/>
            <w:right w:val="none" w:sz="0" w:space="0" w:color="auto"/>
          </w:divBdr>
        </w:div>
        <w:div w:id="1790469846">
          <w:marLeft w:val="0"/>
          <w:marRight w:val="0"/>
          <w:marTop w:val="0"/>
          <w:marBottom w:val="0"/>
          <w:divBdr>
            <w:top w:val="none" w:sz="0" w:space="0" w:color="auto"/>
            <w:left w:val="none" w:sz="0" w:space="0" w:color="auto"/>
            <w:bottom w:val="none" w:sz="0" w:space="0" w:color="auto"/>
            <w:right w:val="none" w:sz="0" w:space="0" w:color="auto"/>
          </w:divBdr>
        </w:div>
        <w:div w:id="1903132295">
          <w:marLeft w:val="0"/>
          <w:marRight w:val="0"/>
          <w:marTop w:val="0"/>
          <w:marBottom w:val="0"/>
          <w:divBdr>
            <w:top w:val="none" w:sz="0" w:space="0" w:color="auto"/>
            <w:left w:val="none" w:sz="0" w:space="0" w:color="auto"/>
            <w:bottom w:val="none" w:sz="0" w:space="0" w:color="auto"/>
            <w:right w:val="none" w:sz="0" w:space="0" w:color="auto"/>
          </w:divBdr>
        </w:div>
      </w:divsChild>
    </w:div>
    <w:div w:id="892279708">
      <w:bodyDiv w:val="1"/>
      <w:marLeft w:val="0"/>
      <w:marRight w:val="0"/>
      <w:marTop w:val="0"/>
      <w:marBottom w:val="0"/>
      <w:divBdr>
        <w:top w:val="none" w:sz="0" w:space="0" w:color="auto"/>
        <w:left w:val="none" w:sz="0" w:space="0" w:color="auto"/>
        <w:bottom w:val="none" w:sz="0" w:space="0" w:color="auto"/>
        <w:right w:val="none" w:sz="0" w:space="0" w:color="auto"/>
      </w:divBdr>
      <w:divsChild>
        <w:div w:id="828407608">
          <w:marLeft w:val="0"/>
          <w:marRight w:val="0"/>
          <w:marTop w:val="0"/>
          <w:marBottom w:val="0"/>
          <w:divBdr>
            <w:top w:val="none" w:sz="0" w:space="0" w:color="auto"/>
            <w:left w:val="none" w:sz="0" w:space="0" w:color="auto"/>
            <w:bottom w:val="none" w:sz="0" w:space="0" w:color="auto"/>
            <w:right w:val="none" w:sz="0" w:space="0" w:color="auto"/>
          </w:divBdr>
        </w:div>
        <w:div w:id="1243249007">
          <w:marLeft w:val="0"/>
          <w:marRight w:val="0"/>
          <w:marTop w:val="0"/>
          <w:marBottom w:val="0"/>
          <w:divBdr>
            <w:top w:val="none" w:sz="0" w:space="0" w:color="auto"/>
            <w:left w:val="none" w:sz="0" w:space="0" w:color="auto"/>
            <w:bottom w:val="none" w:sz="0" w:space="0" w:color="auto"/>
            <w:right w:val="none" w:sz="0" w:space="0" w:color="auto"/>
          </w:divBdr>
        </w:div>
      </w:divsChild>
    </w:div>
    <w:div w:id="1437362393">
      <w:bodyDiv w:val="1"/>
      <w:marLeft w:val="0"/>
      <w:marRight w:val="0"/>
      <w:marTop w:val="0"/>
      <w:marBottom w:val="0"/>
      <w:divBdr>
        <w:top w:val="none" w:sz="0" w:space="0" w:color="auto"/>
        <w:left w:val="none" w:sz="0" w:space="0" w:color="auto"/>
        <w:bottom w:val="none" w:sz="0" w:space="0" w:color="auto"/>
        <w:right w:val="none" w:sz="0" w:space="0" w:color="auto"/>
      </w:divBdr>
      <w:divsChild>
        <w:div w:id="1467162535">
          <w:marLeft w:val="0"/>
          <w:marRight w:val="0"/>
          <w:marTop w:val="0"/>
          <w:marBottom w:val="0"/>
          <w:divBdr>
            <w:top w:val="none" w:sz="0" w:space="0" w:color="auto"/>
            <w:left w:val="none" w:sz="0" w:space="0" w:color="auto"/>
            <w:bottom w:val="none" w:sz="0" w:space="0" w:color="auto"/>
            <w:right w:val="none" w:sz="0" w:space="0" w:color="auto"/>
          </w:divBdr>
        </w:div>
        <w:div w:id="1787658101">
          <w:marLeft w:val="0"/>
          <w:marRight w:val="0"/>
          <w:marTop w:val="0"/>
          <w:marBottom w:val="0"/>
          <w:divBdr>
            <w:top w:val="none" w:sz="0" w:space="0" w:color="auto"/>
            <w:left w:val="none" w:sz="0" w:space="0" w:color="auto"/>
            <w:bottom w:val="none" w:sz="0" w:space="0" w:color="auto"/>
            <w:right w:val="none" w:sz="0" w:space="0" w:color="auto"/>
          </w:divBdr>
        </w:div>
      </w:divsChild>
    </w:div>
    <w:div w:id="1605073223">
      <w:bodyDiv w:val="1"/>
      <w:marLeft w:val="0"/>
      <w:marRight w:val="0"/>
      <w:marTop w:val="0"/>
      <w:marBottom w:val="0"/>
      <w:divBdr>
        <w:top w:val="none" w:sz="0" w:space="0" w:color="auto"/>
        <w:left w:val="none" w:sz="0" w:space="0" w:color="auto"/>
        <w:bottom w:val="none" w:sz="0" w:space="0" w:color="auto"/>
        <w:right w:val="none" w:sz="0" w:space="0" w:color="auto"/>
      </w:divBdr>
      <w:divsChild>
        <w:div w:id="958611756">
          <w:marLeft w:val="0"/>
          <w:marRight w:val="0"/>
          <w:marTop w:val="0"/>
          <w:marBottom w:val="0"/>
          <w:divBdr>
            <w:top w:val="none" w:sz="0" w:space="0" w:color="auto"/>
            <w:left w:val="none" w:sz="0" w:space="0" w:color="auto"/>
            <w:bottom w:val="none" w:sz="0" w:space="0" w:color="auto"/>
            <w:right w:val="none" w:sz="0" w:space="0" w:color="auto"/>
          </w:divBdr>
        </w:div>
        <w:div w:id="1068650369">
          <w:marLeft w:val="0"/>
          <w:marRight w:val="0"/>
          <w:marTop w:val="0"/>
          <w:marBottom w:val="0"/>
          <w:divBdr>
            <w:top w:val="none" w:sz="0" w:space="0" w:color="auto"/>
            <w:left w:val="none" w:sz="0" w:space="0" w:color="auto"/>
            <w:bottom w:val="none" w:sz="0" w:space="0" w:color="auto"/>
            <w:right w:val="none" w:sz="0" w:space="0" w:color="auto"/>
          </w:divBdr>
        </w:div>
        <w:div w:id="1833720103">
          <w:marLeft w:val="0"/>
          <w:marRight w:val="0"/>
          <w:marTop w:val="0"/>
          <w:marBottom w:val="0"/>
          <w:divBdr>
            <w:top w:val="none" w:sz="0" w:space="0" w:color="auto"/>
            <w:left w:val="none" w:sz="0" w:space="0" w:color="auto"/>
            <w:bottom w:val="none" w:sz="0" w:space="0" w:color="auto"/>
            <w:right w:val="none" w:sz="0" w:space="0" w:color="auto"/>
          </w:divBdr>
        </w:div>
      </w:divsChild>
    </w:div>
    <w:div w:id="1821581095">
      <w:bodyDiv w:val="1"/>
      <w:marLeft w:val="0"/>
      <w:marRight w:val="0"/>
      <w:marTop w:val="0"/>
      <w:marBottom w:val="0"/>
      <w:divBdr>
        <w:top w:val="none" w:sz="0" w:space="0" w:color="auto"/>
        <w:left w:val="none" w:sz="0" w:space="0" w:color="auto"/>
        <w:bottom w:val="none" w:sz="0" w:space="0" w:color="auto"/>
        <w:right w:val="none" w:sz="0" w:space="0" w:color="auto"/>
      </w:divBdr>
      <w:divsChild>
        <w:div w:id="536740843">
          <w:marLeft w:val="0"/>
          <w:marRight w:val="0"/>
          <w:marTop w:val="0"/>
          <w:marBottom w:val="0"/>
          <w:divBdr>
            <w:top w:val="none" w:sz="0" w:space="0" w:color="auto"/>
            <w:left w:val="none" w:sz="0" w:space="0" w:color="auto"/>
            <w:bottom w:val="none" w:sz="0" w:space="0" w:color="auto"/>
            <w:right w:val="none" w:sz="0" w:space="0" w:color="auto"/>
          </w:divBdr>
        </w:div>
        <w:div w:id="677197035">
          <w:marLeft w:val="0"/>
          <w:marRight w:val="0"/>
          <w:marTop w:val="0"/>
          <w:marBottom w:val="0"/>
          <w:divBdr>
            <w:top w:val="none" w:sz="0" w:space="0" w:color="auto"/>
            <w:left w:val="none" w:sz="0" w:space="0" w:color="auto"/>
            <w:bottom w:val="none" w:sz="0" w:space="0" w:color="auto"/>
            <w:right w:val="none" w:sz="0" w:space="0" w:color="auto"/>
          </w:divBdr>
        </w:div>
        <w:div w:id="1241939706">
          <w:marLeft w:val="0"/>
          <w:marRight w:val="0"/>
          <w:marTop w:val="0"/>
          <w:marBottom w:val="0"/>
          <w:divBdr>
            <w:top w:val="none" w:sz="0" w:space="0" w:color="auto"/>
            <w:left w:val="none" w:sz="0" w:space="0" w:color="auto"/>
            <w:bottom w:val="none" w:sz="0" w:space="0" w:color="auto"/>
            <w:right w:val="none" w:sz="0" w:space="0" w:color="auto"/>
          </w:divBdr>
        </w:div>
        <w:div w:id="1617564194">
          <w:marLeft w:val="0"/>
          <w:marRight w:val="0"/>
          <w:marTop w:val="0"/>
          <w:marBottom w:val="0"/>
          <w:divBdr>
            <w:top w:val="none" w:sz="0" w:space="0" w:color="auto"/>
            <w:left w:val="none" w:sz="0" w:space="0" w:color="auto"/>
            <w:bottom w:val="none" w:sz="0" w:space="0" w:color="auto"/>
            <w:right w:val="none" w:sz="0" w:space="0" w:color="auto"/>
          </w:divBdr>
        </w:div>
      </w:divsChild>
    </w:div>
    <w:div w:id="1865286922">
      <w:bodyDiv w:val="1"/>
      <w:marLeft w:val="0"/>
      <w:marRight w:val="0"/>
      <w:marTop w:val="0"/>
      <w:marBottom w:val="0"/>
      <w:divBdr>
        <w:top w:val="none" w:sz="0" w:space="0" w:color="auto"/>
        <w:left w:val="none" w:sz="0" w:space="0" w:color="auto"/>
        <w:bottom w:val="none" w:sz="0" w:space="0" w:color="auto"/>
        <w:right w:val="none" w:sz="0" w:space="0" w:color="auto"/>
      </w:divBdr>
      <w:divsChild>
        <w:div w:id="164636748">
          <w:marLeft w:val="0"/>
          <w:marRight w:val="0"/>
          <w:marTop w:val="0"/>
          <w:marBottom w:val="0"/>
          <w:divBdr>
            <w:top w:val="none" w:sz="0" w:space="0" w:color="auto"/>
            <w:left w:val="none" w:sz="0" w:space="0" w:color="auto"/>
            <w:bottom w:val="none" w:sz="0" w:space="0" w:color="auto"/>
            <w:right w:val="none" w:sz="0" w:space="0" w:color="auto"/>
          </w:divBdr>
        </w:div>
        <w:div w:id="522868204">
          <w:marLeft w:val="0"/>
          <w:marRight w:val="0"/>
          <w:marTop w:val="0"/>
          <w:marBottom w:val="0"/>
          <w:divBdr>
            <w:top w:val="none" w:sz="0" w:space="0" w:color="auto"/>
            <w:left w:val="none" w:sz="0" w:space="0" w:color="auto"/>
            <w:bottom w:val="none" w:sz="0" w:space="0" w:color="auto"/>
            <w:right w:val="none" w:sz="0" w:space="0" w:color="auto"/>
          </w:divBdr>
        </w:div>
        <w:div w:id="1305038711">
          <w:marLeft w:val="0"/>
          <w:marRight w:val="0"/>
          <w:marTop w:val="0"/>
          <w:marBottom w:val="0"/>
          <w:divBdr>
            <w:top w:val="none" w:sz="0" w:space="0" w:color="auto"/>
            <w:left w:val="none" w:sz="0" w:space="0" w:color="auto"/>
            <w:bottom w:val="none" w:sz="0" w:space="0" w:color="auto"/>
            <w:right w:val="none" w:sz="0" w:space="0" w:color="auto"/>
          </w:divBdr>
        </w:div>
        <w:div w:id="1863279787">
          <w:marLeft w:val="0"/>
          <w:marRight w:val="0"/>
          <w:marTop w:val="0"/>
          <w:marBottom w:val="0"/>
          <w:divBdr>
            <w:top w:val="none" w:sz="0" w:space="0" w:color="auto"/>
            <w:left w:val="none" w:sz="0" w:space="0" w:color="auto"/>
            <w:bottom w:val="none" w:sz="0" w:space="0" w:color="auto"/>
            <w:right w:val="none" w:sz="0" w:space="0" w:color="auto"/>
          </w:divBdr>
        </w:div>
        <w:div w:id="1903170547">
          <w:marLeft w:val="0"/>
          <w:marRight w:val="0"/>
          <w:marTop w:val="0"/>
          <w:marBottom w:val="0"/>
          <w:divBdr>
            <w:top w:val="none" w:sz="0" w:space="0" w:color="auto"/>
            <w:left w:val="none" w:sz="0" w:space="0" w:color="auto"/>
            <w:bottom w:val="none" w:sz="0" w:space="0" w:color="auto"/>
            <w:right w:val="none" w:sz="0" w:space="0" w:color="auto"/>
          </w:divBdr>
        </w:div>
      </w:divsChild>
    </w:div>
    <w:div w:id="1880824929">
      <w:bodyDiv w:val="1"/>
      <w:marLeft w:val="0"/>
      <w:marRight w:val="0"/>
      <w:marTop w:val="0"/>
      <w:marBottom w:val="0"/>
      <w:divBdr>
        <w:top w:val="none" w:sz="0" w:space="0" w:color="auto"/>
        <w:left w:val="none" w:sz="0" w:space="0" w:color="auto"/>
        <w:bottom w:val="none" w:sz="0" w:space="0" w:color="auto"/>
        <w:right w:val="none" w:sz="0" w:space="0" w:color="auto"/>
      </w:divBdr>
      <w:divsChild>
        <w:div w:id="228002352">
          <w:marLeft w:val="0"/>
          <w:marRight w:val="0"/>
          <w:marTop w:val="0"/>
          <w:marBottom w:val="0"/>
          <w:divBdr>
            <w:top w:val="none" w:sz="0" w:space="0" w:color="auto"/>
            <w:left w:val="none" w:sz="0" w:space="0" w:color="auto"/>
            <w:bottom w:val="none" w:sz="0" w:space="0" w:color="auto"/>
            <w:right w:val="none" w:sz="0" w:space="0" w:color="auto"/>
          </w:divBdr>
        </w:div>
        <w:div w:id="1280407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ps.indiana.edu/layerGallery.html?category=Cen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6302-AD66-442D-B0A4-170D67DBB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Gender in population</vt:lpstr>
    </vt:vector>
  </TitlesOfParts>
  <Company>purdue university</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in population</dc:title>
  <dc:subject/>
  <dc:creator>Anonymous</dc:creator>
  <cp:keywords/>
  <cp:lastModifiedBy>William Downing</cp:lastModifiedBy>
  <cp:revision>24</cp:revision>
  <cp:lastPrinted>2019-11-08T20:06:00Z</cp:lastPrinted>
  <dcterms:created xsi:type="dcterms:W3CDTF">2019-11-05T20:03:00Z</dcterms:created>
  <dcterms:modified xsi:type="dcterms:W3CDTF">2019-11-08T20:06:00Z</dcterms:modified>
</cp:coreProperties>
</file>