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6731FA95" w:rsidR="008E7715" w:rsidRDefault="00034080" w:rsidP="00402FDD">
      <w:pPr>
        <w:pStyle w:val="Title"/>
        <w:spacing w:line="480" w:lineRule="auto"/>
      </w:pPr>
      <w:r>
        <w:t>The Har</w:t>
      </w:r>
      <w:r w:rsidR="00313A5A">
        <w:t>d</w:t>
      </w:r>
      <w:r>
        <w:t xml:space="preserve"> Side of </w:t>
      </w:r>
      <w:commentRangeStart w:id="0"/>
      <w:r>
        <w:t>Software</w:t>
      </w:r>
      <w:commentRangeEnd w:id="0"/>
      <w:r w:rsidR="00070CC5">
        <w:rPr>
          <w:rStyle w:val="CommentReference"/>
          <w:rFonts w:eastAsiaTheme="minorHAnsi" w:cstheme="minorBidi"/>
          <w:color w:val="000000" w:themeColor="text1"/>
          <w:spacing w:val="0"/>
          <w:kern w:val="0"/>
        </w:rPr>
        <w:commentReference w:id="0"/>
      </w:r>
      <w:r w:rsidR="0002502C">
        <w:t>:</w:t>
      </w:r>
      <w:r w:rsidR="00F51B1F">
        <w:t xml:space="preserve"> The Difficulty of Patenting Software Amid Abstract Ideas </w:t>
      </w:r>
    </w:p>
    <w:p w14:paraId="06D7D926" w14:textId="5954A423" w:rsidR="008E7715" w:rsidRDefault="008E7715" w:rsidP="00402FDD">
      <w:pPr>
        <w:pStyle w:val="Heading1"/>
        <w:spacing w:line="480" w:lineRule="auto"/>
      </w:pPr>
      <w:r>
        <w:t>INTRODUCTION</w:t>
      </w:r>
    </w:p>
    <w:p w14:paraId="1F29C182" w14:textId="1E9C93D4" w:rsidR="00020A90" w:rsidRPr="000D4D15" w:rsidRDefault="00941EFB" w:rsidP="00402FDD">
      <w:pPr>
        <w:spacing w:line="480" w:lineRule="auto"/>
        <w:ind w:firstLine="720"/>
        <w:contextualSpacing/>
      </w:pPr>
      <w:r>
        <w:t>The United States Patent System is rooted in the Constitution and first laid out in law by the Patent Act of 1790.</w:t>
      </w:r>
      <w:r>
        <w:rPr>
          <w:rStyle w:val="FootnoteReference"/>
        </w:rPr>
        <w:footnoteReference w:id="1"/>
      </w:r>
      <w:r>
        <w:t xml:space="preserve"> </w:t>
      </w:r>
      <w:r w:rsidR="0051363C">
        <w:t xml:space="preserve">The first patent granted by the United States of America was to Samuel Hopkins for </w:t>
      </w:r>
      <w:r w:rsidR="000356D6">
        <w:t>an improved method for creating pot ash and pearl ash</w:t>
      </w:r>
      <w:commentRangeStart w:id="1"/>
      <w:r w:rsidR="000356D6">
        <w:t>.</w:t>
      </w:r>
      <w:commentRangeStart w:id="2"/>
      <w:r w:rsidR="00AE7D84">
        <w:rPr>
          <w:rStyle w:val="FootnoteReference"/>
        </w:rPr>
        <w:footnoteReference w:id="2"/>
      </w:r>
      <w:commentRangeEnd w:id="1"/>
      <w:r w:rsidR="00F637B4">
        <w:rPr>
          <w:rStyle w:val="CommentReference"/>
        </w:rPr>
        <w:commentReference w:id="1"/>
      </w:r>
      <w:r w:rsidR="000356D6">
        <w:t xml:space="preserve"> </w:t>
      </w:r>
      <w:commentRangeEnd w:id="2"/>
      <w:r w:rsidR="00A910A7">
        <w:rPr>
          <w:rStyle w:val="CommentReference"/>
        </w:rPr>
        <w:commentReference w:id="2"/>
      </w:r>
      <w:r>
        <w:t>Today</w:t>
      </w:r>
      <w:r w:rsidR="00CC35F4">
        <w:t xml:space="preserve">, </w:t>
      </w:r>
      <w:r>
        <w:t>patent law is codified in Title 35 of the United States Code as enacted Congress in 1952</w:t>
      </w:r>
      <w:r>
        <w:rPr>
          <w:rStyle w:val="FootnoteReference"/>
        </w:rPr>
        <w:footnoteReference w:id="3"/>
      </w:r>
      <w:r w:rsidR="00AC5392">
        <w:t>,</w:t>
      </w:r>
      <w:r>
        <w:t xml:space="preserve"> </w:t>
      </w:r>
      <w:r w:rsidR="00CC35F4">
        <w:t xml:space="preserve">the United States Patent and Trademark Office (“USPTO”) </w:t>
      </w:r>
      <w:r w:rsidR="00C926EC">
        <w:t xml:space="preserve">has </w:t>
      </w:r>
      <w:r w:rsidR="00CC35F4">
        <w:t>issued its ten millionth patent</w:t>
      </w:r>
      <w:r w:rsidR="00C926EC">
        <w:t>;</w:t>
      </w:r>
      <w:r w:rsidR="00E01265">
        <w:t xml:space="preserve"> </w:t>
      </w:r>
      <w:r w:rsidR="003306D2">
        <w:t>computer</w:t>
      </w:r>
      <w:r w:rsidR="00BC06F0">
        <w:t xml:space="preserve"> </w:t>
      </w:r>
      <w:r w:rsidR="003306D2">
        <w:t>and software</w:t>
      </w:r>
      <w:r w:rsidR="00BC06F0">
        <w:t xml:space="preserve"> related patents</w:t>
      </w:r>
      <w:r w:rsidR="003306D2">
        <w:t xml:space="preserve"> reign supreme, </w:t>
      </w:r>
      <w:r w:rsidR="00567587">
        <w:t>the by</w:t>
      </w:r>
      <w:r w:rsidR="006B4078">
        <w:t>products of</w:t>
      </w:r>
      <w:r w:rsidR="003306D2">
        <w:t xml:space="preserve"> a </w:t>
      </w:r>
      <w:r w:rsidR="00C71B70">
        <w:t xml:space="preserve">global economy </w:t>
      </w:r>
      <w:r w:rsidR="00567587">
        <w:t xml:space="preserve">increasingly </w:t>
      </w:r>
      <w:r w:rsidR="006B4078">
        <w:t>dependent on</w:t>
      </w:r>
      <w:r w:rsidR="00C30F99">
        <w:t xml:space="preserve"> computer technology</w:t>
      </w:r>
      <w:r w:rsidR="00C71B70">
        <w:t>.</w:t>
      </w:r>
      <w:r w:rsidR="00E01265">
        <w:rPr>
          <w:rStyle w:val="FootnoteReference"/>
        </w:rPr>
        <w:footnoteReference w:id="4"/>
      </w:r>
      <w:r w:rsidR="003F7F77">
        <w:t xml:space="preserve"> </w:t>
      </w:r>
      <w:r w:rsidR="00A148E5">
        <w:t>E</w:t>
      </w:r>
      <w:r w:rsidR="00AD1352">
        <w:t xml:space="preserve">ach year half of the patents issued by </w:t>
      </w:r>
      <w:r w:rsidR="00267940">
        <w:t>the USPTO are related to software.</w:t>
      </w:r>
      <w:commentRangeStart w:id="3"/>
      <w:r w:rsidR="00FE44F1">
        <w:rPr>
          <w:rStyle w:val="FootnoteReference"/>
        </w:rPr>
        <w:footnoteReference w:id="5"/>
      </w:r>
      <w:r w:rsidR="0029185C">
        <w:t xml:space="preserve"> </w:t>
      </w:r>
      <w:commentRangeEnd w:id="3"/>
      <w:r w:rsidR="00F637B4">
        <w:rPr>
          <w:rStyle w:val="CommentReference"/>
        </w:rPr>
        <w:commentReference w:id="3"/>
      </w:r>
      <w:r w:rsidR="00B76769" w:rsidRPr="00B76769">
        <w:t xml:space="preserve"> </w:t>
      </w:r>
      <w:r w:rsidR="00B76769">
        <w:t>Despite the ubiquity of computer technology, software patents can be difficult to obtain and defend</w:t>
      </w:r>
      <w:r w:rsidR="006120D1">
        <w:t>.</w:t>
      </w:r>
      <w:r w:rsidR="00414ACD">
        <w:rPr>
          <w:rStyle w:val="FootnoteReference"/>
        </w:rPr>
        <w:footnoteReference w:id="6"/>
      </w:r>
      <w:r w:rsidR="006120D1">
        <w:t xml:space="preserve"> </w:t>
      </w:r>
      <w:r w:rsidR="00853FAB" w:rsidRPr="002327E7">
        <w:rPr>
          <w:color w:val="FF0000"/>
        </w:rPr>
        <w:t xml:space="preserve">[Per Arielle’s comment, give some context. Let’s make this </w:t>
      </w:r>
      <w:r w:rsidR="002327E7" w:rsidRPr="002327E7">
        <w:rPr>
          <w:color w:val="FF0000"/>
        </w:rPr>
        <w:t>intro YUGE</w:t>
      </w:r>
      <w:r w:rsidR="00853FAB" w:rsidRPr="002327E7">
        <w:rPr>
          <w:color w:val="FF0000"/>
        </w:rPr>
        <w:t>]</w:t>
      </w:r>
      <w:r w:rsidR="002327E7" w:rsidRPr="002327E7">
        <w:rPr>
          <w:color w:val="FF0000"/>
        </w:rPr>
        <w:t xml:space="preserve"> </w:t>
      </w:r>
      <w:r w:rsidR="00330FED">
        <w:t xml:space="preserve">In the wake of </w:t>
      </w:r>
      <w:r w:rsidR="001F4D74">
        <w:t xml:space="preserve">the </w:t>
      </w:r>
      <w:commentRangeStart w:id="4"/>
      <w:r w:rsidR="00330FED">
        <w:rPr>
          <w:i/>
        </w:rPr>
        <w:t>B</w:t>
      </w:r>
      <w:r w:rsidR="001F4D74">
        <w:rPr>
          <w:i/>
        </w:rPr>
        <w:t>erkheimer v. HP</w:t>
      </w:r>
      <w:r w:rsidR="001F4D74">
        <w:t xml:space="preserve"> decision</w:t>
      </w:r>
      <w:commentRangeEnd w:id="4"/>
      <w:r w:rsidR="006A0586">
        <w:rPr>
          <w:rStyle w:val="CommentReference"/>
        </w:rPr>
        <w:commentReference w:id="4"/>
      </w:r>
      <w:r w:rsidR="00B057A5">
        <w:rPr>
          <w:rStyle w:val="FootnoteReference"/>
        </w:rPr>
        <w:footnoteReference w:id="7"/>
      </w:r>
      <w:r w:rsidR="001F4D74">
        <w:t xml:space="preserve">, the USPTO issued the Berkheimer </w:t>
      </w:r>
      <w:r w:rsidR="00092B4F">
        <w:t>Memo</w:t>
      </w:r>
      <w:r w:rsidR="00F323D9">
        <w:t>, which severely limited how patent examiners reject patent applications for not meeting the requirements for patent eligibility contained and implied by 35 U.S.C. § 101.</w:t>
      </w:r>
      <w:r w:rsidR="00B057A5">
        <w:rPr>
          <w:rStyle w:val="FootnoteReference"/>
        </w:rPr>
        <w:footnoteReference w:id="8"/>
      </w:r>
      <w:r w:rsidR="00CF79D8">
        <w:t xml:space="preserve"> </w:t>
      </w:r>
      <w:r w:rsidR="006B6357">
        <w:t>This change eased the burden o</w:t>
      </w:r>
      <w:r w:rsidR="00C06903">
        <w:t>n</w:t>
      </w:r>
      <w:r w:rsidR="006B6357">
        <w:t xml:space="preserve"> </w:t>
      </w:r>
      <w:commentRangeStart w:id="5"/>
      <w:r w:rsidR="006B6357">
        <w:t>applicant</w:t>
      </w:r>
      <w:r w:rsidR="00C06903">
        <w:t>s</w:t>
      </w:r>
      <w:r w:rsidR="006B6357">
        <w:t xml:space="preserve"> seeking software patents</w:t>
      </w:r>
      <w:r w:rsidR="000D0BD7">
        <w:t xml:space="preserve">, </w:t>
      </w:r>
      <w:commentRangeEnd w:id="5"/>
      <w:r w:rsidR="006A0586">
        <w:rPr>
          <w:rStyle w:val="CommentReference"/>
        </w:rPr>
        <w:commentReference w:id="5"/>
      </w:r>
      <w:r w:rsidR="00C06903">
        <w:t>but</w:t>
      </w:r>
      <w:r w:rsidR="000D0BD7">
        <w:t xml:space="preserve"> </w:t>
      </w:r>
      <w:r w:rsidR="00C06903">
        <w:t xml:space="preserve">also </w:t>
      </w:r>
      <w:r w:rsidR="000D0BD7">
        <w:t xml:space="preserve">created </w:t>
      </w:r>
      <w:r w:rsidR="003668E5">
        <w:t xml:space="preserve">a </w:t>
      </w:r>
      <w:r w:rsidR="006D7A73">
        <w:t xml:space="preserve">diverging standard between the judicial system and the USPTO’s </w:t>
      </w:r>
      <w:r w:rsidR="00FE7E7C">
        <w:t xml:space="preserve">standard for approval, which </w:t>
      </w:r>
      <w:r w:rsidR="00C06903">
        <w:t xml:space="preserve">could </w:t>
      </w:r>
      <w:r w:rsidR="00FE7E7C">
        <w:t xml:space="preserve">lead to </w:t>
      </w:r>
      <w:r w:rsidR="00FE7E7C">
        <w:lastRenderedPageBreak/>
        <w:t xml:space="preserve">granting invalid </w:t>
      </w:r>
      <w:commentRangeStart w:id="6"/>
      <w:r w:rsidR="00FE7E7C">
        <w:t>patents</w:t>
      </w:r>
      <w:commentRangeEnd w:id="6"/>
      <w:r w:rsidR="00C06903">
        <w:rPr>
          <w:rStyle w:val="CommentReference"/>
        </w:rPr>
        <w:commentReference w:id="6"/>
      </w:r>
      <w:r w:rsidR="00FE7E7C">
        <w:t>.</w:t>
      </w:r>
      <w:r w:rsidR="000D0BD7">
        <w:t xml:space="preserve"> </w:t>
      </w:r>
      <w:r w:rsidR="00872B1B">
        <w:t xml:space="preserve">The </w:t>
      </w:r>
      <w:r w:rsidR="00830921">
        <w:t xml:space="preserve">patent system has too long shoe-horned </w:t>
      </w:r>
      <w:r w:rsidR="00F1125C">
        <w:t xml:space="preserve">software patents into an </w:t>
      </w:r>
      <w:r w:rsidR="00572FF2">
        <w:t>antiquated</w:t>
      </w:r>
      <w:r w:rsidR="00F1125C">
        <w:t xml:space="preserve"> system </w:t>
      </w:r>
      <w:r w:rsidR="00572FF2">
        <w:t xml:space="preserve">designed to </w:t>
      </w:r>
      <w:r w:rsidR="009145C0">
        <w:t xml:space="preserve">encourage innovation of only physical inventions. </w:t>
      </w:r>
      <w:r w:rsidR="00424492" w:rsidRPr="00424492">
        <w:rPr>
          <w:color w:val="FF0000"/>
        </w:rPr>
        <w:t xml:space="preserve">[Thesis. </w:t>
      </w:r>
      <w:r w:rsidR="00424492">
        <w:rPr>
          <w:color w:val="FF0000"/>
        </w:rPr>
        <w:t>THESIS HERE</w:t>
      </w:r>
      <w:r w:rsidR="00424492" w:rsidRPr="00424492">
        <w:rPr>
          <w:color w:val="FF0000"/>
        </w:rPr>
        <w:t>].</w:t>
      </w:r>
      <w:r w:rsidR="00424492">
        <w:t xml:space="preserve"> </w:t>
      </w:r>
      <w:r w:rsidR="009145C0">
        <w:t xml:space="preserve">This note will </w:t>
      </w:r>
      <w:r w:rsidR="00480F67">
        <w:t xml:space="preserve">guide readers through the legislative history and standards regarding </w:t>
      </w:r>
      <w:r w:rsidR="000D4D15">
        <w:t xml:space="preserve">software patents, the repercussions of the </w:t>
      </w:r>
      <w:r w:rsidR="000D4D15">
        <w:rPr>
          <w:i/>
        </w:rPr>
        <w:t xml:space="preserve">Berkheimer </w:t>
      </w:r>
      <w:r w:rsidR="000D4D15">
        <w:t xml:space="preserve">decision, and </w:t>
      </w:r>
      <w:r w:rsidR="00DB2AE3">
        <w:t xml:space="preserve">a possible solution to this patent software dilemma: </w:t>
      </w:r>
      <w:commentRangeStart w:id="7"/>
      <w:r w:rsidR="00DB2AE3">
        <w:t xml:space="preserve">updating the </w:t>
      </w:r>
      <w:r w:rsidR="008F5FB1">
        <w:t xml:space="preserve">United States </w:t>
      </w:r>
      <w:r w:rsidR="00DB2AE3">
        <w:t>patent system</w:t>
      </w:r>
      <w:commentRangeStart w:id="8"/>
      <w:r w:rsidR="008F5FB1">
        <w:t>.</w:t>
      </w:r>
      <w:r w:rsidR="00DB2AE3">
        <w:t xml:space="preserve"> </w:t>
      </w:r>
      <w:commentRangeEnd w:id="7"/>
      <w:r w:rsidR="00DC52B8">
        <w:rPr>
          <w:rStyle w:val="CommentReference"/>
        </w:rPr>
        <w:commentReference w:id="7"/>
      </w:r>
      <w:commentRangeEnd w:id="8"/>
      <w:r w:rsidR="006A0586">
        <w:rPr>
          <w:rStyle w:val="CommentReference"/>
        </w:rPr>
        <w:commentReference w:id="8"/>
      </w:r>
    </w:p>
    <w:p w14:paraId="64828A07" w14:textId="322806F5" w:rsidR="00D83BBB" w:rsidRDefault="008E7715" w:rsidP="00402FDD">
      <w:pPr>
        <w:pStyle w:val="Heading1"/>
        <w:spacing w:line="480" w:lineRule="auto"/>
      </w:pPr>
      <w:commentRangeStart w:id="9"/>
      <w:r>
        <w:t>BACKGROUND</w:t>
      </w:r>
      <w:commentRangeEnd w:id="9"/>
      <w:r w:rsidR="002111E1">
        <w:rPr>
          <w:rStyle w:val="CommentReference"/>
          <w:rFonts w:eastAsiaTheme="minorHAnsi" w:cstheme="minorBidi"/>
        </w:rPr>
        <w:commentReference w:id="9"/>
      </w:r>
      <w:r w:rsidR="00623445">
        <w:t xml:space="preserve">: Hurdles </w:t>
      </w:r>
      <w:r w:rsidR="00FA0E19">
        <w:t>&amp; History of Software Patent</w:t>
      </w:r>
      <w:r w:rsidR="009753D8">
        <w:t>s</w:t>
      </w:r>
    </w:p>
    <w:p w14:paraId="240C8D71" w14:textId="0A52E48D" w:rsidR="00084666" w:rsidRPr="00084666" w:rsidRDefault="00084666" w:rsidP="00402FDD">
      <w:pPr>
        <w:pStyle w:val="Heading2"/>
        <w:spacing w:line="480" w:lineRule="auto"/>
        <w:contextualSpacing/>
      </w:pPr>
      <w:r>
        <w:t>The Easy Hurdle: Patentability</w:t>
      </w:r>
    </w:p>
    <w:p w14:paraId="20325A4A" w14:textId="3E04A218" w:rsidR="00727014" w:rsidRDefault="008E7715" w:rsidP="00402FDD">
      <w:pPr>
        <w:spacing w:line="480" w:lineRule="auto"/>
        <w:contextualSpacing/>
      </w:pPr>
      <w:r>
        <w:tab/>
      </w:r>
      <w:r w:rsidR="00826F6B">
        <w:t>P</w:t>
      </w:r>
      <w:r w:rsidR="00B746B7">
        <w:t xml:space="preserve">atents may be </w:t>
      </w:r>
      <w:commentRangeStart w:id="10"/>
      <w:r w:rsidR="00B746B7">
        <w:t xml:space="preserve">obtained </w:t>
      </w:r>
      <w:commentRangeEnd w:id="10"/>
      <w:r w:rsidR="006A0586">
        <w:rPr>
          <w:rStyle w:val="CommentReference"/>
        </w:rPr>
        <w:commentReference w:id="10"/>
      </w:r>
      <w:r w:rsidR="00B746B7">
        <w:t>for</w:t>
      </w:r>
      <w:r w:rsidR="007B5C08">
        <w:t xml:space="preserve"> “</w:t>
      </w:r>
      <w:r w:rsidR="007B5C08" w:rsidRPr="007B5C08">
        <w:t>any new and useful process, machine, manufacture, or composition of matter, or any new and useful improvement thereof</w:t>
      </w:r>
      <w:r w:rsidR="005915DA">
        <w:t>.”</w:t>
      </w:r>
      <w:r w:rsidR="00261537">
        <w:rPr>
          <w:rStyle w:val="FootnoteReference"/>
        </w:rPr>
        <w:footnoteReference w:id="9"/>
      </w:r>
      <w:r w:rsidR="00015828">
        <w:t xml:space="preserve"> </w:t>
      </w:r>
      <w:r w:rsidR="005A6A56">
        <w:t>This broad statement is qualified by the concepts of</w:t>
      </w:r>
      <w:r w:rsidR="00440340">
        <w:t xml:space="preserve"> </w:t>
      </w:r>
      <w:r w:rsidR="00D14C5A">
        <w:t>patentability and patent eligibility</w:t>
      </w:r>
      <w:r w:rsidR="008F7343">
        <w:t>, which are</w:t>
      </w:r>
      <w:r w:rsidR="00A92CF2">
        <w:t xml:space="preserve"> </w:t>
      </w:r>
      <w:r w:rsidR="008F7343">
        <w:t>defined</w:t>
      </w:r>
      <w:r w:rsidR="00A92CF2">
        <w:t xml:space="preserve"> by both statute and judicial rulings.</w:t>
      </w:r>
      <w:r w:rsidR="00A92CF2">
        <w:rPr>
          <w:rStyle w:val="FootnoteReference"/>
        </w:rPr>
        <w:footnoteReference w:id="10"/>
      </w:r>
      <w:r w:rsidR="00A92CF2">
        <w:t xml:space="preserve"> </w:t>
      </w:r>
      <w:r w:rsidR="0054099B">
        <w:t xml:space="preserve">Patentability </w:t>
      </w:r>
      <w:r w:rsidR="003F04C9">
        <w:t>describes the standards to receive a patent, requiring</w:t>
      </w:r>
      <w:r w:rsidR="0054099B">
        <w:t xml:space="preserve"> a</w:t>
      </w:r>
      <w:r w:rsidR="00710212">
        <w:t>n</w:t>
      </w:r>
      <w:r w:rsidR="0054099B">
        <w:t xml:space="preserve"> </w:t>
      </w:r>
      <w:r w:rsidR="00710212">
        <w:t>invention</w:t>
      </w:r>
      <w:r w:rsidR="00B00D3E">
        <w:t xml:space="preserve"> to be</w:t>
      </w:r>
      <w:r w:rsidR="0054099B">
        <w:t xml:space="preserve"> novel</w:t>
      </w:r>
      <w:r w:rsidR="00B00D3E">
        <w:t xml:space="preserve"> and </w:t>
      </w:r>
      <w:r w:rsidR="0054099B">
        <w:t xml:space="preserve">nonobvious, </w:t>
      </w:r>
      <w:r w:rsidR="00B86205">
        <w:t xml:space="preserve">and </w:t>
      </w:r>
      <w:r w:rsidR="0054099B">
        <w:t>disclose</w:t>
      </w:r>
      <w:r w:rsidR="00B86205">
        <w:t>d</w:t>
      </w:r>
      <w:r w:rsidR="0054099B">
        <w:t xml:space="preserve"> </w:t>
      </w:r>
      <w:r w:rsidR="00B86205">
        <w:t>in</w:t>
      </w:r>
      <w:r w:rsidR="0054099B">
        <w:t xml:space="preserve"> detail.</w:t>
      </w:r>
      <w:r w:rsidR="0054099B">
        <w:rPr>
          <w:rStyle w:val="FootnoteReference"/>
        </w:rPr>
        <w:footnoteReference w:id="11"/>
      </w:r>
      <w:r w:rsidR="00F84B82">
        <w:t>[</w:t>
      </w:r>
      <w:r w:rsidR="00F84B82" w:rsidRPr="00F84B82">
        <w:rPr>
          <w:color w:val="FF0000"/>
        </w:rPr>
        <w:t>Discuss how patentability is actually usually pretty easy to get around and isn’t at issue here].</w:t>
      </w:r>
      <w:r w:rsidR="00F84B82">
        <w:t xml:space="preserve"> </w:t>
      </w:r>
      <w:r w:rsidR="001C2304">
        <w:t>The second standard, p</w:t>
      </w:r>
      <w:r w:rsidR="00A432A4">
        <w:t>atent eligib</w:t>
      </w:r>
      <w:r w:rsidR="00302FAA">
        <w:t>ility</w:t>
      </w:r>
      <w:r w:rsidR="001C2304">
        <w:t>,</w:t>
      </w:r>
      <w:r w:rsidR="00523272">
        <w:t xml:space="preserve"> </w:t>
      </w:r>
      <w:r w:rsidR="003F04C9">
        <w:t>concerns</w:t>
      </w:r>
      <w:r w:rsidR="00523272">
        <w:t xml:space="preserve"> what subject matter </w:t>
      </w:r>
      <w:r w:rsidR="00A864CA">
        <w:t>warrants the incentives and protections provided by patent law</w:t>
      </w:r>
      <w:r w:rsidR="0054099B">
        <w:t>.</w:t>
      </w:r>
      <w:r w:rsidR="00543F69">
        <w:rPr>
          <w:rStyle w:val="FootnoteReference"/>
        </w:rPr>
        <w:footnoteReference w:id="12"/>
      </w:r>
      <w:r w:rsidR="00302FAA">
        <w:t xml:space="preserve"> </w:t>
      </w:r>
      <w:r w:rsidR="00FF55EB">
        <w:t>These two stand</w:t>
      </w:r>
      <w:r w:rsidR="00C25E59">
        <w:t>ards are closely related and are often conflated by courts when patent validity is considered.</w:t>
      </w:r>
      <w:r w:rsidR="00C25E59">
        <w:rPr>
          <w:rStyle w:val="FootnoteReference"/>
        </w:rPr>
        <w:footnoteReference w:id="13"/>
      </w:r>
      <w:r w:rsidR="008A0C66">
        <w:t xml:space="preserve"> </w:t>
      </w:r>
    </w:p>
    <w:p w14:paraId="52CB3661" w14:textId="58F201E6" w:rsidR="005D7D2B" w:rsidRDefault="005D7D2B" w:rsidP="00402FDD">
      <w:pPr>
        <w:spacing w:line="480" w:lineRule="auto"/>
        <w:contextualSpacing/>
      </w:pPr>
      <w:r>
        <w:tab/>
      </w:r>
    </w:p>
    <w:p w14:paraId="136AA0EB" w14:textId="7C50F1D6" w:rsidR="00C837DD" w:rsidRDefault="000C0C06" w:rsidP="00402FDD">
      <w:pPr>
        <w:pStyle w:val="Heading2"/>
        <w:spacing w:line="480" w:lineRule="auto"/>
        <w:contextualSpacing/>
      </w:pPr>
      <w:r>
        <w:lastRenderedPageBreak/>
        <w:t xml:space="preserve">Patent Eligibility: </w:t>
      </w:r>
      <w:r w:rsidR="00A83E83">
        <w:t>Laws of Nature</w:t>
      </w:r>
      <w:r>
        <w:t>, Natural Phenomena, and Abstract Ideas</w:t>
      </w:r>
    </w:p>
    <w:p w14:paraId="37F8A0A2" w14:textId="14C78A41" w:rsidR="00896241" w:rsidRDefault="00896241" w:rsidP="00402FDD">
      <w:pPr>
        <w:spacing w:line="480" w:lineRule="auto"/>
        <w:ind w:firstLine="720"/>
        <w:contextualSpacing/>
      </w:pPr>
      <w:r>
        <w:t>The Supreme Court holds the statutory language “</w:t>
      </w:r>
      <w:r w:rsidRPr="007B5C08">
        <w:t>any new and useful process, machine, manufacture, or composition of matter, or any new and useful improvement thereof</w:t>
      </w:r>
      <w:r>
        <w:t>” contains an implicit exception disallowing patents for laws of nature, natural phenomena, and abstract ideas.</w:t>
      </w:r>
      <w:r>
        <w:rPr>
          <w:rStyle w:val="FootnoteReference"/>
        </w:rPr>
        <w:footnoteReference w:id="14"/>
      </w:r>
      <w:r>
        <w:t xml:space="preserve"> These three exceptions prevent monopolies on foundational laws and concepts that many technologies may depend on, insuring that the limited monopoly provided for by law does not hinder innovation.</w:t>
      </w:r>
      <w:r>
        <w:rPr>
          <w:rStyle w:val="FootnoteReference"/>
        </w:rPr>
        <w:footnoteReference w:id="15"/>
      </w:r>
      <w:r>
        <w:t xml:space="preserve"> However, too broad an interpretation of these exceptions would also impede the patenting of important discoveries, therefore an invention or discovery cannot be unpatentable merely because it contains natural phenomena or algorithm.</w:t>
      </w:r>
      <w:r>
        <w:rPr>
          <w:rStyle w:val="FootnoteReference"/>
        </w:rPr>
        <w:footnoteReference w:id="16"/>
      </w:r>
      <w:r>
        <w:t xml:space="preserve"> </w:t>
      </w:r>
    </w:p>
    <w:p w14:paraId="0A180F82" w14:textId="10120012" w:rsidR="009A43A0" w:rsidRDefault="008B6215" w:rsidP="00402FDD">
      <w:pPr>
        <w:spacing w:line="480" w:lineRule="auto"/>
        <w:ind w:firstLine="720"/>
        <w:contextualSpacing/>
      </w:pPr>
      <w:commentRangeStart w:id="11"/>
      <w:r>
        <w:t xml:space="preserve">These </w:t>
      </w:r>
      <w:r w:rsidR="009C560A">
        <w:t xml:space="preserve">three exceptions </w:t>
      </w:r>
      <w:r w:rsidR="007328A4">
        <w:t>not always clearly defined or distinct from one another</w:t>
      </w:r>
      <w:r w:rsidR="00713A69">
        <w:t xml:space="preserve">. Laws of nature </w:t>
      </w:r>
      <w:r w:rsidR="00976316">
        <w:t>in</w:t>
      </w:r>
      <w:r w:rsidR="00BC7A58">
        <w:t xml:space="preserve">clude well known </w:t>
      </w:r>
      <w:r w:rsidR="00B04C07">
        <w:t xml:space="preserve">laws of physics such as gravity or Einstein’s famous </w:t>
      </w:r>
      <w:r w:rsidR="00067B22">
        <w:t>“</w:t>
      </w:r>
      <w:r w:rsidR="00B04C07">
        <w:t>E = mc</w:t>
      </w:r>
      <w:r w:rsidR="00B04C07">
        <w:rPr>
          <w:vertAlign w:val="superscript"/>
        </w:rPr>
        <w:t>2</w:t>
      </w:r>
      <w:r w:rsidR="00067B22">
        <w:t>”</w:t>
      </w:r>
      <w:r w:rsidR="002A4D95">
        <w:t>.</w:t>
      </w:r>
      <w:r w:rsidR="00383A40">
        <w:rPr>
          <w:rStyle w:val="FootnoteReference"/>
        </w:rPr>
        <w:footnoteReference w:id="17"/>
      </w:r>
      <w:r w:rsidR="002A4D95">
        <w:t xml:space="preserve"> N</w:t>
      </w:r>
      <w:r w:rsidR="00713A69">
        <w:t xml:space="preserve">atural phenomena </w:t>
      </w:r>
      <w:r w:rsidR="00031B0C">
        <w:t xml:space="preserve">include </w:t>
      </w:r>
      <w:r w:rsidR="002A4D95">
        <w:t xml:space="preserve">more physical natural </w:t>
      </w:r>
      <w:r w:rsidR="00383A40">
        <w:t xml:space="preserve">occurrences such as </w:t>
      </w:r>
      <w:r w:rsidR="00031B0C">
        <w:t>plants, minerals, lightning</w:t>
      </w:r>
      <w:r w:rsidR="001804AF">
        <w:t>.</w:t>
      </w:r>
      <w:r w:rsidR="00067B22">
        <w:rPr>
          <w:rStyle w:val="FootnoteReference"/>
        </w:rPr>
        <w:footnoteReference w:id="18"/>
      </w:r>
      <w:r w:rsidR="00067B22">
        <w:t xml:space="preserve"> </w:t>
      </w:r>
      <w:r w:rsidR="00F77903">
        <w:t xml:space="preserve">The exceptions extend to even newly discovered uses of </w:t>
      </w:r>
      <w:r w:rsidR="00D73A64">
        <w:t>naturally occurring phenomenon</w:t>
      </w:r>
      <w:r w:rsidR="007B3E6D">
        <w:t>.</w:t>
      </w:r>
      <w:r w:rsidR="007B3E6D">
        <w:rPr>
          <w:rStyle w:val="FootnoteReference"/>
        </w:rPr>
        <w:footnoteReference w:id="19"/>
      </w:r>
      <w:r w:rsidR="00D73A64">
        <w:t xml:space="preserve"> </w:t>
      </w:r>
      <w:r w:rsidR="003877B6">
        <w:t xml:space="preserve">In </w:t>
      </w:r>
      <w:r w:rsidR="003877B6">
        <w:rPr>
          <w:i/>
        </w:rPr>
        <w:t>Funk Brothers Seed Co. v. Kalo Inoculant Co.</w:t>
      </w:r>
      <w:r w:rsidR="00692CA8">
        <w:rPr>
          <w:sz w:val="22"/>
        </w:rPr>
        <w:t xml:space="preserve"> </w:t>
      </w:r>
      <w:r w:rsidR="00692CA8" w:rsidRPr="005E78C6">
        <w:rPr>
          <w:color w:val="FF0000"/>
          <w:sz w:val="22"/>
        </w:rPr>
        <w:t>[finish citation]</w:t>
      </w:r>
      <w:r w:rsidR="00A52F44" w:rsidRPr="005E78C6">
        <w:rPr>
          <w:color w:val="FF0000"/>
          <w:sz w:val="22"/>
        </w:rPr>
        <w:t xml:space="preserve">, </w:t>
      </w:r>
      <w:r w:rsidR="00686150">
        <w:rPr>
          <w:sz w:val="22"/>
        </w:rPr>
        <w:t xml:space="preserve">the disputed discovery was </w:t>
      </w:r>
      <w:r w:rsidR="00191AAC">
        <w:rPr>
          <w:sz w:val="22"/>
        </w:rPr>
        <w:t>a mixture of bacteria for inoculating the seeds of several different types of plants</w:t>
      </w:r>
      <w:r w:rsidR="001A4487">
        <w:rPr>
          <w:sz w:val="22"/>
        </w:rPr>
        <w:t xml:space="preserve"> at once</w:t>
      </w:r>
      <w:r w:rsidR="00CD5BC9">
        <w:rPr>
          <w:sz w:val="22"/>
        </w:rPr>
        <w:t>, rather than separately</w:t>
      </w:r>
      <w:r w:rsidR="00713C65">
        <w:t>.</w:t>
      </w:r>
      <w:r w:rsidR="004F2C41">
        <w:rPr>
          <w:rStyle w:val="FootnoteReference"/>
        </w:rPr>
        <w:footnoteReference w:id="20"/>
      </w:r>
      <w:r w:rsidR="003C07EF">
        <w:t xml:space="preserve"> </w:t>
      </w:r>
      <w:r w:rsidR="00806493">
        <w:t>The court found the mixture</w:t>
      </w:r>
      <w:r w:rsidR="003C07EF">
        <w:t xml:space="preserve"> </w:t>
      </w:r>
      <w:commentRangeStart w:id="12"/>
      <w:r w:rsidR="00A2692B">
        <w:t>ineligible</w:t>
      </w:r>
      <w:r w:rsidR="003C07EF">
        <w:t xml:space="preserve"> </w:t>
      </w:r>
      <w:commentRangeEnd w:id="12"/>
      <w:r w:rsidR="00EA11AA">
        <w:rPr>
          <w:rStyle w:val="CommentReference"/>
        </w:rPr>
        <w:commentReference w:id="12"/>
      </w:r>
      <w:r w:rsidR="003C07EF">
        <w:t>for patent and therefor</w:t>
      </w:r>
      <w:r w:rsidR="00BB59C6">
        <w:t>e</w:t>
      </w:r>
      <w:r w:rsidR="003C07EF">
        <w:t xml:space="preserve"> no infringement because the bacteria had not been altered</w:t>
      </w:r>
      <w:r w:rsidR="00BB59C6">
        <w:t>; it</w:t>
      </w:r>
      <w:r w:rsidR="003C07EF">
        <w:t xml:space="preserve"> was a natural pheno</w:t>
      </w:r>
      <w:r w:rsidR="003F7C4C">
        <w:t>menon.</w:t>
      </w:r>
      <w:r w:rsidR="003F7C4C">
        <w:rPr>
          <w:rStyle w:val="FootnoteReference"/>
        </w:rPr>
        <w:footnoteReference w:id="21"/>
      </w:r>
      <w:r w:rsidR="00713C65">
        <w:t xml:space="preserve"> </w:t>
      </w:r>
      <w:r w:rsidR="008D044F">
        <w:t xml:space="preserve">In </w:t>
      </w:r>
      <w:r w:rsidR="008D044F">
        <w:lastRenderedPageBreak/>
        <w:t>contrast</w:t>
      </w:r>
      <w:r w:rsidR="003F7C4C">
        <w:t xml:space="preserve">, in </w:t>
      </w:r>
      <w:r w:rsidR="00245CB1">
        <w:rPr>
          <w:i/>
        </w:rPr>
        <w:t>Diamond v. Chakrabarty</w:t>
      </w:r>
      <w:r w:rsidR="00245CB1">
        <w:t xml:space="preserve">, a </w:t>
      </w:r>
      <w:r w:rsidR="00930A74">
        <w:t>new species of bacteria that digested oil</w:t>
      </w:r>
      <w:r w:rsidR="000A2E03">
        <w:t xml:space="preserve"> was upheld to be patentable because it was not naturally occurring</w:t>
      </w:r>
      <w:r w:rsidR="00FD04BF">
        <w:t xml:space="preserve"> and it was unpatentable simply because it was a living organism</w:t>
      </w:r>
      <w:r w:rsidR="000A2E03">
        <w:t>.</w:t>
      </w:r>
      <w:r w:rsidR="000A2E03">
        <w:rPr>
          <w:rStyle w:val="FootnoteReference"/>
        </w:rPr>
        <w:footnoteReference w:id="22"/>
      </w:r>
      <w:r w:rsidR="006F58B5">
        <w:rPr>
          <w:i/>
        </w:rPr>
        <w:t xml:space="preserve"> </w:t>
      </w:r>
      <w:r w:rsidR="00B973FB">
        <w:t xml:space="preserve">What counts as an abstract ideas is </w:t>
      </w:r>
      <w:r w:rsidR="008A6760">
        <w:t>not always clear</w:t>
      </w:r>
      <w:r w:rsidR="003766C1">
        <w:t xml:space="preserve">. </w:t>
      </w:r>
      <w:commentRangeEnd w:id="11"/>
      <w:r w:rsidR="000E17C4">
        <w:rPr>
          <w:rStyle w:val="CommentReference"/>
        </w:rPr>
        <w:commentReference w:id="11"/>
      </w:r>
    </w:p>
    <w:p w14:paraId="753C1F8A" w14:textId="006E4102" w:rsidR="00026D1E" w:rsidRDefault="00026D1E" w:rsidP="00402FDD">
      <w:pPr>
        <w:spacing w:line="480" w:lineRule="auto"/>
        <w:ind w:firstLine="720"/>
        <w:contextualSpacing/>
      </w:pPr>
      <w:r>
        <w:t>Processes are expressly included within § 101: “</w:t>
      </w:r>
      <w:r w:rsidRPr="007B5C08">
        <w:t>any new and useful process, machine, manufacture, or composition of matter, or any new and useful improvement thereof</w:t>
      </w:r>
      <w:r>
        <w:t>.”</w:t>
      </w:r>
      <w:r>
        <w:rPr>
          <w:rStyle w:val="FootnoteReference"/>
        </w:rPr>
        <w:footnoteReference w:id="23"/>
      </w:r>
      <w:r>
        <w:t xml:space="preserve"> However, process claims face great scrutiny under the judicial exception of abstract ideas. </w:t>
      </w:r>
      <w:r w:rsidR="00123215">
        <w:t>Machines, new manufactures and compositions of matter</w:t>
      </w:r>
      <w:r>
        <w:t xml:space="preserve"> are physical and easily patentable, providing the invention meets requirements for patentability.</w:t>
      </w:r>
      <w:r>
        <w:rPr>
          <w:rStyle w:val="FootnoteReference"/>
        </w:rPr>
        <w:footnoteReference w:id="24"/>
      </w:r>
      <w:r>
        <w:t xml:space="preserve"> Processes are not as tangible </w:t>
      </w:r>
      <w:r w:rsidR="00070156">
        <w:t>and can easily be classified as an abstract idea</w:t>
      </w:r>
      <w:r>
        <w:t xml:space="preserve"> therefore are more difficult to patent.</w:t>
      </w:r>
      <w:r>
        <w:rPr>
          <w:rStyle w:val="FootnoteReference"/>
        </w:rPr>
        <w:footnoteReference w:id="25"/>
      </w:r>
    </w:p>
    <w:p w14:paraId="670A76B8" w14:textId="5CAF4F3C" w:rsidR="00BB59C6" w:rsidRDefault="00580835" w:rsidP="00402FDD">
      <w:pPr>
        <w:pStyle w:val="Heading2"/>
        <w:spacing w:line="480" w:lineRule="auto"/>
        <w:contextualSpacing/>
      </w:pPr>
      <w:r>
        <w:t xml:space="preserve">Abstract Ideas: </w:t>
      </w:r>
      <w:r w:rsidR="009A45F3">
        <w:t xml:space="preserve">Inconsistent </w:t>
      </w:r>
      <w:r w:rsidR="00EA256F">
        <w:t>Case Law</w:t>
      </w:r>
    </w:p>
    <w:p w14:paraId="03D6EE65" w14:textId="64379216" w:rsidR="00087434" w:rsidRDefault="00112FF9" w:rsidP="00402FDD">
      <w:pPr>
        <w:spacing w:line="480" w:lineRule="auto"/>
        <w:ind w:firstLine="720"/>
        <w:contextualSpacing/>
      </w:pPr>
      <w:r>
        <w:t xml:space="preserve">Abstract ideas often overlap with the other judicial exceptions of natural phenomena and laws of nature. </w:t>
      </w:r>
      <w:r w:rsidR="00CC60C8">
        <w:t>There is no legal defini</w:t>
      </w:r>
      <w:r w:rsidR="00547D34">
        <w:t xml:space="preserve">tion of “abstract ideas” and </w:t>
      </w:r>
      <w:r w:rsidR="00451E73">
        <w:t xml:space="preserve">what is abstract can be difficult to describe. </w:t>
      </w:r>
      <w:r w:rsidR="008A2A09">
        <w:t>A</w:t>
      </w:r>
      <w:r w:rsidR="008A2A09" w:rsidRPr="00B032EC">
        <w:t xml:space="preserve">lgorithms and mathematical formulas </w:t>
      </w:r>
      <w:r w:rsidR="00B86E2C">
        <w:t>are common example</w:t>
      </w:r>
      <w:r w:rsidR="001A4BD8">
        <w:t>s</w:t>
      </w:r>
      <w:r w:rsidR="00B86E2C">
        <w:t xml:space="preserve"> of an abstract </w:t>
      </w:r>
      <w:proofErr w:type="gramStart"/>
      <w:r w:rsidR="00B86E2C">
        <w:t>idea, but</w:t>
      </w:r>
      <w:proofErr w:type="gramEnd"/>
      <w:r w:rsidR="00B86E2C">
        <w:t xml:space="preserve"> </w:t>
      </w:r>
      <w:r w:rsidR="008A2A09">
        <w:t xml:space="preserve">can </w:t>
      </w:r>
      <w:r w:rsidR="001A4BD8">
        <w:t>also</w:t>
      </w:r>
      <w:r w:rsidR="008A2A09">
        <w:t xml:space="preserve"> fall under any or all of the three judicial exceptions</w:t>
      </w:r>
      <w:r w:rsidR="001A4BD8">
        <w:t xml:space="preserve">, as </w:t>
      </w:r>
      <w:r w:rsidR="008C4375">
        <w:t>certain natural laws are easily describe mathematically</w:t>
      </w:r>
      <w:r w:rsidR="008A2A09" w:rsidRPr="00B032EC">
        <w:t>.</w:t>
      </w:r>
      <w:r w:rsidR="008A2A09" w:rsidRPr="00B032EC">
        <w:rPr>
          <w:rStyle w:val="FootnoteReference"/>
        </w:rPr>
        <w:footnoteReference w:id="26"/>
      </w:r>
      <w:r w:rsidR="008A2A09" w:rsidRPr="00B032EC">
        <w:t xml:space="preserve"> </w:t>
      </w:r>
      <w:r w:rsidR="005C43D6">
        <w:t>With no definition, a</w:t>
      </w:r>
      <w:r w:rsidR="00966E44">
        <w:t>pplicants and litigants are left with vague statements as guidance</w:t>
      </w:r>
      <w:r w:rsidR="005C43D6">
        <w:t>, such as the following:</w:t>
      </w:r>
    </w:p>
    <w:p w14:paraId="60505FA2" w14:textId="77777777" w:rsidR="005C43D6" w:rsidRDefault="005C43D6" w:rsidP="00402FDD">
      <w:pPr>
        <w:spacing w:line="480" w:lineRule="auto"/>
        <w:ind w:firstLine="720"/>
        <w:contextualSpacing/>
      </w:pPr>
      <w:commentRangeStart w:id="13"/>
      <w:r w:rsidRPr="00B032EC">
        <w:t>Limiting formulas to a particular technological environment will not make them patentable.</w:t>
      </w:r>
      <w:r w:rsidRPr="00B032EC">
        <w:rPr>
          <w:rStyle w:val="FootnoteReference"/>
        </w:rPr>
        <w:footnoteReference w:id="27"/>
      </w:r>
      <w:r w:rsidRPr="00B032EC">
        <w:t xml:space="preserve"> </w:t>
      </w:r>
      <w:commentRangeEnd w:id="13"/>
      <w:r w:rsidR="00140E92">
        <w:rPr>
          <w:rStyle w:val="CommentReference"/>
        </w:rPr>
        <w:commentReference w:id="13"/>
      </w:r>
      <w:r w:rsidRPr="00B032EC">
        <w:t xml:space="preserve">Patents are not ineligible merely because they rely on a law of nature or </w:t>
      </w:r>
      <w:r w:rsidRPr="00B032EC">
        <w:lastRenderedPageBreak/>
        <w:t>algorithm</w:t>
      </w:r>
      <w:commentRangeStart w:id="14"/>
      <w:r w:rsidRPr="00B032EC">
        <w:t>.</w:t>
      </w:r>
      <w:r w:rsidRPr="00B032EC">
        <w:rPr>
          <w:rStyle w:val="FootnoteReference"/>
        </w:rPr>
        <w:footnoteReference w:id="28"/>
      </w:r>
      <w:commentRangeEnd w:id="14"/>
      <w:r w:rsidRPr="00B032EC">
        <w:rPr>
          <w:rStyle w:val="CommentReference"/>
        </w:rPr>
        <w:commentReference w:id="14"/>
      </w:r>
      <w:r w:rsidRPr="00B032EC">
        <w:t xml:space="preserve"> To be patentable, inventors must do more than describe the idea or law and append the words “apply it”.</w:t>
      </w:r>
      <w:r w:rsidRPr="00B032EC">
        <w:rPr>
          <w:rStyle w:val="FootnoteReference"/>
        </w:rPr>
        <w:footnoteReference w:id="29"/>
      </w:r>
      <w:r w:rsidRPr="00B032EC">
        <w:t xml:space="preserve"> </w:t>
      </w:r>
      <w:r>
        <w:t>Patents must have additional steps outside of the patent ineligible concept that integrate the equation into the process as a whole.</w:t>
      </w:r>
      <w:r>
        <w:rPr>
          <w:rStyle w:val="FootnoteReference"/>
        </w:rPr>
        <w:footnoteReference w:id="30"/>
      </w:r>
      <w:r>
        <w:t xml:space="preserve"> They must have an inventive concept outside of the patent ineligible idea</w:t>
      </w:r>
      <w:commentRangeStart w:id="15"/>
      <w:r>
        <w:t>.</w:t>
      </w:r>
      <w:r>
        <w:rPr>
          <w:rStyle w:val="FootnoteReference"/>
        </w:rPr>
        <w:footnoteReference w:id="31"/>
      </w:r>
      <w:commentRangeEnd w:id="15"/>
      <w:r>
        <w:rPr>
          <w:rStyle w:val="CommentReference"/>
        </w:rPr>
        <w:commentReference w:id="15"/>
      </w:r>
      <w:r>
        <w:t xml:space="preserve"> </w:t>
      </w:r>
    </w:p>
    <w:p w14:paraId="7D0FED32" w14:textId="47D1B624" w:rsidR="00D23B0D" w:rsidRDefault="00702C5F" w:rsidP="00402FDD">
      <w:pPr>
        <w:spacing w:line="480" w:lineRule="auto"/>
        <w:ind w:firstLine="720"/>
        <w:contextualSpacing/>
      </w:pPr>
      <w:r>
        <w:t>S</w:t>
      </w:r>
      <w:r w:rsidR="00C21E18">
        <w:t xml:space="preserve">tatements like </w:t>
      </w:r>
      <w:r w:rsidR="00DE599B">
        <w:t>these</w:t>
      </w:r>
      <w:r w:rsidR="00C21E18">
        <w:t xml:space="preserve"> do give some clarity on what </w:t>
      </w:r>
      <w:r w:rsidR="003B6B86">
        <w:t xml:space="preserve">an applicant must do to meet the requirement of </w:t>
      </w:r>
      <w:r w:rsidR="00D40CC4">
        <w:t>patent eligibility</w:t>
      </w:r>
      <w:r>
        <w:t>. However,</w:t>
      </w:r>
      <w:r w:rsidR="00D40CC4">
        <w:t xml:space="preserve"> t</w:t>
      </w:r>
      <w:r w:rsidR="003D1442">
        <w:t xml:space="preserve">he lack of a formal legal definition has led </w:t>
      </w:r>
      <w:r w:rsidR="00D40CC4">
        <w:t>to contradictory</w:t>
      </w:r>
      <w:r w:rsidR="00AB0A00">
        <w:t xml:space="preserve"> </w:t>
      </w:r>
      <w:r w:rsidR="00DE599B">
        <w:t xml:space="preserve">application of these guidelines and inconsistent </w:t>
      </w:r>
      <w:r w:rsidR="00E84753">
        <w:t xml:space="preserve">judicial </w:t>
      </w:r>
      <w:r w:rsidR="00AA481A">
        <w:t>decisions.</w:t>
      </w:r>
      <w:r w:rsidR="00E84753">
        <w:t xml:space="preserve"> </w:t>
      </w:r>
    </w:p>
    <w:p w14:paraId="5345660F" w14:textId="13D49BBA" w:rsidR="00EF78EF" w:rsidRPr="006622BC" w:rsidRDefault="00EF78EF" w:rsidP="00402FDD">
      <w:pPr>
        <w:spacing w:line="480" w:lineRule="auto"/>
        <w:ind w:firstLine="720"/>
        <w:contextualSpacing/>
        <w:rPr>
          <w:color w:val="FF0000"/>
        </w:rPr>
      </w:pPr>
      <w:commentRangeStart w:id="16"/>
      <w:r w:rsidRPr="006622BC">
        <w:rPr>
          <w:color w:val="FF0000"/>
        </w:rPr>
        <w:t>[</w:t>
      </w:r>
      <w:r w:rsidR="00136FFE" w:rsidRPr="006622BC">
        <w:rPr>
          <w:color w:val="FF0000"/>
        </w:rPr>
        <w:t xml:space="preserve">Discuss </w:t>
      </w:r>
      <w:proofErr w:type="spellStart"/>
      <w:r w:rsidR="00136FFE" w:rsidRPr="006622BC">
        <w:rPr>
          <w:color w:val="FF0000"/>
        </w:rPr>
        <w:t>Allapat</w:t>
      </w:r>
      <w:proofErr w:type="spellEnd"/>
      <w:r w:rsidR="00840EC7" w:rsidRPr="006622BC">
        <w:rPr>
          <w:color w:val="FF0000"/>
        </w:rPr>
        <w:t xml:space="preserve"> – see state street</w:t>
      </w:r>
      <w:r w:rsidR="00684E6B" w:rsidRPr="006622BC">
        <w:rPr>
          <w:color w:val="FF0000"/>
        </w:rPr>
        <w:t xml:space="preserve"> </w:t>
      </w:r>
      <w:proofErr w:type="gramStart"/>
      <w:r w:rsidR="00684E6B" w:rsidRPr="006622BC">
        <w:rPr>
          <w:color w:val="FF0000"/>
        </w:rPr>
        <w:t xml:space="preserve">- </w:t>
      </w:r>
      <w:r w:rsidRPr="006622BC">
        <w:rPr>
          <w:color w:val="FF0000"/>
        </w:rPr>
        <w:t>]</w:t>
      </w:r>
      <w:commentRangeEnd w:id="16"/>
      <w:proofErr w:type="gramEnd"/>
      <w:r w:rsidR="00684E6B" w:rsidRPr="006622BC">
        <w:rPr>
          <w:rStyle w:val="CommentReference"/>
          <w:color w:val="FF0000"/>
        </w:rPr>
        <w:commentReference w:id="16"/>
      </w:r>
      <w:r w:rsidR="00894735" w:rsidRPr="006622BC">
        <w:rPr>
          <w:color w:val="FF0000"/>
        </w:rPr>
        <w:t xml:space="preserve"> math allowed</w:t>
      </w:r>
      <w:r w:rsidR="00EA256F" w:rsidRPr="006622BC">
        <w:rPr>
          <w:color w:val="FF0000"/>
        </w:rPr>
        <w:t>, how is it not just putting it in a technological environment?</w:t>
      </w:r>
      <w:r w:rsidR="00EA6F4B" w:rsidRPr="006622BC">
        <w:rPr>
          <w:color w:val="FF0000"/>
        </w:rPr>
        <w:t xml:space="preserve"> The formula is the process</w:t>
      </w:r>
    </w:p>
    <w:p w14:paraId="0EAEB283" w14:textId="26FEAA5A" w:rsidR="00136FFE" w:rsidRPr="006622BC" w:rsidRDefault="00136FFE" w:rsidP="00402FDD">
      <w:pPr>
        <w:spacing w:line="480" w:lineRule="auto"/>
        <w:ind w:firstLine="720"/>
        <w:contextualSpacing/>
        <w:rPr>
          <w:color w:val="FF0000"/>
        </w:rPr>
      </w:pPr>
      <w:commentRangeStart w:id="17"/>
      <w:r w:rsidRPr="006622BC">
        <w:rPr>
          <w:color w:val="FF0000"/>
        </w:rPr>
        <w:t xml:space="preserve">[Discuss </w:t>
      </w:r>
      <w:r w:rsidR="00840EC7" w:rsidRPr="006622BC">
        <w:rPr>
          <w:color w:val="FF0000"/>
        </w:rPr>
        <w:t xml:space="preserve">Arrhythmia Research Technology Inc. v. </w:t>
      </w:r>
      <w:proofErr w:type="spellStart"/>
      <w:r w:rsidR="00840EC7" w:rsidRPr="006622BC">
        <w:rPr>
          <w:color w:val="FF0000"/>
        </w:rPr>
        <w:t>Corazonix</w:t>
      </w:r>
      <w:proofErr w:type="spellEnd"/>
      <w:r w:rsidR="00840EC7" w:rsidRPr="006622BC">
        <w:rPr>
          <w:color w:val="FF0000"/>
        </w:rPr>
        <w:t xml:space="preserve"> Corp – see state street]</w:t>
      </w:r>
      <w:commentRangeEnd w:id="17"/>
      <w:r w:rsidR="00645C20" w:rsidRPr="006622BC">
        <w:rPr>
          <w:rStyle w:val="CommentReference"/>
          <w:color w:val="FF0000"/>
        </w:rPr>
        <w:commentReference w:id="17"/>
      </w:r>
      <w:r w:rsidR="00894735" w:rsidRPr="006622BC">
        <w:rPr>
          <w:color w:val="FF0000"/>
        </w:rPr>
        <w:t xml:space="preserve"> </w:t>
      </w:r>
      <w:r w:rsidR="00B6157A" w:rsidRPr="006622BC">
        <w:rPr>
          <w:color w:val="FF0000"/>
        </w:rPr>
        <w:t>–</w:t>
      </w:r>
      <w:r w:rsidR="00894735" w:rsidRPr="006622BC">
        <w:rPr>
          <w:color w:val="FF0000"/>
        </w:rPr>
        <w:t xml:space="preserve"> </w:t>
      </w:r>
      <w:r w:rsidR="00B6157A" w:rsidRPr="006622BC">
        <w:rPr>
          <w:color w:val="FF0000"/>
        </w:rPr>
        <w:t xml:space="preserve">math applied. Contrast with </w:t>
      </w:r>
      <w:proofErr w:type="spellStart"/>
      <w:r w:rsidR="009C1965" w:rsidRPr="006622BC">
        <w:rPr>
          <w:color w:val="FF0000"/>
        </w:rPr>
        <w:t>benson</w:t>
      </w:r>
      <w:proofErr w:type="spellEnd"/>
    </w:p>
    <w:p w14:paraId="6D04989B" w14:textId="14B9AA0D" w:rsidR="00090802" w:rsidRDefault="007B248F" w:rsidP="00402FDD">
      <w:pPr>
        <w:spacing w:line="480" w:lineRule="auto"/>
        <w:ind w:firstLine="720"/>
        <w:contextualSpacing/>
      </w:pPr>
      <w:r>
        <w:rPr>
          <w:color w:val="FF0000"/>
        </w:rPr>
        <w:t xml:space="preserve"> </w:t>
      </w:r>
      <w:r w:rsidR="00C506A8" w:rsidRPr="00706CD2">
        <w:t>In 1972</w:t>
      </w:r>
      <w:r w:rsidR="00F245E7">
        <w:t>, before the rise of the digital age,</w:t>
      </w:r>
      <w:r w:rsidR="00C506A8" w:rsidRPr="00706CD2">
        <w:t xml:space="preserve"> the Supreme Court heard arguments </w:t>
      </w:r>
      <w:r w:rsidR="00066447">
        <w:t xml:space="preserve">for </w:t>
      </w:r>
      <w:r w:rsidR="00066447" w:rsidRPr="00066447">
        <w:rPr>
          <w:i/>
        </w:rPr>
        <w:t>Gottschalk v. Benson</w:t>
      </w:r>
      <w:r w:rsidR="00066447" w:rsidRPr="00066447">
        <w:t xml:space="preserve"> </w:t>
      </w:r>
      <w:r w:rsidR="00C506A8" w:rsidRPr="00706CD2">
        <w:t xml:space="preserve">regarding </w:t>
      </w:r>
      <w:r w:rsidR="00041D04" w:rsidRPr="00706CD2">
        <w:t>a method for co</w:t>
      </w:r>
      <w:r w:rsidR="000D191A" w:rsidRPr="00706CD2">
        <w:t>n</w:t>
      </w:r>
      <w:r w:rsidR="00041D04" w:rsidRPr="00706CD2">
        <w:t xml:space="preserve">verting binary </w:t>
      </w:r>
      <w:r w:rsidR="00A9495E">
        <w:t>coded</w:t>
      </w:r>
      <w:r w:rsidR="00A9495E" w:rsidRPr="00706CD2">
        <w:t xml:space="preserve"> </w:t>
      </w:r>
      <w:r w:rsidR="00041D04" w:rsidRPr="00706CD2">
        <w:t xml:space="preserve">decimal to </w:t>
      </w:r>
      <w:r w:rsidR="005E524F" w:rsidRPr="00706CD2">
        <w:t xml:space="preserve">pure </w:t>
      </w:r>
      <w:r w:rsidR="00041D04" w:rsidRPr="00706CD2">
        <w:t>binary</w:t>
      </w:r>
      <w:r w:rsidR="00FB1089">
        <w:t xml:space="preserve">. </w:t>
      </w:r>
      <w:r w:rsidR="00346002">
        <w:t xml:space="preserve">In binary </w:t>
      </w:r>
      <w:commentRangeStart w:id="18"/>
      <w:r w:rsidR="00346002">
        <w:t xml:space="preserve">coded </w:t>
      </w:r>
      <w:commentRangeEnd w:id="18"/>
      <w:r w:rsidR="004D2B3B">
        <w:rPr>
          <w:rStyle w:val="CommentReference"/>
        </w:rPr>
        <w:commentReference w:id="18"/>
      </w:r>
      <w:r w:rsidR="00346002">
        <w:t xml:space="preserve">decimal (BCD) </w:t>
      </w:r>
      <w:r w:rsidR="00A03E0F" w:rsidRPr="00706CD2">
        <w:t>each digit of a number is represented by a four-digit binary segment</w:t>
      </w:r>
      <w:r w:rsidR="00A03E0F">
        <w:t xml:space="preserve"> e.g. 534 would be represented as 0101-0011-0100, where 0101, 0011, and 0100 are the numbers 5, 3, and 4 respectively</w:t>
      </w:r>
      <w:r w:rsidR="00E25E5D">
        <w:t xml:space="preserve"> in pure binary</w:t>
      </w:r>
      <w:r w:rsidR="00346002">
        <w:t>;</w:t>
      </w:r>
      <w:r w:rsidR="00A03E0F">
        <w:t xml:space="preserve"> in pure binary</w:t>
      </w:r>
      <w:r w:rsidR="00E25E5D">
        <w:t xml:space="preserve"> </w:t>
      </w:r>
      <w:r w:rsidR="00FB1089">
        <w:t xml:space="preserve">534 would be represented as </w:t>
      </w:r>
      <w:r w:rsidR="00111B21" w:rsidRPr="00111B21">
        <w:t>1000010110</w:t>
      </w:r>
      <w:r w:rsidR="00041D04" w:rsidRPr="00706CD2">
        <w:t>.</w:t>
      </w:r>
      <w:r w:rsidR="00712C0F" w:rsidRPr="00706CD2">
        <w:rPr>
          <w:rStyle w:val="FootnoteReference"/>
        </w:rPr>
        <w:footnoteReference w:id="32"/>
      </w:r>
      <w:r w:rsidR="00041D04" w:rsidRPr="00706CD2">
        <w:t xml:space="preserve"> </w:t>
      </w:r>
      <w:r w:rsidR="00DA1BB6">
        <w:t xml:space="preserve">With no </w:t>
      </w:r>
      <w:r w:rsidR="00D74D3E">
        <w:t>definition of abstract ideas</w:t>
      </w:r>
      <w:r w:rsidR="00AA2E47">
        <w:t xml:space="preserve">, the </w:t>
      </w:r>
      <w:r w:rsidR="000631AF">
        <w:t>C</w:t>
      </w:r>
      <w:r w:rsidR="00AA2E47">
        <w:t xml:space="preserve">ourt </w:t>
      </w:r>
      <w:r w:rsidR="00967D01">
        <w:t>compared</w:t>
      </w:r>
      <w:r w:rsidR="001676FC">
        <w:t xml:space="preserve"> the claims with previous cases and facts</w:t>
      </w:r>
      <w:r w:rsidR="00D74D3E">
        <w:t>.</w:t>
      </w:r>
      <w:r w:rsidR="001676FC">
        <w:rPr>
          <w:rStyle w:val="FootnoteReference"/>
        </w:rPr>
        <w:footnoteReference w:id="33"/>
      </w:r>
      <w:r w:rsidR="00AE50E7">
        <w:t xml:space="preserve"> </w:t>
      </w:r>
      <w:r w:rsidR="00D74D3E">
        <w:t>H</w:t>
      </w:r>
      <w:r w:rsidR="00AE50E7">
        <w:t>owever</w:t>
      </w:r>
      <w:r w:rsidR="00E34D15">
        <w:t>,</w:t>
      </w:r>
      <w:r w:rsidR="00AE50E7">
        <w:t xml:space="preserve"> at the time the patentability of computer programs was still in debate</w:t>
      </w:r>
      <w:r w:rsidR="00D74D3E">
        <w:t xml:space="preserve">, and the patent </w:t>
      </w:r>
      <w:r w:rsidR="00433FCA">
        <w:t>was</w:t>
      </w:r>
      <w:r w:rsidR="00D74D3E">
        <w:t xml:space="preserve"> </w:t>
      </w:r>
      <w:r w:rsidR="006A1206">
        <w:t xml:space="preserve">held </w:t>
      </w:r>
      <w:r w:rsidR="00433FCA">
        <w:t xml:space="preserve">invalid </w:t>
      </w:r>
      <w:r w:rsidR="006A1206">
        <w:t xml:space="preserve">because it has no practical exception outside of a digital </w:t>
      </w:r>
      <w:r w:rsidR="006A1206">
        <w:lastRenderedPageBreak/>
        <w:t>computer.</w:t>
      </w:r>
      <w:r w:rsidR="006A1206">
        <w:rPr>
          <w:rStyle w:val="FootnoteReference"/>
        </w:rPr>
        <w:footnoteReference w:id="34"/>
      </w:r>
      <w:r w:rsidR="001676FC">
        <w:t xml:space="preserve"> </w:t>
      </w:r>
      <w:r w:rsidR="005B0C5F">
        <w:t xml:space="preserve">Clearly the Court did not understand </w:t>
      </w:r>
      <w:commentRangeStart w:id="20"/>
      <w:r w:rsidR="00786A71">
        <w:t xml:space="preserve">the </w:t>
      </w:r>
      <w:commentRangeEnd w:id="20"/>
      <w:r w:rsidR="00824EA2">
        <w:rPr>
          <w:rStyle w:val="CommentReference"/>
        </w:rPr>
        <w:commentReference w:id="20"/>
      </w:r>
      <w:r w:rsidR="008F090C">
        <w:t>importance digital (the more advanced counter-part to analog)</w:t>
      </w:r>
      <w:r w:rsidR="00175C04">
        <w:t xml:space="preserve"> computers would play in the future, and </w:t>
      </w:r>
      <w:commentRangeStart w:id="21"/>
      <w:r w:rsidR="00226141">
        <w:t>so</w:t>
      </w:r>
      <w:commentRangeEnd w:id="21"/>
      <w:r w:rsidR="00824EA2">
        <w:rPr>
          <w:rStyle w:val="CommentReference"/>
        </w:rPr>
        <w:commentReference w:id="21"/>
      </w:r>
      <w:r w:rsidR="00226141">
        <w:t xml:space="preserve"> </w:t>
      </w:r>
      <w:r w:rsidR="00175C04">
        <w:t>they dismissed the patent for having no use outside of computers</w:t>
      </w:r>
      <w:commentRangeStart w:id="22"/>
      <w:commentRangeEnd w:id="22"/>
      <w:r w:rsidR="000631AF">
        <w:rPr>
          <w:rStyle w:val="CommentReference"/>
        </w:rPr>
        <w:commentReference w:id="22"/>
      </w:r>
      <w:r w:rsidR="00E25ED1">
        <w:t>.</w:t>
      </w:r>
      <w:r w:rsidR="00DA7D1E">
        <w:t xml:space="preserve"> </w:t>
      </w:r>
      <w:r w:rsidR="00CF7427">
        <w:t>Although t</w:t>
      </w:r>
      <w:r w:rsidR="00DA7D1E">
        <w:t>he claim</w:t>
      </w:r>
      <w:r w:rsidR="00DA2916">
        <w:t xml:space="preserve">s described hardware components </w:t>
      </w:r>
      <w:r w:rsidR="005E37A6">
        <w:t>executing</w:t>
      </w:r>
      <w:r w:rsidR="00CF7427">
        <w:t xml:space="preserve"> this algorithm</w:t>
      </w:r>
      <w:commentRangeStart w:id="23"/>
      <w:commentRangeEnd w:id="23"/>
      <w:r w:rsidR="00681922">
        <w:rPr>
          <w:rStyle w:val="CommentReference"/>
        </w:rPr>
        <w:commentReference w:id="23"/>
      </w:r>
      <w:r w:rsidR="00E864FB">
        <w:t xml:space="preserve">, it was not </w:t>
      </w:r>
      <w:r w:rsidR="00967D01">
        <w:t>enough</w:t>
      </w:r>
      <w:r w:rsidR="00E864FB">
        <w:t xml:space="preserve"> to meet the Court’s requirements</w:t>
      </w:r>
      <w:r w:rsidR="00175C04">
        <w:t xml:space="preserve"> </w:t>
      </w:r>
      <w:r w:rsidR="00E864FB">
        <w:t xml:space="preserve">for </w:t>
      </w:r>
      <w:r w:rsidR="00B56994">
        <w:t>patentability</w:t>
      </w:r>
      <w:r w:rsidR="00E864FB">
        <w:t xml:space="preserve">. </w:t>
      </w:r>
    </w:p>
    <w:p w14:paraId="063F1B81" w14:textId="3D644718" w:rsidR="000C02DB" w:rsidRDefault="00E25ED1" w:rsidP="00402FDD">
      <w:pPr>
        <w:spacing w:line="480" w:lineRule="auto"/>
        <w:ind w:firstLine="720"/>
        <w:contextualSpacing/>
      </w:pPr>
      <w:r>
        <w:t>In</w:t>
      </w:r>
      <w:r w:rsidR="00867D1D" w:rsidRPr="00507D5D">
        <w:t xml:space="preserve"> 1980 the Supreme Court consider</w:t>
      </w:r>
      <w:r w:rsidR="00CD114F">
        <w:t>ed</w:t>
      </w:r>
      <w:r w:rsidR="00AE2C9B" w:rsidRPr="00507D5D">
        <w:t xml:space="preserve"> </w:t>
      </w:r>
      <w:r w:rsidR="009D291F" w:rsidRPr="00507D5D">
        <w:t>claims for a process for curing synthetic rubber</w:t>
      </w:r>
      <w:r w:rsidR="003D10C8">
        <w:t xml:space="preserve"> in </w:t>
      </w:r>
      <w:r w:rsidR="003D10C8">
        <w:rPr>
          <w:i/>
        </w:rPr>
        <w:t xml:space="preserve">Diamond v. </w:t>
      </w:r>
      <w:proofErr w:type="spellStart"/>
      <w:r w:rsidR="003D10C8">
        <w:rPr>
          <w:i/>
        </w:rPr>
        <w:t>Diehr</w:t>
      </w:r>
      <w:proofErr w:type="spellEnd"/>
      <w:r w:rsidR="009D291F" w:rsidRPr="00507D5D">
        <w:t xml:space="preserve">. </w:t>
      </w:r>
      <w:r w:rsidR="00BD5475" w:rsidRPr="00507D5D">
        <w:t xml:space="preserve">This </w:t>
      </w:r>
      <w:r w:rsidR="00BD0C9A" w:rsidRPr="00507D5D">
        <w:t>process relied heavily on a formula known as the Arrhenius equation</w:t>
      </w:r>
      <w:r w:rsidR="003D10C8">
        <w:t>.</w:t>
      </w:r>
      <w:r w:rsidR="007A0E51" w:rsidRPr="00507D5D">
        <w:t xml:space="preserve"> </w:t>
      </w:r>
      <w:r w:rsidR="003D10C8">
        <w:t>B</w:t>
      </w:r>
      <w:r w:rsidR="007A0E51" w:rsidRPr="00507D5D">
        <w:t xml:space="preserve">y continually taking temperature </w:t>
      </w:r>
      <w:r w:rsidR="00793456" w:rsidRPr="00507D5D">
        <w:t xml:space="preserve">measurements, a digital computer </w:t>
      </w:r>
      <w:r w:rsidR="003D10C8">
        <w:t>would use the</w:t>
      </w:r>
      <w:r w:rsidR="00793456" w:rsidRPr="00507D5D">
        <w:t xml:space="preserve"> formula to provide an accurate cure time.</w:t>
      </w:r>
      <w:r w:rsidR="004A60BA" w:rsidRPr="00507D5D">
        <w:rPr>
          <w:rStyle w:val="FootnoteReference"/>
        </w:rPr>
        <w:footnoteReference w:id="35"/>
      </w:r>
      <w:r w:rsidR="00B9770F">
        <w:t xml:space="preserve"> Here the </w:t>
      </w:r>
      <w:r w:rsidR="001E3E18">
        <w:t xml:space="preserve">Supreme Court </w:t>
      </w:r>
      <w:r w:rsidR="00120382">
        <w:t xml:space="preserve">upheld the patent, </w:t>
      </w:r>
      <w:r w:rsidR="001E3E18">
        <w:t>stat</w:t>
      </w:r>
      <w:r w:rsidR="00120382">
        <w:t>ing</w:t>
      </w:r>
      <w:r w:rsidR="001E3E18">
        <w:t xml:space="preserve"> the claims must be </w:t>
      </w:r>
      <w:proofErr w:type="gramStart"/>
      <w:r w:rsidR="001E3E18">
        <w:t>considered as a whole, and</w:t>
      </w:r>
      <w:proofErr w:type="gramEnd"/>
      <w:r w:rsidR="001E3E18">
        <w:t xml:space="preserve"> that use of a mathematical formula did not</w:t>
      </w:r>
      <w:r w:rsidR="005E202A">
        <w:t xml:space="preserve"> disqualify a patent</w:t>
      </w:r>
      <w:r w:rsidR="00120382">
        <w:t xml:space="preserve">. </w:t>
      </w:r>
      <w:commentRangeStart w:id="24"/>
      <w:r w:rsidR="00C17F96">
        <w:t>This decision seemly reversed</w:t>
      </w:r>
      <w:r w:rsidR="00E44BC2">
        <w:t xml:space="preserve"> </w:t>
      </w:r>
      <w:commentRangeStart w:id="25"/>
      <w:r w:rsidR="00E44BC2" w:rsidRPr="00E44BC2">
        <w:rPr>
          <w:i/>
        </w:rPr>
        <w:t>Benson</w:t>
      </w:r>
      <w:commentRangeEnd w:id="25"/>
      <w:r w:rsidR="000631AF">
        <w:rPr>
          <w:rStyle w:val="CommentReference"/>
        </w:rPr>
        <w:commentReference w:id="25"/>
      </w:r>
      <w:commentRangeEnd w:id="24"/>
      <w:r w:rsidR="00370E19">
        <w:rPr>
          <w:rStyle w:val="CommentReference"/>
        </w:rPr>
        <w:commentReference w:id="24"/>
      </w:r>
      <w:r w:rsidR="00E44BC2">
        <w:t xml:space="preserve">, but </w:t>
      </w:r>
      <w:r w:rsidR="00853C21">
        <w:t xml:space="preserve">the </w:t>
      </w:r>
      <w:r w:rsidR="00E44BC2">
        <w:t>Supreme Court</w:t>
      </w:r>
      <w:r w:rsidR="00891191">
        <w:t xml:space="preserve">, distinguished it from </w:t>
      </w:r>
      <w:r w:rsidR="00891191">
        <w:rPr>
          <w:i/>
        </w:rPr>
        <w:t>Benson</w:t>
      </w:r>
      <w:r w:rsidR="00891191">
        <w:t>,</w:t>
      </w:r>
      <w:r w:rsidR="00E44BC2">
        <w:t xml:space="preserve"> </w:t>
      </w:r>
      <w:r w:rsidR="00EE473D">
        <w:t>characteriz</w:t>
      </w:r>
      <w:r w:rsidR="00891191">
        <w:t xml:space="preserve">ing </w:t>
      </w:r>
      <w:r w:rsidR="00245402">
        <w:t xml:space="preserve">the </w:t>
      </w:r>
      <w:proofErr w:type="spellStart"/>
      <w:r w:rsidR="00245402">
        <w:rPr>
          <w:i/>
        </w:rPr>
        <w:t>Diehr</w:t>
      </w:r>
      <w:proofErr w:type="spellEnd"/>
      <w:r w:rsidR="00245402">
        <w:rPr>
          <w:i/>
        </w:rPr>
        <w:t xml:space="preserve"> </w:t>
      </w:r>
      <w:r w:rsidR="00245402">
        <w:t>claims</w:t>
      </w:r>
      <w:r w:rsidR="00EE473D">
        <w:t xml:space="preserve"> as a method for curing rubber, rather than a math formula. </w:t>
      </w:r>
      <w:r w:rsidR="001A0930">
        <w:t xml:space="preserve">The court emphasized examining the </w:t>
      </w:r>
      <w:proofErr w:type="gramStart"/>
      <w:r w:rsidR="001A0930">
        <w:t>claims as a whole, rather</w:t>
      </w:r>
      <w:proofErr w:type="gramEnd"/>
      <w:r w:rsidR="001A0930">
        <w:t xml:space="preserve"> than individually. </w:t>
      </w:r>
      <w:r w:rsidR="00853C21">
        <w:t>Upon examination, the</w:t>
      </w:r>
      <w:r w:rsidR="00CA6EE7">
        <w:t xml:space="preserve"> Court found that </w:t>
      </w:r>
      <w:r w:rsidR="00A73966">
        <w:t>the</w:t>
      </w:r>
      <w:r w:rsidR="00375F68">
        <w:t xml:space="preserve"> additional steps integrated the equation into a process </w:t>
      </w:r>
      <w:r w:rsidR="00525DD5">
        <w:t>and therefore</w:t>
      </w:r>
      <w:r w:rsidR="00CA6EE7">
        <w:t xml:space="preserve"> </w:t>
      </w:r>
      <w:commentRangeStart w:id="26"/>
      <w:commentRangeEnd w:id="26"/>
      <w:r w:rsidR="00853C21">
        <w:rPr>
          <w:rStyle w:val="CommentReference"/>
        </w:rPr>
        <w:commentReference w:id="26"/>
      </w:r>
      <w:r w:rsidR="00CA6EE7">
        <w:t>patentable.</w:t>
      </w:r>
      <w:r w:rsidR="000329E9">
        <w:t xml:space="preserve"> The patent did not seek to </w:t>
      </w:r>
      <w:r w:rsidR="00C96A91">
        <w:t>protect the formula, but rather the process of how the formula was used.</w:t>
      </w:r>
      <w:r w:rsidR="00CB0423">
        <w:rPr>
          <w:rStyle w:val="FootnoteReference"/>
        </w:rPr>
        <w:footnoteReference w:id="36"/>
      </w:r>
      <w:r w:rsidR="00C96A91">
        <w:t xml:space="preserve"> </w:t>
      </w:r>
      <w:r w:rsidR="002055CF">
        <w:t xml:space="preserve">Despite similar dependencies on </w:t>
      </w:r>
      <w:r w:rsidR="00CB0423">
        <w:t>mathematical formula, two different outcomes occurred</w:t>
      </w:r>
      <w:r w:rsidR="004E31FB">
        <w:t>.</w:t>
      </w:r>
      <w:r w:rsidR="002B4514">
        <w:t xml:space="preserve"> </w:t>
      </w:r>
      <w:r w:rsidR="00174EED">
        <w:t>This suggests</w:t>
      </w:r>
      <w:commentRangeStart w:id="27"/>
      <w:r w:rsidR="002B4514">
        <w:t xml:space="preserve"> that </w:t>
      </w:r>
      <w:r w:rsidR="00277D42">
        <w:t>physical transformation</w:t>
      </w:r>
      <w:r w:rsidR="00076925">
        <w:t xml:space="preserve"> is required for patent eligibility</w:t>
      </w:r>
      <w:commentRangeEnd w:id="27"/>
      <w:r w:rsidR="00004E58">
        <w:rPr>
          <w:rStyle w:val="CommentReference"/>
        </w:rPr>
        <w:commentReference w:id="27"/>
      </w:r>
      <w:r w:rsidR="00B00EAA">
        <w:rPr>
          <w:rStyle w:val="FootnoteReference"/>
        </w:rPr>
        <w:footnoteReference w:id="37"/>
      </w:r>
      <w:r w:rsidR="00076925">
        <w:t xml:space="preserve"> and </w:t>
      </w:r>
      <w:r w:rsidR="002B4514">
        <w:t xml:space="preserve">how an invention is </w:t>
      </w:r>
      <w:r w:rsidR="00D11C59">
        <w:t>described and labelled</w:t>
      </w:r>
      <w:r w:rsidR="005D7C46">
        <w:t xml:space="preserve"> is critical</w:t>
      </w:r>
      <w:r w:rsidR="00D11C59">
        <w:t xml:space="preserve"> to </w:t>
      </w:r>
      <w:r w:rsidR="00B12E69">
        <w:t>patent survival</w:t>
      </w:r>
      <w:r w:rsidR="00D11C59">
        <w:t>.</w:t>
      </w:r>
    </w:p>
    <w:p w14:paraId="4B083697" w14:textId="7E268817" w:rsidR="006622BC" w:rsidRPr="008D30E1" w:rsidRDefault="006622BC" w:rsidP="00402FDD">
      <w:pPr>
        <w:spacing w:line="480" w:lineRule="auto"/>
        <w:ind w:firstLine="720"/>
        <w:contextualSpacing/>
        <w:rPr>
          <w:color w:val="FF0000"/>
        </w:rPr>
      </w:pPr>
      <w:r w:rsidRPr="008D30E1">
        <w:rPr>
          <w:color w:val="FF0000"/>
        </w:rPr>
        <w:t>[</w:t>
      </w:r>
      <w:proofErr w:type="gramStart"/>
      <w:r w:rsidRPr="008D30E1">
        <w:rPr>
          <w:color w:val="FF0000"/>
        </w:rPr>
        <w:t>Summary Paragraph,</w:t>
      </w:r>
      <w:proofErr w:type="gramEnd"/>
      <w:r w:rsidRPr="008D30E1">
        <w:rPr>
          <w:color w:val="FF0000"/>
        </w:rPr>
        <w:t xml:space="preserve"> contrast these 4 different cases and discuss how they’re </w:t>
      </w:r>
      <w:r w:rsidR="002D47F2" w:rsidRPr="008D30E1">
        <w:rPr>
          <w:color w:val="FF0000"/>
        </w:rPr>
        <w:t xml:space="preserve">inconsistent with the “guidelines” in </w:t>
      </w:r>
      <w:proofErr w:type="spellStart"/>
      <w:r w:rsidR="002D47F2" w:rsidRPr="008D30E1">
        <w:rPr>
          <w:color w:val="FF0000"/>
        </w:rPr>
        <w:t>B</w:t>
      </w:r>
      <w:r w:rsidR="008D30E1" w:rsidRPr="008D30E1">
        <w:rPr>
          <w:color w:val="FF0000"/>
        </w:rPr>
        <w:t>ilski</w:t>
      </w:r>
      <w:proofErr w:type="spellEnd"/>
      <w:r w:rsidR="008D30E1" w:rsidRPr="008D30E1">
        <w:rPr>
          <w:color w:val="FF0000"/>
        </w:rPr>
        <w:t xml:space="preserve">, Benson, </w:t>
      </w:r>
      <w:proofErr w:type="spellStart"/>
      <w:r w:rsidR="008D30E1" w:rsidRPr="008D30E1">
        <w:rPr>
          <w:color w:val="FF0000"/>
        </w:rPr>
        <w:t>Diehr</w:t>
      </w:r>
      <w:proofErr w:type="spellEnd"/>
      <w:r w:rsidR="008D30E1" w:rsidRPr="008D30E1">
        <w:rPr>
          <w:color w:val="FF0000"/>
        </w:rPr>
        <w:t xml:space="preserve">, </w:t>
      </w:r>
      <w:proofErr w:type="spellStart"/>
      <w:r w:rsidR="008D30E1" w:rsidRPr="008D30E1">
        <w:rPr>
          <w:color w:val="FF0000"/>
        </w:rPr>
        <w:t>Flook</w:t>
      </w:r>
      <w:proofErr w:type="spellEnd"/>
      <w:r w:rsidR="008D30E1" w:rsidRPr="008D30E1">
        <w:rPr>
          <w:color w:val="FF0000"/>
        </w:rPr>
        <w:t>. The Courts decisions are arbitrary</w:t>
      </w:r>
      <w:r w:rsidRPr="008D30E1">
        <w:rPr>
          <w:color w:val="FF0000"/>
        </w:rPr>
        <w:t>]</w:t>
      </w:r>
    </w:p>
    <w:p w14:paraId="15D1554A" w14:textId="30770AB5" w:rsidR="000616D7" w:rsidRDefault="007D24D4" w:rsidP="00402FDD">
      <w:pPr>
        <w:pStyle w:val="Heading2"/>
        <w:spacing w:line="480" w:lineRule="auto"/>
        <w:contextualSpacing/>
      </w:pPr>
      <w:commentRangeStart w:id="28"/>
      <w:r>
        <w:lastRenderedPageBreak/>
        <w:t>Abandoned Tests</w:t>
      </w:r>
      <w:commentRangeEnd w:id="28"/>
      <w:r w:rsidR="009E3B28">
        <w:rPr>
          <w:rStyle w:val="CommentReference"/>
          <w:rFonts w:eastAsiaTheme="minorHAnsi" w:cstheme="minorBidi"/>
        </w:rPr>
        <w:commentReference w:id="28"/>
      </w:r>
    </w:p>
    <w:p w14:paraId="0A340EE9" w14:textId="0A2CB59F" w:rsidR="00EA6F4B" w:rsidRPr="00EA6F4B" w:rsidRDefault="00EA6F4B" w:rsidP="00402FDD">
      <w:pPr>
        <w:spacing w:line="480" w:lineRule="auto"/>
        <w:contextualSpacing/>
      </w:pPr>
      <w:r>
        <w:rPr>
          <w:color w:val="FF0000"/>
        </w:rPr>
        <w:t xml:space="preserve">[Discuss abandoned state street test] – process produced a “useful, concrete and tangible </w:t>
      </w:r>
      <w:proofErr w:type="gramStart"/>
      <w:r>
        <w:rPr>
          <w:color w:val="FF0000"/>
        </w:rPr>
        <w:t>result”  -</w:t>
      </w:r>
      <w:proofErr w:type="gramEnd"/>
      <w:r>
        <w:rPr>
          <w:color w:val="FF0000"/>
        </w:rPr>
        <w:t xml:space="preserve"> abandoned in favor of m-o-t (in re </w:t>
      </w:r>
      <w:proofErr w:type="spellStart"/>
      <w:r>
        <w:rPr>
          <w:color w:val="FF0000"/>
        </w:rPr>
        <w:t>bilski</w:t>
      </w:r>
      <w:proofErr w:type="spellEnd"/>
      <w:r>
        <w:rPr>
          <w:color w:val="FF0000"/>
        </w:rPr>
        <w:t>). An early test</w:t>
      </w:r>
    </w:p>
    <w:p w14:paraId="308FEA1E" w14:textId="59CE6CEB" w:rsidR="000616D7" w:rsidRDefault="000616D7" w:rsidP="00402FDD">
      <w:pPr>
        <w:spacing w:line="480" w:lineRule="auto"/>
        <w:ind w:firstLine="720"/>
        <w:contextualSpacing/>
      </w:pPr>
      <w:r>
        <w:t>The “machine or transformation test” was used as the sole test by the Federal Circuit to determine patent eligibility of a process.</w:t>
      </w:r>
      <w:r>
        <w:rPr>
          <w:rStyle w:val="FootnoteReference"/>
        </w:rPr>
        <w:footnoteReference w:id="38"/>
      </w:r>
      <w:r>
        <w:t xml:space="preserve"> This test, articulated in </w:t>
      </w:r>
      <w:r>
        <w:rPr>
          <w:i/>
        </w:rPr>
        <w:t>Benson</w:t>
      </w:r>
      <w:r>
        <w:t xml:space="preserve"> and affirmed in </w:t>
      </w:r>
      <w:proofErr w:type="spellStart"/>
      <w:r>
        <w:rPr>
          <w:i/>
        </w:rPr>
        <w:t>Diehr</w:t>
      </w:r>
      <w:proofErr w:type="spellEnd"/>
      <w:r>
        <w:t>.</w:t>
      </w:r>
      <w:r>
        <w:rPr>
          <w:rStyle w:val="FootnoteReference"/>
        </w:rPr>
        <w:footnoteReference w:id="39"/>
      </w:r>
      <w:r>
        <w:t xml:space="preserve">, required an applicant to show the claim </w:t>
      </w:r>
      <w:commentRangeStart w:id="29"/>
      <w:r>
        <w:t>was tied to a machine</w:t>
      </w:r>
      <w:commentRangeEnd w:id="29"/>
      <w:r>
        <w:rPr>
          <w:rStyle w:val="CommentReference"/>
        </w:rPr>
        <w:commentReference w:id="29"/>
      </w:r>
      <w:r>
        <w:t>, or that it transformed an article.</w:t>
      </w:r>
      <w:r>
        <w:rPr>
          <w:rStyle w:val="FootnoteReference"/>
        </w:rPr>
        <w:footnoteReference w:id="40"/>
      </w:r>
      <w: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eligible if it transforms “particular article into a different state or thing”.</w:t>
      </w:r>
      <w:r>
        <w:rPr>
          <w:rStyle w:val="FootnoteReference"/>
        </w:rPr>
        <w:footnoteReference w:id="41"/>
      </w:r>
      <w:r>
        <w:t xml:space="preserve"> In </w:t>
      </w:r>
      <w:proofErr w:type="spellStart"/>
      <w:r>
        <w:rPr>
          <w:i/>
        </w:rPr>
        <w:t>Diehr</w:t>
      </w:r>
      <w:proofErr w:type="spellEnd"/>
      <w:r>
        <w:t>, the process included a mathematical formula, a perfect example of an abstract idea. Despite this, it met both criteria of the machine-or-transformation test and was therefore patent eligible.</w:t>
      </w:r>
      <w:r>
        <w:rPr>
          <w:rStyle w:val="FootnoteReference"/>
        </w:rPr>
        <w:footnoteReference w:id="42"/>
      </w:r>
      <w:r>
        <w:t xml:space="preserve"> The formula calculated the time to cure rubber and was integrated into a process tied to a specific oven and technological set up. With these additional elements it was deemed patent eligible</w:t>
      </w:r>
      <w:r>
        <w:rPr>
          <w:rStyle w:val="FootnoteReference"/>
        </w:rPr>
        <w:footnoteReference w:id="43"/>
      </w:r>
      <w:r w:rsidRPr="00B82F2D">
        <w:rPr>
          <w:color w:val="FF0000"/>
        </w:rPr>
        <w:t xml:space="preserve"> </w:t>
      </w:r>
      <w:r>
        <w:t xml:space="preserve">In contrast a few years prior to </w:t>
      </w:r>
      <w:proofErr w:type="spellStart"/>
      <w:r>
        <w:rPr>
          <w:i/>
        </w:rPr>
        <w:t>Diehr</w:t>
      </w:r>
      <w:proofErr w:type="spellEnd"/>
      <w:r>
        <w:t>,</w:t>
      </w:r>
      <w:r>
        <w:rPr>
          <w:i/>
        </w:rPr>
        <w:t xml:space="preserve"> </w:t>
      </w:r>
      <w:r>
        <w:t xml:space="preserve">in </w:t>
      </w:r>
      <w:r>
        <w:rPr>
          <w:i/>
        </w:rPr>
        <w:t xml:space="preserve">Parker v. </w:t>
      </w:r>
      <w:proofErr w:type="spellStart"/>
      <w:r>
        <w:rPr>
          <w:i/>
        </w:rPr>
        <w:t>Flook</w:t>
      </w:r>
      <w:proofErr w:type="spellEnd"/>
      <w:r>
        <w:t>, the applicant had claimed a “Method for Updating Alarm Limits” which was a mathematical formula for updating alarm limits during catalytic conversion processes. There was no novel machine or physical connection and was deemed not patent eligible.</w:t>
      </w:r>
      <w:r>
        <w:rPr>
          <w:rStyle w:val="FootnoteReference"/>
        </w:rPr>
        <w:footnoteReference w:id="44"/>
      </w:r>
      <w:r w:rsidRPr="00B82F2D">
        <w:rPr>
          <w:color w:val="FF0000"/>
        </w:rPr>
        <w:t xml:space="preserve"> </w:t>
      </w:r>
      <w:r w:rsidR="00163030">
        <w:rPr>
          <w:color w:val="FF0000"/>
        </w:rPr>
        <w:t>[Concluding sentence summarizing and relating back to thesis and why this is a problem]</w:t>
      </w:r>
      <w:r w:rsidR="00A42D6D">
        <w:rPr>
          <w:color w:val="FF0000"/>
        </w:rPr>
        <w:t>.</w:t>
      </w:r>
    </w:p>
    <w:p w14:paraId="1C154B14" w14:textId="47F7DF22" w:rsidR="000616D7" w:rsidRDefault="000616D7" w:rsidP="00402FDD">
      <w:pPr>
        <w:spacing w:line="480" w:lineRule="auto"/>
        <w:ind w:firstLine="720"/>
        <w:contextualSpacing/>
      </w:pPr>
      <w:r w:rsidRPr="008D30E1">
        <w:lastRenderedPageBreak/>
        <w:t xml:space="preserve">When first introduced this test was not the sole determining inquiry it became. In </w:t>
      </w:r>
      <w:r w:rsidRPr="008D30E1">
        <w:rPr>
          <w:i/>
        </w:rPr>
        <w:t xml:space="preserve">Benson </w:t>
      </w:r>
      <w:r w:rsidRPr="008D30E1">
        <w:t>the Supreme Court stated it was “</w:t>
      </w:r>
      <w:r w:rsidRPr="008D30E1">
        <w:rPr>
          <w:i/>
        </w:rPr>
        <w:t>the</w:t>
      </w:r>
      <w:r w:rsidRPr="008D30E1">
        <w:t xml:space="preserve"> clue” to patent eligibility.</w:t>
      </w:r>
      <w:r w:rsidRPr="008D30E1">
        <w:rPr>
          <w:rStyle w:val="FootnoteReference"/>
        </w:rPr>
        <w:footnoteReference w:id="45"/>
      </w:r>
      <w:r w:rsidRPr="008D30E1">
        <w:t xml:space="preserve"> Initially used with the caveat </w:t>
      </w:r>
      <w:r w:rsidR="00A42D6D">
        <w:t>that</w:t>
      </w:r>
      <w:r w:rsidRPr="008D30E1">
        <w:t xml:space="preserve"> a process may be valid even without meeting the machine-or-transformation tests, the test was reaffirmed several times and </w:t>
      </w:r>
      <w:r w:rsidR="00A42D6D">
        <w:t>lost</w:t>
      </w:r>
      <w:r w:rsidRPr="008D30E1">
        <w:t xml:space="preserve"> the caveat until eventually the Federal Circuit used it as the sole test.</w:t>
      </w:r>
      <w:r w:rsidRPr="008D30E1">
        <w:rPr>
          <w:rStyle w:val="FootnoteReference"/>
        </w:rPr>
        <w:footnoteReference w:id="46"/>
      </w:r>
      <w:r w:rsidRPr="008D30E1">
        <w:t xml:space="preserve"> Soon after the Supreme Court </w:t>
      </w:r>
      <w:r w:rsidR="00EA6C49">
        <w:t>stated</w:t>
      </w:r>
      <w:r w:rsidRPr="008D30E1">
        <w:t xml:space="preserve"> the machine-or-transformation test was never intended to be an exhaustive or exclusive test</w:t>
      </w:r>
      <w:r w:rsidR="00823489">
        <w:t>, arguing</w:t>
      </w:r>
      <w:r w:rsidRPr="008D30E1">
        <w:t xml:space="preserve"> the machine-or-transformation test would create uncertainty as to the patentability of software</w:t>
      </w:r>
      <w:r w:rsidR="008D30E1" w:rsidRPr="008D30E1">
        <w:t>.</w:t>
      </w:r>
      <w:r w:rsidRPr="008D30E1">
        <w:rPr>
          <w:rStyle w:val="FootnoteReference"/>
        </w:rPr>
        <w:footnoteReference w:id="47"/>
      </w:r>
      <w:r w:rsidRPr="008D30E1">
        <w:t xml:space="preserve"> </w:t>
      </w:r>
      <w:r>
        <w:t xml:space="preserve">Today there is no test for </w:t>
      </w:r>
      <w:r w:rsidR="00244D65">
        <w:t>determining</w:t>
      </w:r>
      <w:commentRangeStart w:id="30"/>
      <w:r>
        <w:t xml:space="preserve"> abstract ideas</w:t>
      </w:r>
      <w:commentRangeEnd w:id="30"/>
      <w:r w:rsidR="00643B3C">
        <w:rPr>
          <w:rStyle w:val="CommentReference"/>
        </w:rPr>
        <w:commentReference w:id="30"/>
      </w:r>
      <w:r>
        <w:t xml:space="preserve"> and each patent must be considered on a case-by-case basis, comparing the invention at hand to others rather than applying a set of factors.</w:t>
      </w:r>
      <w:r>
        <w:rPr>
          <w:rStyle w:val="FootnoteReference"/>
        </w:rPr>
        <w:footnoteReference w:id="48"/>
      </w:r>
      <w:r>
        <w:t xml:space="preserve"> </w:t>
      </w:r>
    </w:p>
    <w:p w14:paraId="1459C67C" w14:textId="3A1D6757" w:rsidR="006E37CF" w:rsidRDefault="006E37CF" w:rsidP="00402FDD">
      <w:pPr>
        <w:pStyle w:val="Heading2"/>
        <w:spacing w:line="480" w:lineRule="auto"/>
        <w:contextualSpacing/>
      </w:pPr>
      <w:r>
        <w:t xml:space="preserve">Software Patents &amp; </w:t>
      </w:r>
      <w:commentRangeStart w:id="31"/>
      <w:commentRangeStart w:id="32"/>
      <w:r>
        <w:t>Abstract ideas</w:t>
      </w:r>
      <w:commentRangeEnd w:id="31"/>
      <w:r w:rsidR="006C3006">
        <w:rPr>
          <w:rStyle w:val="CommentReference"/>
          <w:rFonts w:eastAsiaTheme="minorHAnsi" w:cstheme="minorBidi"/>
        </w:rPr>
        <w:commentReference w:id="31"/>
      </w:r>
      <w:commentRangeEnd w:id="32"/>
      <w:r w:rsidR="006F5DE8">
        <w:t xml:space="preserve"> (Why is software difficult to patent)</w:t>
      </w:r>
      <w:r w:rsidR="00413848">
        <w:rPr>
          <w:rStyle w:val="CommentReference"/>
          <w:rFonts w:eastAsiaTheme="minorHAnsi" w:cstheme="minorBidi"/>
        </w:rPr>
        <w:commentReference w:id="32"/>
      </w:r>
    </w:p>
    <w:p w14:paraId="5EF52FCC" w14:textId="15124B13" w:rsidR="00386A3F" w:rsidRDefault="00F20C04" w:rsidP="00402FDD">
      <w:pPr>
        <w:spacing w:line="480" w:lineRule="auto"/>
        <w:ind w:firstLine="720"/>
        <w:contextualSpacing/>
        <w:rPr>
          <w:color w:val="auto"/>
        </w:rPr>
      </w:pPr>
      <w:r>
        <w:t>S</w:t>
      </w:r>
      <w:r w:rsidR="00603275">
        <w:t>oftware</w:t>
      </w:r>
      <w:r w:rsidR="003B1A58">
        <w:t xml:space="preserve"> is not easily sorted into the categories of 35 U.S.C. § 101</w:t>
      </w:r>
      <w:r w:rsidR="005E1F0C">
        <w:t>.</w:t>
      </w:r>
      <w:r w:rsidR="003B1A58">
        <w:t xml:space="preserve"> </w:t>
      </w:r>
      <w:r w:rsidR="005E1F0C">
        <w:t>I</w:t>
      </w:r>
      <w:r w:rsidR="003B1A58">
        <w:t xml:space="preserve">t </w:t>
      </w:r>
      <w:r w:rsidR="00603275">
        <w:t xml:space="preserve">not a </w:t>
      </w:r>
      <w:r w:rsidR="00DF0887">
        <w:t>“machine</w:t>
      </w:r>
      <w:r w:rsidR="00AE489E">
        <w:t>,</w:t>
      </w:r>
      <w:r w:rsidR="00DF0887">
        <w:t xml:space="preserve"> manufacture, or composition </w:t>
      </w:r>
      <w:r w:rsidR="00AE489E">
        <w:t>of matter”</w:t>
      </w:r>
      <w:r w:rsidR="004A53D9">
        <w:t xml:space="preserve">, </w:t>
      </w:r>
      <w:r w:rsidR="00727965">
        <w:t xml:space="preserve">and must therefore be a </w:t>
      </w:r>
      <w:r w:rsidR="00D56B8F">
        <w:t>“</w:t>
      </w:r>
      <w:r w:rsidR="004A53D9">
        <w:t>process</w:t>
      </w:r>
      <w:r w:rsidR="00D56B8F">
        <w:t>”</w:t>
      </w:r>
      <w:r w:rsidR="004A53D9">
        <w:t>.</w:t>
      </w:r>
      <w:r w:rsidR="005E1F0C">
        <w:rPr>
          <w:rStyle w:val="FootnoteReference"/>
        </w:rPr>
        <w:footnoteReference w:id="49"/>
      </w:r>
      <w:r w:rsidR="00AB1B8D" w:rsidRPr="00AB1B8D">
        <w:t xml:space="preserve"> </w:t>
      </w:r>
      <w:r w:rsidR="00AB1B8D">
        <w:t>Processes are not always physical and can easily be called abstract ideas.</w:t>
      </w:r>
      <w:r w:rsidR="004A53D9">
        <w:t xml:space="preserve"> </w:t>
      </w:r>
      <w:r w:rsidR="00C722B1">
        <w:t>This difficulty extends to software, which is often</w:t>
      </w:r>
      <w:r w:rsidR="0001184D">
        <w:t xml:space="preserve"> difficult to patent for several reasons: </w:t>
      </w:r>
      <w:r w:rsidR="008E650B">
        <w:t>1) it is intangible; 2)</w:t>
      </w:r>
      <w:r w:rsidR="002C6953">
        <w:t xml:space="preserve"> software frequently is made up of algorithms</w:t>
      </w:r>
      <w:r w:rsidR="00242D61">
        <w:t xml:space="preserve"> (a classic example of an abstract idea)</w:t>
      </w:r>
      <w:r w:rsidR="007B7789">
        <w:t xml:space="preserve">; </w:t>
      </w:r>
      <w:r w:rsidR="00D14959">
        <w:t xml:space="preserve">and 3) </w:t>
      </w:r>
      <w:r w:rsidR="002C6953">
        <w:t xml:space="preserve">it </w:t>
      </w:r>
      <w:r w:rsidR="00FC20AE">
        <w:t>can be seen as a mere representation of an abstract idea</w:t>
      </w:r>
      <w:r w:rsidR="00D14959">
        <w:t>.</w:t>
      </w:r>
      <w:r w:rsidR="00FC20AE">
        <w:rPr>
          <w:rStyle w:val="FootnoteReference"/>
        </w:rPr>
        <w:footnoteReference w:id="50"/>
      </w:r>
      <w:r w:rsidR="00164E50">
        <w:t xml:space="preserve"> </w:t>
      </w:r>
      <w:commentRangeStart w:id="33"/>
      <w:r w:rsidR="002F15ED">
        <w:t>Many</w:t>
      </w:r>
      <w:r w:rsidR="00443AA6">
        <w:t xml:space="preserve">, including </w:t>
      </w:r>
      <w:r w:rsidR="00201967">
        <w:t>a past director of the USPTO and a former Federal Circuit Judge,</w:t>
      </w:r>
      <w:r w:rsidR="002F15ED">
        <w:t xml:space="preserve"> </w:t>
      </w:r>
      <w:commentRangeEnd w:id="33"/>
      <w:r w:rsidR="00370E19">
        <w:rPr>
          <w:rStyle w:val="CommentReference"/>
        </w:rPr>
        <w:commentReference w:id="33"/>
      </w:r>
      <w:r w:rsidR="002F15ED">
        <w:t xml:space="preserve">believe that </w:t>
      </w:r>
      <w:r w:rsidR="006D36C1">
        <w:t xml:space="preserve">this eligibility requirement is </w:t>
      </w:r>
      <w:r w:rsidR="00B45CA6">
        <w:t>stifling</w:t>
      </w:r>
      <w:r w:rsidR="006D36C1">
        <w:t xml:space="preserve"> innovation </w:t>
      </w:r>
      <w:r w:rsidR="000D561C">
        <w:t>with its chilling effect on patents</w:t>
      </w:r>
      <w:r w:rsidR="000D561C" w:rsidRPr="00187415">
        <w:rPr>
          <w:color w:val="auto"/>
        </w:rPr>
        <w:t>.</w:t>
      </w:r>
      <w:r w:rsidR="008C2392" w:rsidRPr="00187415">
        <w:rPr>
          <w:rStyle w:val="FootnoteReference"/>
          <w:color w:val="auto"/>
        </w:rPr>
        <w:footnoteReference w:id="51"/>
      </w:r>
      <w:r w:rsidR="008C2392">
        <w:rPr>
          <w:color w:val="FF0000"/>
        </w:rPr>
        <w:t xml:space="preserve"> </w:t>
      </w:r>
      <w:r w:rsidR="00164E50">
        <w:t xml:space="preserve">These </w:t>
      </w:r>
      <w:r w:rsidR="008C2392">
        <w:t>inherent</w:t>
      </w:r>
      <w:r w:rsidR="00164E50">
        <w:t xml:space="preserve"> difficulties require </w:t>
      </w:r>
      <w:r w:rsidR="00F66592">
        <w:t xml:space="preserve">inventors to claim their inventions </w:t>
      </w:r>
      <w:r w:rsidR="00F66592">
        <w:lastRenderedPageBreak/>
        <w:t xml:space="preserve">in specific ways. </w:t>
      </w:r>
      <w:r w:rsidR="005E3800">
        <w:t xml:space="preserve">Early </w:t>
      </w:r>
      <w:r w:rsidR="00C106F1">
        <w:t>decisions relating to software patents seemed to require physical effects to make the software appear mechanical</w:t>
      </w:r>
      <w:r w:rsidR="005A549F">
        <w:t xml:space="preserve"> </w:t>
      </w:r>
      <w:r w:rsidR="005A549F">
        <w:t xml:space="preserve">and more easily fit into the other statutory </w:t>
      </w:r>
      <w:r w:rsidR="005A549F" w:rsidRPr="00D041EA">
        <w:t>categories</w:t>
      </w:r>
      <w:r w:rsidR="00636D7D" w:rsidRPr="00D041EA">
        <w:rPr>
          <w:rStyle w:val="FootnoteReference"/>
        </w:rPr>
        <w:footnoteReference w:id="52"/>
      </w:r>
      <w:r w:rsidR="007510E6" w:rsidRPr="00D041EA">
        <w:t xml:space="preserve">. </w:t>
      </w:r>
      <w:r w:rsidR="00EB0592" w:rsidRPr="00D041EA">
        <w:t xml:space="preserve">The outcomes of </w:t>
      </w:r>
      <w:proofErr w:type="spellStart"/>
      <w:r w:rsidR="00EB0592" w:rsidRPr="00D041EA">
        <w:rPr>
          <w:i/>
        </w:rPr>
        <w:t>Diehr</w:t>
      </w:r>
      <w:proofErr w:type="spellEnd"/>
      <w:r w:rsidR="00EB0592" w:rsidRPr="00D041EA">
        <w:rPr>
          <w:i/>
        </w:rPr>
        <w:t xml:space="preserve"> </w:t>
      </w:r>
      <w:r w:rsidR="00EB0592" w:rsidRPr="00D041EA">
        <w:t xml:space="preserve">and </w:t>
      </w:r>
      <w:r w:rsidR="00EB0592" w:rsidRPr="00D041EA">
        <w:rPr>
          <w:i/>
        </w:rPr>
        <w:t>Benson</w:t>
      </w:r>
      <w:r w:rsidR="00EB0592" w:rsidRPr="00D041EA">
        <w:t xml:space="preserve"> exhibit this requirement. </w:t>
      </w:r>
      <w:r w:rsidR="003A7F0B" w:rsidRPr="00D041EA">
        <w:t xml:space="preserve">In </w:t>
      </w:r>
      <w:proofErr w:type="spellStart"/>
      <w:r w:rsidR="006B459F" w:rsidRPr="00D041EA">
        <w:rPr>
          <w:i/>
        </w:rPr>
        <w:t>Diehr</w:t>
      </w:r>
      <w:proofErr w:type="spellEnd"/>
      <w:r w:rsidR="003A7F0B">
        <w:rPr>
          <w:color w:val="auto"/>
        </w:rPr>
        <w:t>,</w:t>
      </w:r>
      <w:r w:rsidR="002A2C36" w:rsidRPr="007510E6">
        <w:rPr>
          <w:color w:val="auto"/>
        </w:rPr>
        <w:t xml:space="preserve"> </w:t>
      </w:r>
      <w:r w:rsidR="000833A5" w:rsidRPr="007510E6">
        <w:rPr>
          <w:color w:val="auto"/>
        </w:rPr>
        <w:t>the process for curing rubber</w:t>
      </w:r>
      <w:r w:rsidR="003A7F0B">
        <w:rPr>
          <w:color w:val="auto"/>
        </w:rPr>
        <w:t xml:space="preserve"> was upheld despite</w:t>
      </w:r>
      <w:r w:rsidR="000833A5" w:rsidRPr="007510E6">
        <w:rPr>
          <w:color w:val="auto"/>
        </w:rPr>
        <w:t xml:space="preserve"> of its reliance on a mathematical formula</w:t>
      </w:r>
      <w:r w:rsidR="008D0D02">
        <w:rPr>
          <w:color w:val="auto"/>
        </w:rPr>
        <w:t>,</w:t>
      </w:r>
      <w:r w:rsidR="000833A5" w:rsidRPr="007510E6">
        <w:rPr>
          <w:color w:val="auto"/>
        </w:rPr>
        <w:t xml:space="preserve"> because of the physical transformation that occurred in the rubber</w:t>
      </w:r>
      <w:r w:rsidR="001C0177">
        <w:rPr>
          <w:color w:val="auto"/>
        </w:rPr>
        <w:t xml:space="preserve">. </w:t>
      </w:r>
      <w:r w:rsidR="006B459F" w:rsidRPr="007510E6">
        <w:rPr>
          <w:i/>
          <w:color w:val="auto"/>
        </w:rPr>
        <w:t>Benson</w:t>
      </w:r>
      <w:r w:rsidR="006B459F" w:rsidRPr="007510E6">
        <w:rPr>
          <w:color w:val="auto"/>
        </w:rPr>
        <w:t>’s conversion from BCD to binary</w:t>
      </w:r>
      <w:r w:rsidR="001C0177">
        <w:rPr>
          <w:color w:val="auto"/>
        </w:rPr>
        <w:t xml:space="preserve"> </w:t>
      </w:r>
      <w:r w:rsidR="00D041EA">
        <w:rPr>
          <w:color w:val="auto"/>
        </w:rPr>
        <w:t xml:space="preserve">was not overtly physical </w:t>
      </w:r>
      <w:r w:rsidR="001C0177">
        <w:rPr>
          <w:color w:val="auto"/>
        </w:rPr>
        <w:t>was invalidated</w:t>
      </w:r>
      <w:r w:rsidR="006B459F" w:rsidRPr="007510E6">
        <w:rPr>
          <w:color w:val="auto"/>
        </w:rPr>
        <w:t>.</w:t>
      </w:r>
      <w:r w:rsidR="007510E6">
        <w:rPr>
          <w:rStyle w:val="FootnoteReference"/>
          <w:color w:val="auto"/>
        </w:rPr>
        <w:footnoteReference w:id="53"/>
      </w:r>
      <w:r w:rsidR="006B459F" w:rsidRPr="007510E6">
        <w:rPr>
          <w:color w:val="auto"/>
        </w:rPr>
        <w:t xml:space="preserve"> </w:t>
      </w:r>
    </w:p>
    <w:p w14:paraId="79D6E2E7" w14:textId="312ED5E8" w:rsidR="006F5DE8" w:rsidRDefault="00B342AA" w:rsidP="00402FDD">
      <w:pPr>
        <w:pStyle w:val="Heading2"/>
        <w:spacing w:line="480" w:lineRule="auto"/>
        <w:contextualSpacing/>
      </w:pPr>
      <w:r>
        <w:t>The State of the Practice Recent Methods &amp; Cases</w:t>
      </w:r>
    </w:p>
    <w:p w14:paraId="5B6EA719" w14:textId="0375A4D6" w:rsidR="00603275" w:rsidRDefault="00DE5BBB" w:rsidP="00402FDD">
      <w:pPr>
        <w:spacing w:line="480" w:lineRule="auto"/>
        <w:ind w:firstLine="720"/>
        <w:contextualSpacing/>
      </w:pPr>
      <w:r>
        <w:t xml:space="preserve">To </w:t>
      </w:r>
      <w:r w:rsidR="00402FDD">
        <w:t>help</w:t>
      </w:r>
      <w:r>
        <w:t xml:space="preserve"> root </w:t>
      </w:r>
      <w:r w:rsidR="00471218">
        <w:t xml:space="preserve">software into the physical realm, applicants will often claim </w:t>
      </w:r>
      <w:r w:rsidR="0073414A">
        <w:t xml:space="preserve">software </w:t>
      </w:r>
      <w:r w:rsidR="00471218">
        <w:t>with</w:t>
      </w:r>
      <w:r w:rsidR="00EC7338">
        <w:t xml:space="preserve"> </w:t>
      </w:r>
      <w:r w:rsidR="00471218">
        <w:t xml:space="preserve">a </w:t>
      </w:r>
      <w:r w:rsidR="00EC7338" w:rsidRPr="00EC7338">
        <w:t>Beauregard</w:t>
      </w:r>
      <w:r w:rsidR="00EC7338">
        <w:t xml:space="preserve"> claim.</w:t>
      </w:r>
      <w:r w:rsidR="00EC7338">
        <w:rPr>
          <w:rStyle w:val="FootnoteReference"/>
        </w:rPr>
        <w:footnoteReference w:id="54"/>
      </w:r>
      <w:r w:rsidR="002B5D3E">
        <w:t xml:space="preserve"> These claims </w:t>
      </w:r>
      <w:r w:rsidR="005E201C">
        <w:t xml:space="preserve">began in response to </w:t>
      </w:r>
      <w:r w:rsidR="005E201C">
        <w:rPr>
          <w:i/>
        </w:rPr>
        <w:t>In re Beauregard</w:t>
      </w:r>
      <w:r w:rsidR="005E201C">
        <w:t xml:space="preserve">, which </w:t>
      </w:r>
      <w:r w:rsidR="008452BB">
        <w:t>quoted the Commissioner of Patents and Trademarks</w:t>
      </w:r>
      <w:r w:rsidR="00884029">
        <w:t>,</w:t>
      </w:r>
      <w:r w:rsidR="008452BB">
        <w:t xml:space="preserve"> who stated</w:t>
      </w:r>
      <w:r w:rsidR="005E201C">
        <w:t xml:space="preserve"> that software embodied in a tangible medium was patentable.</w:t>
      </w:r>
      <w:r w:rsidR="005E201C">
        <w:rPr>
          <w:rStyle w:val="FootnoteReference"/>
        </w:rPr>
        <w:footnoteReference w:id="55"/>
      </w:r>
      <w:r w:rsidR="005E201C">
        <w:t xml:space="preserve"> Thus claims often contain a variation on the following, “A computer readable medium containing program instructions…”</w:t>
      </w:r>
      <w:r w:rsidR="005E201C">
        <w:rPr>
          <w:rStyle w:val="FootnoteReference"/>
        </w:rPr>
        <w:footnoteReference w:id="56"/>
      </w:r>
      <w:r w:rsidR="005E201C">
        <w:t xml:space="preserve"> in an effort to connect the abstract nature of software with something tangible and real. </w:t>
      </w:r>
    </w:p>
    <w:p w14:paraId="1349CC35" w14:textId="0C9EB5B4" w:rsidR="0018090C" w:rsidRDefault="004F119C" w:rsidP="00402FDD">
      <w:pPr>
        <w:spacing w:line="480" w:lineRule="auto"/>
        <w:ind w:firstLine="720"/>
        <w:contextualSpacing/>
      </w:pPr>
      <w:commentRangeStart w:id="34"/>
      <w:r>
        <w:t>In 2012</w:t>
      </w:r>
      <w:r w:rsidR="00D30006">
        <w:t xml:space="preserve">, </w:t>
      </w:r>
      <w:r w:rsidR="007960EE">
        <w:t xml:space="preserve">the Supreme Court </w:t>
      </w:r>
      <w:r w:rsidR="00110EA6">
        <w:t xml:space="preserve">heard a petition concerning </w:t>
      </w:r>
      <w:r w:rsidR="00B55809">
        <w:t xml:space="preserve">processes that help doctors who administer thiopurine drugs determine if a dosage is </w:t>
      </w:r>
      <w:r w:rsidR="0047151A">
        <w:t>too low or too high</w:t>
      </w:r>
      <w:r w:rsidR="00363F14">
        <w:t xml:space="preserve">. </w:t>
      </w:r>
      <w:r w:rsidR="00D01AC6">
        <w:t xml:space="preserve">The </w:t>
      </w:r>
      <w:r w:rsidR="00D30006">
        <w:t>Mayo framework introduced</w:t>
      </w:r>
      <w:r w:rsidR="00474BE8">
        <w:t xml:space="preserve"> a two</w:t>
      </w:r>
      <w:ins w:id="35" w:author="Joseph Hold" w:date="2018-12-28T15:18:00Z">
        <w:r w:rsidR="004944AC">
          <w:t>-</w:t>
        </w:r>
      </w:ins>
      <w:r w:rsidR="00474BE8">
        <w:t xml:space="preserve">step process to determine </w:t>
      </w:r>
      <w:r w:rsidR="00A57DCE">
        <w:t xml:space="preserve">if an invention </w:t>
      </w:r>
      <w:r w:rsidR="00695531">
        <w:t xml:space="preserve">claims </w:t>
      </w:r>
      <w:r w:rsidR="001901F0">
        <w:t xml:space="preserve">“building blocks of human ingenuity, which are ineligible for patent protection” </w:t>
      </w:r>
      <w:r w:rsidR="005E61E2">
        <w:t xml:space="preserve">or if the patent integrates building blocks </w:t>
      </w:r>
      <w:r w:rsidR="005E61E2">
        <w:lastRenderedPageBreak/>
        <w:t xml:space="preserve">into something more. </w:t>
      </w:r>
      <w:commentRangeEnd w:id="34"/>
      <w:r w:rsidR="00A9598D">
        <w:rPr>
          <w:rStyle w:val="CommentReference"/>
        </w:rPr>
        <w:commentReference w:id="34"/>
      </w:r>
      <w:r w:rsidR="00E67AD2">
        <w:t xml:space="preserve">This case, while not software related, </w:t>
      </w:r>
      <w:r w:rsidR="00AA2610">
        <w:t xml:space="preserve">introduced the standard </w:t>
      </w:r>
      <w:r w:rsidR="00607841">
        <w:t xml:space="preserve">that </w:t>
      </w:r>
      <w:r w:rsidR="005364D3">
        <w:t xml:space="preserve">is now the method of </w:t>
      </w:r>
      <w:r w:rsidR="00607841">
        <w:t>considering</w:t>
      </w:r>
      <w:r w:rsidR="005364D3">
        <w:t xml:space="preserve"> abstract ideas. </w:t>
      </w:r>
      <w:r w:rsidR="00B5337E">
        <w:t xml:space="preserve">[What was the </w:t>
      </w:r>
      <w:commentRangeStart w:id="36"/>
      <w:r w:rsidR="00B5337E">
        <w:t>impact</w:t>
      </w:r>
      <w:commentRangeEnd w:id="36"/>
      <w:r w:rsidR="00370E19">
        <w:rPr>
          <w:rStyle w:val="CommentReference"/>
        </w:rPr>
        <w:commentReference w:id="36"/>
      </w:r>
      <w:r w:rsidR="00B5337E">
        <w:t>?]</w:t>
      </w:r>
    </w:p>
    <w:p w14:paraId="7B906CFD" w14:textId="77777777" w:rsidR="00402FDD" w:rsidRPr="002A4402" w:rsidRDefault="00402FDD" w:rsidP="00402FDD">
      <w:pPr>
        <w:spacing w:line="480" w:lineRule="auto"/>
        <w:ind w:firstLine="720"/>
        <w:contextualSpacing/>
        <w:rPr>
          <w:color w:val="FF0000"/>
        </w:rPr>
      </w:pPr>
      <w:r w:rsidRPr="002A4402">
        <w:rPr>
          <w:color w:val="FF0000"/>
        </w:rPr>
        <w:t xml:space="preserve">[explain the meaning of “directed to”] </w:t>
      </w:r>
      <w:proofErr w:type="gramStart"/>
      <w:r w:rsidRPr="002A4402">
        <w:rPr>
          <w:color w:val="FF0000"/>
        </w:rPr>
        <w:t xml:space="preserve">– </w:t>
      </w:r>
      <w:r>
        <w:rPr>
          <w:color w:val="FF0000"/>
        </w:rPr>
        <w:t xml:space="preserve"> </w:t>
      </w:r>
      <w:r w:rsidRPr="006117DA">
        <w:rPr>
          <w:color w:val="FF0000"/>
        </w:rPr>
        <w:t>https://www.uspto.gov/web/offices/pac/mpep/s2106.html</w:t>
      </w:r>
      <w:proofErr w:type="gramEnd"/>
    </w:p>
    <w:p w14:paraId="3FAD6F37" w14:textId="77777777" w:rsidR="00402FDD" w:rsidRDefault="00402FDD" w:rsidP="00402FDD">
      <w:pPr>
        <w:spacing w:line="480" w:lineRule="auto"/>
        <w:ind w:firstLine="720"/>
        <w:contextualSpacing/>
      </w:pPr>
    </w:p>
    <w:p w14:paraId="17CB6767" w14:textId="0F71455D" w:rsidR="008C2392" w:rsidRDefault="006A34C8" w:rsidP="00402FDD">
      <w:pPr>
        <w:spacing w:line="480" w:lineRule="auto"/>
        <w:ind w:firstLine="720"/>
        <w:contextualSpacing/>
      </w:pPr>
      <w:r>
        <w:t xml:space="preserve"> </w:t>
      </w:r>
      <w:commentRangeStart w:id="37"/>
      <w:r w:rsidR="008C2392">
        <w:t>[</w:t>
      </w:r>
      <w:commentRangeStart w:id="38"/>
      <w:proofErr w:type="spellStart"/>
      <w:r w:rsidR="008C2392">
        <w:t>alice</w:t>
      </w:r>
      <w:commentRangeEnd w:id="38"/>
      <w:proofErr w:type="spellEnd"/>
      <w:r w:rsidR="00827DEC">
        <w:rPr>
          <w:rStyle w:val="CommentReference"/>
        </w:rPr>
        <w:commentReference w:id="38"/>
      </w:r>
      <w:r w:rsidR="008C2392">
        <w:t xml:space="preserve">] </w:t>
      </w:r>
      <w:commentRangeEnd w:id="37"/>
      <w:r w:rsidR="008C2392">
        <w:rPr>
          <w:rStyle w:val="CommentReference"/>
        </w:rPr>
        <w:commentReference w:id="37"/>
      </w:r>
      <w:r w:rsidR="00C273C3">
        <w:t xml:space="preserve">In 2014, the patent world was rocked by </w:t>
      </w:r>
      <w:r w:rsidR="00C273C3">
        <w:rPr>
          <w:i/>
        </w:rPr>
        <w:t>Alice Corp. Pty. Ltd. v. CLS Bank Intern</w:t>
      </w:r>
      <w:r w:rsidR="00DF4EB9">
        <w:t xml:space="preserve">, in which the Supreme Court ruled that </w:t>
      </w:r>
      <w:commentRangeStart w:id="39"/>
      <w:r w:rsidR="00626E4E">
        <w:t>escrow software was a patent ineligible invention</w:t>
      </w:r>
      <w:commentRangeEnd w:id="39"/>
      <w:r w:rsidR="00370E19">
        <w:rPr>
          <w:rStyle w:val="CommentReference"/>
        </w:rPr>
        <w:commentReference w:id="39"/>
      </w:r>
      <w:r w:rsidR="00626E4E">
        <w:t xml:space="preserve">. </w:t>
      </w:r>
      <w:r w:rsidR="00E23289">
        <w:t xml:space="preserve">The opinion </w:t>
      </w:r>
      <w:r w:rsidR="00BD41BD">
        <w:t xml:space="preserve">created a </w:t>
      </w:r>
      <w:r w:rsidR="00BF09FB">
        <w:t>two-step</w:t>
      </w:r>
      <w:r w:rsidR="00BD41BD">
        <w:t xml:space="preserve"> framework, based largely on the </w:t>
      </w:r>
      <w:r w:rsidR="00BD41BD">
        <w:rPr>
          <w:i/>
        </w:rPr>
        <w:t>Mayo</w:t>
      </w:r>
      <w:r w:rsidR="00BD41BD">
        <w:t xml:space="preserve"> holding, to determine if a</w:t>
      </w:r>
      <w:r w:rsidR="007D197D">
        <w:t xml:space="preserve">n invention was patent eligible. </w:t>
      </w:r>
      <w:r w:rsidR="006A1615">
        <w:t>In s</w:t>
      </w:r>
      <w:r w:rsidR="00BF6F7B">
        <w:t xml:space="preserve">tep one of the framework </w:t>
      </w:r>
      <w:r w:rsidR="006A1615">
        <w:t xml:space="preserve">the Court must determine if the claims at </w:t>
      </w:r>
      <w:r w:rsidR="00BF09FB">
        <w:t>issue</w:t>
      </w:r>
      <w:r w:rsidR="006A1615">
        <w:t xml:space="preserve"> are direct</w:t>
      </w:r>
      <w:r w:rsidR="00B673C7">
        <w:t>ed to a patent-ineligible concept; if yes then they proceed to step two which asks: “what else is there in the claim before us?”</w:t>
      </w:r>
      <w:r w:rsidR="00B673C7">
        <w:rPr>
          <w:rStyle w:val="FootnoteReference"/>
        </w:rPr>
        <w:footnoteReference w:id="57"/>
      </w:r>
      <w:r w:rsidR="00AF743A">
        <w:t xml:space="preserve"> </w:t>
      </w:r>
      <w:commentRangeStart w:id="40"/>
      <w:r w:rsidR="00C01118">
        <w:t xml:space="preserve">This second step </w:t>
      </w:r>
      <w:r w:rsidR="009C21B7">
        <w:t>is determining whether additional elements transform the nature of the claim into patent eligible application</w:t>
      </w:r>
      <w:commentRangeEnd w:id="40"/>
      <w:r w:rsidR="0082773E">
        <w:rPr>
          <w:rStyle w:val="CommentReference"/>
        </w:rPr>
        <w:commentReference w:id="40"/>
      </w:r>
      <w:r w:rsidR="009C21B7">
        <w:t>.</w:t>
      </w:r>
      <w:r w:rsidR="0082773E">
        <w:rPr>
          <w:rStyle w:val="FootnoteReference"/>
        </w:rPr>
        <w:footnoteReference w:id="58"/>
      </w:r>
      <w:r w:rsidR="0082773E">
        <w:t xml:space="preserve"> </w:t>
      </w:r>
      <w:r w:rsidR="00AF743A">
        <w:t>The claim elements must be considered individually and in combination</w:t>
      </w:r>
      <w:r w:rsidR="00BF09FB">
        <w:t>.</w:t>
      </w:r>
      <w:r w:rsidR="00F844EB">
        <w:t xml:space="preserve"> </w:t>
      </w:r>
      <w:r w:rsidR="00F844EB" w:rsidRPr="009D1770">
        <w:rPr>
          <w:color w:val="FF0000"/>
        </w:rPr>
        <w:t xml:space="preserve">[Insert </w:t>
      </w:r>
      <w:r w:rsidR="009D1770" w:rsidRPr="009D1770">
        <w:rPr>
          <w:color w:val="FF0000"/>
        </w:rPr>
        <w:t xml:space="preserve">more about the mechanics of the decision, and how the factors weighed in the case at hand]. </w:t>
      </w:r>
      <w:r w:rsidR="00771849" w:rsidRPr="004F61DC">
        <w:t xml:space="preserve">In the </w:t>
      </w:r>
      <w:r w:rsidR="00FB343A" w:rsidRPr="004F61DC">
        <w:t>month</w:t>
      </w:r>
      <w:r w:rsidR="00771849" w:rsidRPr="004F61DC">
        <w:t xml:space="preserve"> after </w:t>
      </w:r>
      <w:r w:rsidR="00771849" w:rsidRPr="004F61DC">
        <w:rPr>
          <w:i/>
        </w:rPr>
        <w:t>Alice</w:t>
      </w:r>
      <w:r w:rsidR="00FB343A" w:rsidRPr="004F61DC">
        <w:t>, 830 patent applications were withdrawn</w:t>
      </w:r>
      <w:r w:rsidR="006C5E1E">
        <w:t>.</w:t>
      </w:r>
      <w:r w:rsidR="004F61DC" w:rsidRPr="004F61DC">
        <w:rPr>
          <w:rStyle w:val="FootnoteReference"/>
        </w:rPr>
        <w:footnoteReference w:id="59"/>
      </w:r>
      <w:r w:rsidR="00EF18AC">
        <w:t xml:space="preserve"> In the year following the decision, the Federal </w:t>
      </w:r>
      <w:commentRangeStart w:id="41"/>
      <w:r w:rsidR="00EF18AC">
        <w:lastRenderedPageBreak/>
        <w:t>Circuit used the two-step frame</w:t>
      </w:r>
      <w:r w:rsidR="007A4CDE">
        <w:t xml:space="preserve">work </w:t>
      </w:r>
      <w:r w:rsidR="005D0C52">
        <w:t>in ten cases</w:t>
      </w:r>
      <w:r w:rsidR="008722F6">
        <w:rPr>
          <w:rStyle w:val="FootnoteReference"/>
        </w:rPr>
        <w:footnoteReference w:id="60"/>
      </w:r>
      <w:r w:rsidR="005D0C52">
        <w:t xml:space="preserve"> </w:t>
      </w:r>
      <w:r w:rsidR="007A4CDE">
        <w:t xml:space="preserve">and only found </w:t>
      </w:r>
      <w:r w:rsidR="007E4B5C">
        <w:t xml:space="preserve">one </w:t>
      </w:r>
      <w:r w:rsidR="007A4CDE">
        <w:t xml:space="preserve">to contain </w:t>
      </w:r>
      <w:r w:rsidR="007E1601">
        <w:t>patent eligible subject matter.</w:t>
      </w:r>
      <w:r w:rsidR="007E1601">
        <w:rPr>
          <w:rStyle w:val="FootnoteReference"/>
        </w:rPr>
        <w:footnoteReference w:id="61"/>
      </w:r>
      <w:commentRangeEnd w:id="41"/>
      <w:r w:rsidR="0040031A">
        <w:rPr>
          <w:rStyle w:val="CommentReference"/>
        </w:rPr>
        <w:commentReference w:id="41"/>
      </w:r>
      <w:bookmarkStart w:id="42" w:name="_GoBack"/>
      <w:bookmarkEnd w:id="42"/>
    </w:p>
    <w:p w14:paraId="796CFE54" w14:textId="471B8BE8" w:rsidR="0058489B" w:rsidRDefault="006C590B" w:rsidP="00402FDD">
      <w:pPr>
        <w:spacing w:line="480" w:lineRule="auto"/>
        <w:ind w:firstLine="720"/>
        <w:contextualSpacing/>
        <w:rPr>
          <w:color w:val="FF0000"/>
        </w:rPr>
      </w:pPr>
      <w:r w:rsidRPr="002A4402">
        <w:rPr>
          <w:color w:val="FF0000"/>
        </w:rPr>
        <w:t xml:space="preserve">[Discuss DDR Holdings]. </w:t>
      </w:r>
    </w:p>
    <w:p w14:paraId="06D3297D" w14:textId="7D102CDB" w:rsidR="0027437B" w:rsidRDefault="0027437B" w:rsidP="00402FDD">
      <w:pPr>
        <w:spacing w:line="480" w:lineRule="auto"/>
        <w:ind w:firstLine="720"/>
        <w:contextualSpacing/>
        <w:rPr>
          <w:color w:val="FF0000"/>
        </w:rPr>
      </w:pPr>
      <w:proofErr w:type="spellStart"/>
      <w:r w:rsidRPr="002A4402">
        <w:rPr>
          <w:color w:val="FF0000"/>
        </w:rPr>
        <w:t>Enfish</w:t>
      </w:r>
      <w:proofErr w:type="spellEnd"/>
      <w:r w:rsidRPr="002A4402">
        <w:rPr>
          <w:rStyle w:val="CommentReference"/>
          <w:color w:val="FF0000"/>
        </w:rPr>
        <w:commentReference w:id="43"/>
      </w:r>
      <w:r>
        <w:rPr>
          <w:color w:val="FF0000"/>
        </w:rPr>
        <w:t xml:space="preserve"> (2016)</w:t>
      </w:r>
    </w:p>
    <w:p w14:paraId="7095CF7B" w14:textId="789ED8BE" w:rsidR="0027437B" w:rsidRPr="002A4402" w:rsidRDefault="0027437B" w:rsidP="00402FDD">
      <w:pPr>
        <w:spacing w:line="480" w:lineRule="auto"/>
        <w:ind w:firstLine="720"/>
        <w:contextualSpacing/>
        <w:rPr>
          <w:color w:val="FF0000"/>
        </w:rPr>
      </w:pPr>
      <w:r>
        <w:rPr>
          <w:color w:val="FF0000"/>
        </w:rPr>
        <w:t>Core Wireless</w:t>
      </w:r>
    </w:p>
    <w:p w14:paraId="5701CE38" w14:textId="23F3919A" w:rsidR="00DF4947" w:rsidRDefault="0058489B" w:rsidP="00402FDD">
      <w:pPr>
        <w:pStyle w:val="Heading1"/>
        <w:spacing w:line="480" w:lineRule="auto"/>
      </w:pPr>
      <w:r>
        <w:t>The Problem at Hand: Berkheimer</w:t>
      </w:r>
    </w:p>
    <w:p w14:paraId="73B9AAD0" w14:textId="69FD50FA" w:rsidR="00B4096D" w:rsidRDefault="003379BA" w:rsidP="00402FDD">
      <w:pPr>
        <w:spacing w:line="480" w:lineRule="auto"/>
        <w:ind w:firstLine="720"/>
        <w:contextualSpacing/>
      </w:pPr>
      <w:r>
        <w:t xml:space="preserve">In early 2018 </w:t>
      </w:r>
      <w:r w:rsidR="00F93DD1">
        <w:t xml:space="preserve">the Federal Circuit heard oral arguments for </w:t>
      </w:r>
      <w:r w:rsidR="00F93DD1">
        <w:rPr>
          <w:i/>
        </w:rPr>
        <w:t>Berkheimer v. HP</w:t>
      </w:r>
      <w:r w:rsidR="008E7CDC">
        <w:t>. The Appellant, Steven Berkheimer</w:t>
      </w:r>
      <w:r w:rsidR="009E44A5">
        <w:t xml:space="preserve">, was the patentee and brought action for infringement of </w:t>
      </w:r>
      <w:r w:rsidR="00587D17">
        <w:t>his patent that described methods for digital file processing and archiving.</w:t>
      </w:r>
      <w:r w:rsidR="00587D17">
        <w:rPr>
          <w:rStyle w:val="FootnoteReference"/>
        </w:rPr>
        <w:footnoteReference w:id="62"/>
      </w:r>
      <w:r w:rsidR="00F3500C">
        <w:t xml:space="preserve"> </w:t>
      </w:r>
      <w:r w:rsidR="00F77BB2">
        <w:t>The claimed invention</w:t>
      </w:r>
      <w:r w:rsidR="006960B9">
        <w:t xml:space="preserve"> parsed files into objects and tags the objects to create relationships</w:t>
      </w:r>
      <w:r w:rsidR="009A200C">
        <w:t>. The objects are then compared to archived objects to determining</w:t>
      </w:r>
      <w:r w:rsidR="00880AC6">
        <w:t xml:space="preserve"> variation. The system eliminates redundant storage of common text and graphic element</w:t>
      </w:r>
      <w:r w:rsidR="005754AD">
        <w:t>, improving operating efficient and storage.</w:t>
      </w:r>
      <w:r w:rsidR="005754AD">
        <w:rPr>
          <w:rStyle w:val="FootnoteReference"/>
        </w:rPr>
        <w:footnoteReference w:id="63"/>
      </w:r>
      <w:r w:rsidR="00D058BD">
        <w:t xml:space="preserve"> </w:t>
      </w:r>
      <w:r w:rsidR="00126150">
        <w:t>Finding several claims indefinite, the Court then considered patent eligibility of the claims.</w:t>
      </w:r>
      <w:r w:rsidR="00126150">
        <w:rPr>
          <w:rStyle w:val="FootnoteReference"/>
        </w:rPr>
        <w:footnoteReference w:id="64"/>
      </w:r>
      <w:r w:rsidR="00126150">
        <w:t xml:space="preserve"> </w:t>
      </w:r>
    </w:p>
    <w:p w14:paraId="53200221" w14:textId="7E4F74B1" w:rsidR="007F00B1" w:rsidRPr="008E7CDC" w:rsidRDefault="005222B1" w:rsidP="00402FDD">
      <w:pPr>
        <w:spacing w:line="480" w:lineRule="auto"/>
        <w:ind w:firstLine="720"/>
        <w:contextualSpacing/>
      </w:pPr>
      <w:r>
        <w:t xml:space="preserve">Following the questions presented in Alice/Mayo, the Court found that the claims were directed to abstract </w:t>
      </w:r>
      <w:r w:rsidR="00CE34AE">
        <w:t>ideas</w:t>
      </w:r>
      <w:r>
        <w:t xml:space="preserve"> of parsing, </w:t>
      </w:r>
      <w:r w:rsidR="00CE34AE">
        <w:t>comparing, storing</w:t>
      </w:r>
      <w:r w:rsidR="00421DA6">
        <w:t xml:space="preserve"> and editing data. </w:t>
      </w:r>
      <w:r w:rsidR="00D14BDC">
        <w:t>S</w:t>
      </w:r>
      <w:r w:rsidR="00421DA6">
        <w:t xml:space="preserve">ome genuine issue of </w:t>
      </w:r>
      <w:r w:rsidR="00421DA6">
        <w:lastRenderedPageBreak/>
        <w:t>material fact remained</w:t>
      </w:r>
      <w:r w:rsidR="00CE34AE">
        <w:t xml:space="preserve"> concerning whether some of the claims contained transformative invention concept</w:t>
      </w:r>
      <w:r w:rsidR="00D14BDC">
        <w:t xml:space="preserve"> and </w:t>
      </w:r>
      <w:r w:rsidR="00473573">
        <w:t>was summarily remanded</w:t>
      </w:r>
      <w:r w:rsidR="00CE34AE">
        <w:t>.</w:t>
      </w:r>
      <w:r w:rsidR="00CE34AE">
        <w:rPr>
          <w:rStyle w:val="FootnoteReference"/>
        </w:rPr>
        <w:footnoteReference w:id="65"/>
      </w:r>
    </w:p>
    <w:p w14:paraId="3E35A526" w14:textId="76E9C242" w:rsidR="00DF4947" w:rsidRDefault="00DF4947" w:rsidP="00402FDD">
      <w:pPr>
        <w:pStyle w:val="Heading1"/>
        <w:spacing w:line="480" w:lineRule="auto"/>
      </w:pPr>
      <w:r>
        <w:t>The Nay Sayers (Those that think there’s not a problem)</w:t>
      </w:r>
    </w:p>
    <w:p w14:paraId="00CE6334" w14:textId="715B0A0E" w:rsidR="004B16D1" w:rsidRPr="004B16D1" w:rsidRDefault="004B16D1" w:rsidP="00402FDD">
      <w:pPr>
        <w:pStyle w:val="Heading1"/>
        <w:spacing w:line="480" w:lineRule="auto"/>
      </w:pPr>
      <w:r>
        <w:t>The Solution (Analysis)</w:t>
      </w:r>
    </w:p>
    <w:p w14:paraId="6A644EED" w14:textId="77777777" w:rsidR="0058489B" w:rsidRPr="0058489B" w:rsidRDefault="0058489B" w:rsidP="00402FDD">
      <w:pPr>
        <w:spacing w:line="480" w:lineRule="auto"/>
        <w:contextualSpacing/>
      </w:pPr>
    </w:p>
    <w:p w14:paraId="3AA51BDC" w14:textId="77777777" w:rsidR="008B7A00" w:rsidRDefault="00A55113" w:rsidP="00402FDD">
      <w:pPr>
        <w:keepNext/>
        <w:spacing w:line="480" w:lineRule="auto"/>
        <w:ind w:firstLine="720"/>
        <w:contextualSpacing/>
        <w:jc w:val="center"/>
      </w:pPr>
      <w:r w:rsidRPr="00A55113">
        <w:rPr>
          <w:noProof/>
        </w:rPr>
        <w:drawing>
          <wp:inline distT="0" distB="0" distL="0" distR="0" wp14:anchorId="6B7340C7" wp14:editId="23FB5E2F">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5BC1FE73" w14:textId="39DFEC3B" w:rsidR="004A6DBA" w:rsidRDefault="008B7A00" w:rsidP="00402FDD">
      <w:pPr>
        <w:pStyle w:val="Caption"/>
        <w:spacing w:line="480" w:lineRule="auto"/>
        <w:contextualSpacing/>
        <w:jc w:val="center"/>
        <w:rPr>
          <w:noProof/>
        </w:rPr>
      </w:pPr>
      <w:r>
        <w:t xml:space="preserve">Figure </w:t>
      </w:r>
      <w:r>
        <w:rPr>
          <w:noProof/>
        </w:rPr>
        <w:t xml:space="preserve">1 - </w:t>
      </w:r>
      <w:r w:rsidR="004A6DBA" w:rsidRPr="00113F5A">
        <w:rPr>
          <w:rStyle w:val="Hyperlink"/>
          <w:noProof/>
        </w:rPr>
        <w:t>https://www.uspto.gov/web/offices/pac/mpep/s2106.html</w:t>
      </w:r>
    </w:p>
    <w:p w14:paraId="47D5079D" w14:textId="77777777" w:rsidR="004A6DBA" w:rsidRDefault="004A6DBA" w:rsidP="00402FDD">
      <w:pPr>
        <w:spacing w:line="480" w:lineRule="auto"/>
        <w:contextualSpacing/>
        <w:rPr>
          <w:i/>
          <w:iCs/>
          <w:noProof/>
          <w:color w:val="44546A" w:themeColor="text2"/>
          <w:sz w:val="18"/>
          <w:szCs w:val="18"/>
        </w:rPr>
      </w:pPr>
      <w:r>
        <w:rPr>
          <w:noProof/>
        </w:rPr>
        <w:lastRenderedPageBreak/>
        <w:br w:type="page"/>
      </w:r>
    </w:p>
    <w:p w14:paraId="0CA0BAC6" w14:textId="77777777" w:rsidR="00A94485" w:rsidRDefault="00A94485" w:rsidP="00402FDD">
      <w:pPr>
        <w:spacing w:line="480" w:lineRule="auto"/>
        <w:contextualSpacing/>
      </w:pPr>
      <w:r>
        <w:lastRenderedPageBreak/>
        <w:t>Pledge of Honesty</w:t>
      </w:r>
    </w:p>
    <w:p w14:paraId="0D29F65B" w14:textId="77777777" w:rsidR="00A94485" w:rsidRDefault="00A94485" w:rsidP="00402FDD">
      <w:pPr>
        <w:spacing w:line="480" w:lineRule="auto"/>
        <w:contextualSpacing/>
      </w:pPr>
      <w:r>
        <w:t xml:space="preserve">On my honor, I submit this work in good faith and pledge that I have neither given nor received improper aid in its completion. </w:t>
      </w:r>
    </w:p>
    <w:p w14:paraId="1DDCABEC" w14:textId="77777777" w:rsidR="00A94485" w:rsidRDefault="00A94485" w:rsidP="00402FDD">
      <w:pPr>
        <w:spacing w:line="480" w:lineRule="auto"/>
        <w:contextualSpacing/>
      </w:pPr>
      <w:r>
        <w:t>/s/ Seth Guthrie</w:t>
      </w:r>
    </w:p>
    <w:p w14:paraId="663E5ACE" w14:textId="012E6C8D" w:rsidR="00EE5E04" w:rsidRDefault="00EE5E04" w:rsidP="00402FDD">
      <w:pPr>
        <w:spacing w:line="480" w:lineRule="auto"/>
        <w:contextualSpacing/>
        <w:rPr>
          <w:ins w:id="44" w:author="Joseph Hold" w:date="2018-12-28T15:19:00Z"/>
        </w:rPr>
      </w:pPr>
    </w:p>
    <w:p w14:paraId="52A9A45D" w14:textId="120CA662" w:rsidR="004944AC" w:rsidRDefault="004944AC" w:rsidP="00402FDD">
      <w:pPr>
        <w:spacing w:line="480" w:lineRule="auto"/>
        <w:contextualSpacing/>
      </w:pPr>
      <w:ins w:id="45" w:author="Joseph Hold" w:date="2018-12-28T15:19:00Z">
        <w:r>
          <w:t xml:space="preserve">Good start. Watch out for ways to improve sentence structure and pay attention to your grammar. Your </w:t>
        </w:r>
      </w:ins>
      <w:ins w:id="46" w:author="Joseph Hold" w:date="2018-12-28T15:22:00Z">
        <w:r>
          <w:t xml:space="preserve">explanation of software patent history could use </w:t>
        </w:r>
      </w:ins>
      <w:ins w:id="47" w:author="Joseph Hold" w:date="2018-12-28T15:23:00Z">
        <w:r>
          <w:t>a bit more</w:t>
        </w:r>
      </w:ins>
      <w:ins w:id="48" w:author="Joseph Hold" w:date="2018-12-28T15:22:00Z">
        <w:r>
          <w:t xml:space="preserve"> work for clarity. Make sure </w:t>
        </w:r>
      </w:ins>
      <w:ins w:id="49" w:author="Joseph Hold" w:date="2018-12-28T15:23:00Z">
        <w:r>
          <w:t xml:space="preserve">you include your prescription for patent system updates.  </w:t>
        </w:r>
      </w:ins>
      <w:ins w:id="50" w:author="Joseph Hold" w:date="2018-12-28T15:22:00Z">
        <w:r>
          <w:t xml:space="preserve">Your analysis </w:t>
        </w:r>
      </w:ins>
      <w:ins w:id="51" w:author="Joseph Hold" w:date="2018-12-28T15:23:00Z">
        <w:r>
          <w:t>should include the argument of those who view the patent system as fine for software</w:t>
        </w:r>
      </w:ins>
      <w:ins w:id="52" w:author="Joseph Hold" w:date="2018-12-28T15:24:00Z">
        <w:r>
          <w:t xml:space="preserve"> needs. </w:t>
        </w:r>
      </w:ins>
    </w:p>
    <w:sectPr w:rsidR="004944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0C4B7947" w14:textId="59D9DFA7" w:rsidR="00A910A7" w:rsidRDefault="00A910A7">
      <w:pPr>
        <w:pStyle w:val="CommentText"/>
      </w:pPr>
      <w:r>
        <w:rPr>
          <w:rStyle w:val="CommentReference"/>
        </w:rPr>
        <w:annotationRef/>
      </w:r>
      <w:r>
        <w:t xml:space="preserve">Once I have all my citations, combine the footnotes and place them all at the end of sentences.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5"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6"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7"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8"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9"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0"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2"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1" w:author="seth guthrie" w:date="2018-11-19T13:59:00Z" w:initials="sg">
    <w:p w14:paraId="0C6FF372" w14:textId="77777777" w:rsidR="000E17C4" w:rsidRDefault="000E17C4">
      <w:pPr>
        <w:pStyle w:val="CommentText"/>
        <w:rPr>
          <w:rFonts w:ascii="Source Sans Pro" w:hAnsi="Source Sans Pro"/>
          <w:color w:val="565656"/>
          <w:sz w:val="23"/>
          <w:szCs w:val="23"/>
          <w:shd w:val="clear" w:color="auto" w:fill="FFFFFF"/>
        </w:rPr>
      </w:pPr>
      <w:r>
        <w:rPr>
          <w:rStyle w:val="CommentReference"/>
        </w:rPr>
        <w:annotationRef/>
      </w:r>
      <w:r w:rsidR="002317DA">
        <w:rPr>
          <w:rFonts w:ascii="Source Sans Pro" w:hAnsi="Source Sans Pro"/>
          <w:color w:val="565656"/>
          <w:sz w:val="23"/>
          <w:szCs w:val="23"/>
          <w:shd w:val="clear" w:color="auto" w:fill="FFFFFF"/>
        </w:rPr>
        <w:t>A principle, in the abstract, is fundamental truth, an original cause, a motive, and these cannot be patented, as no one can claim in any of them an exclusive right.</w:t>
      </w:r>
    </w:p>
    <w:p w14:paraId="1A89F225" w14:textId="77777777" w:rsidR="002317DA" w:rsidRDefault="002317DA">
      <w:pPr>
        <w:pStyle w:val="CommentText"/>
      </w:pPr>
    </w:p>
    <w:p w14:paraId="25355347" w14:textId="77777777" w:rsidR="002317DA" w:rsidRDefault="002317DA">
      <w:pPr>
        <w:pStyle w:val="CommentText"/>
        <w:rPr>
          <w:rFonts w:ascii="Source Sans Pro" w:hAnsi="Source Sans Pro"/>
          <w:color w:val="565656"/>
          <w:sz w:val="23"/>
          <w:szCs w:val="23"/>
          <w:shd w:val="clear" w:color="auto" w:fill="FFFFFF"/>
        </w:rPr>
      </w:pPr>
      <w:r>
        <w:rPr>
          <w:rFonts w:ascii="Source Sans Pro" w:hAnsi="Source Sans Pro"/>
          <w:color w:val="565656"/>
          <w:sz w:val="23"/>
          <w:szCs w:val="23"/>
          <w:shd w:val="clear" w:color="auto" w:fill="FFFFFF"/>
        </w:rPr>
        <w:t>Phenomena of nature, although just discovered, mental processes, and abstract intellectual concepts are not patentable as they are basic tools of scientific and technological work.</w:t>
      </w:r>
    </w:p>
    <w:p w14:paraId="6EA06C35" w14:textId="77777777" w:rsidR="002317DA" w:rsidRDefault="002317DA">
      <w:pPr>
        <w:pStyle w:val="CommentText"/>
      </w:pPr>
    </w:p>
    <w:p w14:paraId="679B737C" w14:textId="698D28D7" w:rsidR="002317DA" w:rsidRDefault="002317DA">
      <w:pPr>
        <w:pStyle w:val="CommentText"/>
      </w:pPr>
      <w:r>
        <w:rPr>
          <w:rFonts w:ascii="Source Sans Pro" w:hAnsi="Source Sans Pro"/>
          <w:color w:val="565656"/>
          <w:sz w:val="23"/>
          <w:szCs w:val="23"/>
          <w:shd w:val="clear" w:color="auto" w:fill="FFFFFF"/>
        </w:rPr>
        <w:t>He who discovers hitherto unknown phenomenon of nature has no claim to a monopoly of it which law recognizes and if there is to be invention from such discovery, it must come from application of law of nature to new and useful end.</w:t>
      </w:r>
    </w:p>
  </w:comment>
  <w:comment w:id="13" w:author="seth guthrie" w:date="2019-01-12T10:44:00Z" w:initials="GSK">
    <w:p w14:paraId="32B0A3DB" w14:textId="3CB129F7" w:rsidR="00140E92" w:rsidRDefault="00140E92">
      <w:pPr>
        <w:pStyle w:val="CommentText"/>
      </w:pPr>
      <w:r>
        <w:rPr>
          <w:rStyle w:val="CommentReference"/>
        </w:rPr>
        <w:annotationRef/>
      </w:r>
      <w:r>
        <w:t xml:space="preserve">Talk about how </w:t>
      </w:r>
      <w:proofErr w:type="gramStart"/>
      <w:r>
        <w:t>this flies</w:t>
      </w:r>
      <w:proofErr w:type="gramEnd"/>
      <w:r>
        <w:t xml:space="preserve"> in the face of MOT</w:t>
      </w:r>
    </w:p>
  </w:comment>
  <w:comment w:id="14"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5"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6" w:author="seth guthrie" w:date="2019-01-12T11:08:00Z" w:initials="GSK">
    <w:p w14:paraId="76329176" w14:textId="77777777" w:rsidR="00684E6B" w:rsidRDefault="00684E6B" w:rsidP="00684E6B">
      <w:pPr>
        <w:pStyle w:val="CommentText"/>
      </w:pPr>
      <w:r>
        <w:rPr>
          <w:rStyle w:val="CommentReference"/>
        </w:rPr>
        <w:annotationRef/>
      </w:r>
      <w:r>
        <w:t xml:space="preserve">In </w:t>
      </w:r>
      <w:proofErr w:type="spellStart"/>
      <w:r>
        <w:t>Alappat</w:t>
      </w:r>
      <w:proofErr w:type="spellEnd"/>
      <w:r>
        <w:t>, we held that data, transformed by a machine through a series of mathematical calculations to produce a smooth waveform display on a rasterizer monitor, constituted a practical application of an abstract idea (a mathematical algorithm, formula, or calculation), because it produced “a useful, concrete and tangible result”—the smooth waveform.</w:t>
      </w:r>
    </w:p>
    <w:p w14:paraId="78ADC6B3" w14:textId="0D034059" w:rsidR="00684E6B" w:rsidRDefault="00684E6B" w:rsidP="00684E6B">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7" w:author="seth guthrie" w:date="2019-01-12T11:08:00Z" w:initials="GSK">
    <w:p w14:paraId="214E3BAE" w14:textId="77777777" w:rsidR="00645C20" w:rsidRDefault="00645C20" w:rsidP="00645C20">
      <w:pPr>
        <w:pStyle w:val="CommentText"/>
      </w:pPr>
      <w:r>
        <w:rPr>
          <w:rStyle w:val="CommentReference"/>
        </w:rPr>
        <w:annotationRef/>
      </w:r>
      <w:r>
        <w:t xml:space="preserve">Similarly, in Arrhythmia Research Technology Inc. v. </w:t>
      </w:r>
      <w:proofErr w:type="spellStart"/>
      <w:r>
        <w:t>Corazonix</w:t>
      </w:r>
      <w:proofErr w:type="spellEnd"/>
      <w:r>
        <w:t xml:space="preserve"> Corp., 958 F.2d 1053, 22 USPQ2d 1033 (Fed.Cir.1992), we held that the transformation of electrocardiograph signals from a patient's heartbeat by a machine through a series of mathematical calculations constituted a practical application of an abstract idea (a mathematical algorithm, formula, or calculation), because it corresponded to a useful, concrete or tangible thing—the condition of a patient's heart.</w:t>
      </w:r>
    </w:p>
    <w:p w14:paraId="76B9F3B7" w14:textId="51544067" w:rsidR="00645C20" w:rsidRDefault="00645C20" w:rsidP="00645C20">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8" w:author="Joseph Hold" w:date="2018-12-28T13:30:00Z" w:initials="JH">
    <w:p w14:paraId="26BB1EFA" w14:textId="1A6B3B26" w:rsidR="004D2B3B" w:rsidRDefault="004D2B3B">
      <w:pPr>
        <w:pStyle w:val="CommentText"/>
      </w:pPr>
      <w:r>
        <w:rPr>
          <w:rStyle w:val="CommentReference"/>
        </w:rPr>
        <w:annotationRef/>
      </w:r>
      <w:r>
        <w:t>Best to keep consistent terms</w:t>
      </w:r>
    </w:p>
  </w:comment>
  <w:comment w:id="20" w:author="Joseph Hold" w:date="2018-12-28T13:34:00Z" w:initials="JH">
    <w:p w14:paraId="186D1191" w14:textId="159D2AFA" w:rsidR="00824EA2" w:rsidRDefault="00824EA2">
      <w:pPr>
        <w:pStyle w:val="CommentText"/>
      </w:pPr>
      <w:r>
        <w:rPr>
          <w:rStyle w:val="CommentReference"/>
        </w:rPr>
        <w:annotationRef/>
      </w:r>
      <w:r>
        <w:t xml:space="preserve">Watch your grammar </w:t>
      </w:r>
    </w:p>
  </w:comment>
  <w:comment w:id="21" w:author="Joseph Hold" w:date="2018-12-28T13:33:00Z" w:initials="JH">
    <w:p w14:paraId="6F489B25" w14:textId="626A05CA" w:rsidR="00824EA2" w:rsidRDefault="00824EA2">
      <w:pPr>
        <w:pStyle w:val="CommentText"/>
      </w:pPr>
      <w:r>
        <w:rPr>
          <w:rStyle w:val="CommentReference"/>
        </w:rPr>
        <w:annotationRef/>
      </w:r>
      <w:r>
        <w:t>Better flow</w:t>
      </w:r>
    </w:p>
  </w:comment>
  <w:comment w:id="22" w:author="Arielle" w:date="2018-12-28T19:51:00Z" w:initials="amp">
    <w:p w14:paraId="7E45B1A1" w14:textId="5097E462" w:rsidR="000631AF" w:rsidRDefault="000631AF">
      <w:pPr>
        <w:pStyle w:val="CommentText"/>
      </w:pPr>
      <w:r>
        <w:rPr>
          <w:rStyle w:val="CommentReference"/>
        </w:rPr>
        <w:annotationRef/>
      </w:r>
      <w:r>
        <w:t>Exclamation points are a bit informal.  Use a period instead.</w:t>
      </w:r>
    </w:p>
  </w:comment>
  <w:comment w:id="23" w:author="Joseph Hold" w:date="2018-12-28T14:34:00Z" w:initials="JH">
    <w:p w14:paraId="5ABE4B88" w14:textId="6F2B7A10" w:rsidR="00681922" w:rsidRDefault="00681922">
      <w:pPr>
        <w:pStyle w:val="CommentText"/>
      </w:pPr>
      <w:r>
        <w:rPr>
          <w:rStyle w:val="CommentReference"/>
        </w:rPr>
        <w:annotationRef/>
      </w:r>
      <w:r>
        <w:t>Cut unnecessary words</w:t>
      </w:r>
    </w:p>
  </w:comment>
  <w:comment w:id="25" w:author="Arielle" w:date="2018-12-28T19:52:00Z" w:initials="amp">
    <w:p w14:paraId="6E2152A6" w14:textId="2A8E5C00" w:rsidR="000631AF" w:rsidRDefault="000631AF">
      <w:pPr>
        <w:pStyle w:val="CommentText"/>
      </w:pPr>
      <w:r>
        <w:rPr>
          <w:rStyle w:val="CommentReference"/>
        </w:rPr>
        <w:annotationRef/>
      </w:r>
      <w:r>
        <w:t xml:space="preserve">You haven’t referred to Benson in text yet.  </w:t>
      </w:r>
      <w:r w:rsidR="00370E19">
        <w:t xml:space="preserve">If you are going to refer to a case name in text like this, you should discuss it in text initially. </w:t>
      </w:r>
    </w:p>
  </w:comment>
  <w:comment w:id="24" w:author="Arielle" w:date="2018-12-28T19:54:00Z" w:initials="amp">
    <w:p w14:paraId="7DE2C4BB" w14:textId="2BBD901D" w:rsidR="00370E19" w:rsidRDefault="00370E19">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6" w:author="Joseph Hold" w:date="2018-12-28T14:38:00Z" w:initials="JH">
    <w:p w14:paraId="40B6353D" w14:textId="03395CB6" w:rsidR="00853C21" w:rsidRDefault="00853C21">
      <w:pPr>
        <w:pStyle w:val="CommentText"/>
      </w:pPr>
      <w:r>
        <w:rPr>
          <w:rStyle w:val="CommentReference"/>
        </w:rPr>
        <w:annotationRef/>
      </w:r>
      <w:r w:rsidR="003A5D15">
        <w:t>Reconsider some sentence structure here</w:t>
      </w:r>
    </w:p>
  </w:comment>
  <w:comment w:id="27" w:author="seth guthrie" w:date="2018-11-19T15:27:00Z" w:initials="sg">
    <w:p w14:paraId="2396629D" w14:textId="77777777" w:rsidR="00004E58" w:rsidRPr="00004E58" w:rsidRDefault="00004E58" w:rsidP="00004E58">
      <w:pPr>
        <w:spacing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Diamond v. Diehr</w:t>
      </w:r>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28" w:author="seth guthrie" w:date="2019-01-12T11:55:00Z" w:initials="GSK">
    <w:p w14:paraId="6EB514FA" w14:textId="77777777" w:rsidR="009E3B28" w:rsidRDefault="009E3B28" w:rsidP="009E3B28">
      <w:pPr>
        <w:pStyle w:val="CommentText"/>
      </w:pPr>
      <w:r>
        <w:rPr>
          <w:rStyle w:val="CommentReference"/>
        </w:rPr>
        <w:annotationRef/>
      </w:r>
      <w:r>
        <w:rPr>
          <w:color w:val="FF0000"/>
        </w:rPr>
        <w:t xml:space="preserve">Refer to </w:t>
      </w:r>
      <w:r w:rsidRPr="0094033F">
        <w:rPr>
          <w:color w:val="FF0000"/>
        </w:rPr>
        <w:t xml:space="preserve">Joshua A. </w:t>
      </w:r>
      <w:proofErr w:type="spellStart"/>
      <w:r w:rsidRPr="0094033F">
        <w:rPr>
          <w:color w:val="FF0000"/>
        </w:rPr>
        <w:t>Kresh</w:t>
      </w:r>
      <w:proofErr w:type="spellEnd"/>
      <w:r w:rsidRPr="0094033F">
        <w:rPr>
          <w:color w:val="FF0000"/>
        </w:rPr>
        <w:t xml:space="preserve">, Patent Eligibility After Mayo: How Did We Get Here and Where Do We </w:t>
      </w:r>
      <w:proofErr w:type="gramStart"/>
      <w:r w:rsidRPr="0094033F">
        <w:rPr>
          <w:color w:val="FF0000"/>
        </w:rPr>
        <w:t>Go?,</w:t>
      </w:r>
      <w:proofErr w:type="gramEnd"/>
      <w:r w:rsidRPr="0094033F">
        <w:rPr>
          <w:color w:val="FF0000"/>
        </w:rPr>
        <w:t xml:space="preserve"> 22 Fed. Circuit B.J. 521, 532 (2013)</w:t>
      </w:r>
      <w:r w:rsidRPr="00512487">
        <w:rPr>
          <w:color w:val="FF0000"/>
        </w:rPr>
        <w:t>]</w:t>
      </w:r>
    </w:p>
    <w:p w14:paraId="089E9147" w14:textId="463808C4" w:rsidR="009E3B28" w:rsidRDefault="009E3B28">
      <w:pPr>
        <w:pStyle w:val="CommentText"/>
      </w:pPr>
    </w:p>
  </w:comment>
  <w:comment w:id="29"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30" w:author="seth guthrie" w:date="2019-01-14T10:51:00Z" w:initials="GSK">
    <w:p w14:paraId="2D1A3885" w14:textId="77777777" w:rsidR="00643B3C" w:rsidRDefault="00643B3C" w:rsidP="00643B3C">
      <w:pPr>
        <w:pStyle w:val="CommentText"/>
      </w:pPr>
      <w:r>
        <w:rPr>
          <w:rStyle w:val="CommentReference"/>
        </w:rPr>
        <w:annotationRef/>
      </w:r>
      <w:r>
        <w:rPr>
          <w:rStyle w:val="CommentReference"/>
        </w:rPr>
        <w:annotationRef/>
      </w:r>
      <w:r>
        <w:t>*41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61F7034E" w14:textId="77777777" w:rsidR="00643B3C" w:rsidRDefault="00643B3C" w:rsidP="00643B3C">
      <w:pPr>
        <w:pStyle w:val="CommentText"/>
      </w:pPr>
    </w:p>
    <w:p w14:paraId="5C46C1FE" w14:textId="77777777" w:rsidR="00643B3C" w:rsidRDefault="00643B3C" w:rsidP="00643B3C">
      <w:pPr>
        <w:pStyle w:val="CommentText"/>
      </w:pPr>
      <w:r>
        <w:t>Robert Daniel Garza, Software Patents and Pretrial Dismissal Based on Ineligibility, 24 Rich. J.L. &amp; Tech. 1, 41 (2018)</w:t>
      </w:r>
    </w:p>
    <w:p w14:paraId="427B24C2" w14:textId="093E10E1" w:rsidR="00643B3C" w:rsidRDefault="00643B3C">
      <w:pPr>
        <w:pStyle w:val="CommentText"/>
      </w:pPr>
    </w:p>
  </w:comment>
  <w:comment w:id="31"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32" w:author="Joseph Hold" w:date="2018-12-28T14:46:00Z" w:initials="JH">
    <w:p w14:paraId="60752375" w14:textId="1975D239" w:rsidR="00413848" w:rsidRDefault="00413848">
      <w:pPr>
        <w:pStyle w:val="CommentText"/>
      </w:pPr>
      <w:r>
        <w:rPr>
          <w:rStyle w:val="CommentReference"/>
        </w:rPr>
        <w:annotationRef/>
      </w:r>
      <w:r>
        <w:t xml:space="preserve">You’ll have to further explain in the preceding sentences what part labelling played in this case. </w:t>
      </w:r>
    </w:p>
  </w:comment>
  <w:comment w:id="33"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34" w:author="seth guthrie" w:date="2018-11-19T16:13:00Z" w:initials="sg">
    <w:p w14:paraId="0054D64F" w14:textId="3091DF0E" w:rsidR="00AE6A6A" w:rsidRDefault="00A9598D" w:rsidP="00AE6A6A">
      <w:pPr>
        <w:pStyle w:val="CommentText"/>
      </w:pPr>
      <w:r>
        <w:rPr>
          <w:rStyle w:val="CommentReference"/>
        </w:rPr>
        <w:annotationRef/>
      </w:r>
      <w:proofErr w:type="spellStart"/>
      <w:r>
        <w:t>Spurce</w:t>
      </w:r>
      <w:proofErr w:type="spellEnd"/>
      <w:r>
        <w:t xml:space="preserve"> up the Mayo section. See</w:t>
      </w:r>
      <w:r w:rsidR="00AE6A6A">
        <w:t xml:space="preserve"> </w:t>
      </w:r>
    </w:p>
    <w:p w14:paraId="51AE3AD6" w14:textId="77777777" w:rsidR="00AE6A6A" w:rsidRDefault="00AE6A6A" w:rsidP="00AE6A6A">
      <w:pPr>
        <w:pStyle w:val="CommentText"/>
      </w:pPr>
    </w:p>
    <w:p w14:paraId="331945EF" w14:textId="24140F0B" w:rsidR="00A9598D" w:rsidRDefault="00AE6A6A" w:rsidP="00AE6A6A">
      <w:pPr>
        <w:pStyle w:val="CommentText"/>
      </w:pPr>
      <w:r>
        <w:t>Robert Daniel Garza, Software Patents and Pretrial Dismissal Based on Ineligibility, 24 Rich. J.L. &amp; Tech. 1 (2018)</w:t>
      </w:r>
    </w:p>
  </w:comment>
  <w:comment w:id="36" w:author="Arielle" w:date="2018-12-28T20:00:00Z" w:initials="amp">
    <w:p w14:paraId="179E1F1F" w14:textId="2F8461FA" w:rsidR="00370E19" w:rsidRDefault="00370E19">
      <w:pPr>
        <w:pStyle w:val="CommentText"/>
      </w:pPr>
      <w:r>
        <w:rPr>
          <w:rStyle w:val="CommentReference"/>
        </w:rPr>
        <w:annotationRef/>
      </w:r>
      <w:r>
        <w:t>Structurally, the start of this section made me think you were going to be focusing on software.  This case, as far as I can tell, is not a software case.  If you include it here, make sure that it is very clear why.</w:t>
      </w:r>
    </w:p>
  </w:comment>
  <w:comment w:id="38" w:author="seth guthrie" w:date="2018-11-19T15:33:00Z" w:initials="sg">
    <w:p w14:paraId="0EEA4BEB" w14:textId="77777777" w:rsidR="00827DEC" w:rsidRDefault="00827DEC" w:rsidP="00827DEC">
      <w:pPr>
        <w:pStyle w:val="NormalWeb"/>
        <w:spacing w:before="0" w:beforeAutospacing="0" w:after="0" w:afterAutospacing="0"/>
        <w:rPr>
          <w:rFonts w:ascii="Calibri" w:hAnsi="Calibri"/>
          <w:sz w:val="22"/>
          <w:szCs w:val="22"/>
        </w:rPr>
      </w:pPr>
      <w:r>
        <w:rPr>
          <w:rStyle w:val="CommentReference"/>
        </w:rPr>
        <w:annotationRef/>
      </w:r>
      <w:r>
        <w:rPr>
          <w:rFonts w:ascii="Calibri" w:hAnsi="Calibri"/>
          <w:sz w:val="22"/>
          <w:szCs w:val="22"/>
        </w:rPr>
        <w:t xml:space="preserve">Hung H. Bui, A </w:t>
      </w:r>
      <w:proofErr w:type="gramStart"/>
      <w:r>
        <w:rPr>
          <w:rFonts w:ascii="Calibri" w:hAnsi="Calibri"/>
          <w:sz w:val="22"/>
          <w:szCs w:val="22"/>
        </w:rPr>
        <w:t>Common Sense</w:t>
      </w:r>
      <w:proofErr w:type="gramEnd"/>
      <w:r>
        <w:rPr>
          <w:rFonts w:ascii="Calibri" w:hAnsi="Calibri"/>
          <w:sz w:val="22"/>
          <w:szCs w:val="22"/>
        </w:rPr>
        <w:t xml:space="preserve"> Approach to Implement the Supreme</w:t>
      </w:r>
    </w:p>
    <w:p w14:paraId="4D6F36BC"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Court's Alice Two-Step Framework to Provide "Certainty" and</w:t>
      </w:r>
    </w:p>
    <w:p w14:paraId="3E93A543"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"Predictability", 100 J. Pat. &amp; Trademark Off. Soc'y 165, 241-42 (2018)</w:t>
      </w:r>
    </w:p>
    <w:p w14:paraId="160758D8" w14:textId="32E80D8B" w:rsidR="00827DEC" w:rsidRDefault="00827DEC">
      <w:pPr>
        <w:pStyle w:val="CommentText"/>
      </w:pPr>
    </w:p>
  </w:comment>
  <w:comment w:id="37" w:author="seth guthrie" w:date="2018-11-17T21:39:00Z" w:initials="sg">
    <w:p w14:paraId="3E8D7A58" w14:textId="1A9CA8CC" w:rsidR="004C419E" w:rsidRDefault="008C2392" w:rsidP="004C419E">
      <w:pPr>
        <w:pStyle w:val="CommentText"/>
      </w:pPr>
      <w:r>
        <w:rPr>
          <w:rStyle w:val="CommentReference"/>
        </w:rPr>
        <w:annotationRef/>
      </w:r>
      <w:r w:rsidR="004C419E">
        <w:t>Software Patents and Pretrial Dismissal Based on Ineligibility ( a great history of the software 101 journey)</w:t>
      </w:r>
    </w:p>
    <w:p w14:paraId="549B689F" w14:textId="222EAFFF" w:rsidR="004C419E" w:rsidRDefault="004C419E" w:rsidP="004C419E">
      <w:pPr>
        <w:pStyle w:val="CommentText"/>
      </w:pPr>
    </w:p>
    <w:p w14:paraId="69096FC1" w14:textId="77777777" w:rsidR="004C419E" w:rsidRDefault="004C419E" w:rsidP="004C419E">
      <w:pPr>
        <w:pStyle w:val="CommentText"/>
      </w:pPr>
      <w:r>
        <w:tab/>
      </w:r>
      <w:r>
        <w:tab/>
        <w:t xml:space="preserve">○ Software patent is not a term of art </w:t>
      </w:r>
    </w:p>
    <w:p w14:paraId="2A1130B5" w14:textId="77777777" w:rsidR="004C419E" w:rsidRDefault="004C419E" w:rsidP="004C419E">
      <w:pPr>
        <w:pStyle w:val="CommentText"/>
      </w:pPr>
      <w:r>
        <w:tab/>
      </w:r>
      <w:r>
        <w:tab/>
        <w:t>○ *41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70865150" w14:textId="77777777" w:rsidR="004C419E" w:rsidRDefault="004C419E" w:rsidP="004C419E">
      <w:pPr>
        <w:pStyle w:val="CommentText"/>
      </w:pPr>
      <w:r>
        <w:tab/>
      </w:r>
      <w:r>
        <w:tab/>
        <w:t xml:space="preserve">○ Clarifying the § 101 landscape has not been an easy task. Instead of establishing a firm definition of what constitutes an “abstract idea,” the Federal Circuit has decided cases on a claim-by-claim basis.284 </w:t>
      </w:r>
    </w:p>
    <w:p w14:paraId="7BD71711" w14:textId="6BEA67CA" w:rsidR="008C2392" w:rsidRDefault="004C419E" w:rsidP="004C419E">
      <w:pPr>
        <w:pStyle w:val="CommentText"/>
      </w:pPr>
      <w:r>
        <w:t>See Amdocs (Isr.) Ltd. v. Openet Telecomm. Inc., 841 F.3d 1288, 1293-94 (Fed. Cir. 2016).</w:t>
      </w:r>
    </w:p>
  </w:comment>
  <w:comment w:id="39" w:author="Arielle" w:date="2018-12-28T20:02:00Z" w:initials="amp">
    <w:p w14:paraId="04AF92E9" w14:textId="2D0578D5" w:rsidR="00370E19" w:rsidRDefault="00370E19">
      <w:pPr>
        <w:pStyle w:val="CommentText"/>
      </w:pPr>
      <w:r>
        <w:rPr>
          <w:rStyle w:val="CommentReference"/>
        </w:rPr>
        <w:annotationRef/>
      </w:r>
      <w:r>
        <w:t>Was there something about this particular software that led to this decision?</w:t>
      </w:r>
    </w:p>
  </w:comment>
  <w:comment w:id="40" w:author="seth guthrie" w:date="2018-11-19T17:26:00Z" w:initials="sg">
    <w:p w14:paraId="7FB8DFF8" w14:textId="77777777" w:rsidR="0082773E" w:rsidRPr="0082773E" w:rsidRDefault="0082773E" w:rsidP="0082773E">
      <w:pPr>
        <w:pStyle w:val="CommentText"/>
        <w:numPr>
          <w:ilvl w:val="0"/>
          <w:numId w:val="7"/>
        </w:numPr>
      </w:pPr>
      <w:r>
        <w:rPr>
          <w:rStyle w:val="CommentReference"/>
        </w:rPr>
        <w:annotationRef/>
      </w:r>
      <w:r w:rsidRPr="0082773E">
        <w:t>examine the elements of the claim to determine whether it contains an “‘inventive concept’” sufficient to “transform” the claimed abstract idea into a patent-eligible application</w:t>
      </w:r>
    </w:p>
    <w:p w14:paraId="72752B92" w14:textId="77777777" w:rsidR="0082773E" w:rsidRPr="0082773E" w:rsidRDefault="0082773E" w:rsidP="0082773E">
      <w:pPr>
        <w:pStyle w:val="CommentText"/>
        <w:numPr>
          <w:ilvl w:val="0"/>
          <w:numId w:val="7"/>
        </w:numPr>
      </w:pPr>
      <w:r w:rsidRPr="0082773E">
        <w:t>a claim that recites an abstract idea must include “additional features” to ensure “that the [claim] is more than a drafting effort designed to monopolize the [abstract idea].”</w:t>
      </w:r>
    </w:p>
    <w:p w14:paraId="14157142" w14:textId="77777777" w:rsidR="0082773E" w:rsidRPr="0082773E" w:rsidRDefault="0082773E" w:rsidP="0082773E">
      <w:pPr>
        <w:pStyle w:val="CommentText"/>
        <w:numPr>
          <w:ilvl w:val="0"/>
          <w:numId w:val="7"/>
        </w:numPr>
      </w:pPr>
      <w:r w:rsidRPr="0082773E">
        <w:t>transformation into a patent-eligible application requires “more than simply stating the abstract idea while adding the words ‘apply it</w:t>
      </w:r>
    </w:p>
    <w:p w14:paraId="15A6B623" w14:textId="77777777" w:rsidR="0082773E" w:rsidRPr="0082773E" w:rsidRDefault="0082773E" w:rsidP="0082773E">
      <w:pPr>
        <w:pStyle w:val="CommentText"/>
        <w:numPr>
          <w:ilvl w:val="0"/>
          <w:numId w:val="7"/>
        </w:numPr>
      </w:pPr>
      <w:r w:rsidRPr="0082773E">
        <w:t>simply appending conventional steps, specified at a high level of generality,” is not “enough” to supply an “‘inventive concept</w:t>
      </w:r>
    </w:p>
    <w:p w14:paraId="37A6294B" w14:textId="77777777" w:rsidR="0082773E" w:rsidRPr="0082773E" w:rsidRDefault="0082773E" w:rsidP="0082773E">
      <w:pPr>
        <w:pStyle w:val="CommentText"/>
        <w:numPr>
          <w:ilvl w:val="0"/>
          <w:numId w:val="7"/>
        </w:numPr>
      </w:pPr>
      <w:r w:rsidRPr="0082773E">
        <w:t>method claims, which merely require generic computer implementation, fail to transform that abstract idea into a patent eligible invention</w:t>
      </w:r>
    </w:p>
    <w:p w14:paraId="7C8AEE25" w14:textId="77777777" w:rsidR="0082773E" w:rsidRPr="0082773E" w:rsidRDefault="0082773E" w:rsidP="0082773E">
      <w:pPr>
        <w:pStyle w:val="CommentText"/>
        <w:numPr>
          <w:ilvl w:val="0"/>
          <w:numId w:val="7"/>
        </w:numPr>
      </w:pPr>
      <w:r w:rsidRPr="0082773E">
        <w:t xml:space="preserve">claims that amount “nothing significantly more” than an instruction to apply the abstract idea using some unspecified, generic computer. is not “enough” to transform an abstract idea into a patent-eligible invention. </w:t>
      </w:r>
    </w:p>
    <w:p w14:paraId="7C81444A" w14:textId="0625B5F6" w:rsidR="0082773E" w:rsidRDefault="0082773E">
      <w:pPr>
        <w:pStyle w:val="CommentText"/>
      </w:pPr>
    </w:p>
  </w:comment>
  <w:comment w:id="41" w:author="seth guthrie" w:date="2018-11-20T00:14:00Z" w:initials="sg">
    <w:p w14:paraId="5B9E2E4D" w14:textId="77777777" w:rsidR="0040031A" w:rsidRDefault="0040031A">
      <w:pPr>
        <w:pStyle w:val="CommentText"/>
      </w:pPr>
      <w:r>
        <w:rPr>
          <w:rStyle w:val="CommentReference"/>
        </w:rPr>
        <w:annotationRef/>
      </w:r>
      <w:r>
        <w:t xml:space="preserve">These two footnotes are </w:t>
      </w:r>
      <w:r w:rsidR="001F7B5F">
        <w:t xml:space="preserve">the references for a statement in Software Patents and Pretrial Based on Ineligibility. </w:t>
      </w:r>
    </w:p>
    <w:p w14:paraId="1CE49B16" w14:textId="77777777" w:rsidR="001F7B5F" w:rsidRDefault="001F7B5F">
      <w:pPr>
        <w:pStyle w:val="CommentText"/>
      </w:pPr>
    </w:p>
    <w:p w14:paraId="0324E50B" w14:textId="26E938DD" w:rsidR="001F7B5F" w:rsidRDefault="001F7B5F">
      <w:pPr>
        <w:pStyle w:val="CommentText"/>
      </w:pPr>
      <w:r>
        <w:t xml:space="preserve">I don’t think what I’ve done is plagiarism… but I’ll leave this here for now. </w:t>
      </w:r>
    </w:p>
  </w:comment>
  <w:comment w:id="43" w:author="seth guthrie" w:date="2018-11-19T15:45:00Z" w:initials="sg">
    <w:p w14:paraId="78515962" w14:textId="77777777" w:rsidR="0027437B" w:rsidRDefault="0027437B" w:rsidP="0027437B">
      <w:pPr>
        <w:ind w:firstLine="720"/>
      </w:pPr>
      <w:r>
        <w:rPr>
          <w:rStyle w:val="CommentReference"/>
        </w:rPr>
        <w:annotationRef/>
      </w:r>
      <w:r>
        <w:t xml:space="preserve">Read mayo, read </w:t>
      </w:r>
      <w:proofErr w:type="spellStart"/>
      <w:r>
        <w:t>alice</w:t>
      </w:r>
      <w:proofErr w:type="spellEnd"/>
      <w:r>
        <w:t xml:space="preserve">, </w:t>
      </w:r>
      <w:proofErr w:type="gramStart"/>
      <w:r>
        <w:t>Read</w:t>
      </w:r>
      <w:proofErr w:type="gramEnd"/>
      <w:r>
        <w:t xml:space="preserve"> </w:t>
      </w:r>
      <w:proofErr w:type="spellStart"/>
      <w:r>
        <w:t>enfish</w:t>
      </w:r>
      <w:proofErr w:type="spellEnd"/>
      <w:r>
        <w:t xml:space="preserve">, Read core wireless, </w:t>
      </w:r>
      <w:proofErr w:type="spellStart"/>
      <w:r>
        <w:t>ea</w:t>
      </w:r>
      <w:proofErr w:type="spellEnd"/>
    </w:p>
    <w:p w14:paraId="63DF0002" w14:textId="77777777" w:rsidR="0027437B" w:rsidRDefault="0027437B" w:rsidP="0027437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0"/>
  <w15:commentEx w15:paraId="0C4B7947" w15:done="0"/>
  <w15:commentEx w15:paraId="36B5A813" w15:done="0"/>
  <w15:commentEx w15:paraId="0906591B" w15:done="0"/>
  <w15:commentEx w15:paraId="5B822523" w15:done="0"/>
  <w15:commentEx w15:paraId="52A8F7EC" w15:done="0"/>
  <w15:commentEx w15:paraId="24007AD3" w15:done="0"/>
  <w15:commentEx w15:paraId="1BC83485" w15:done="0"/>
  <w15:commentEx w15:paraId="4CA981E7" w15:done="0"/>
  <w15:commentEx w15:paraId="56552634" w15:done="0"/>
  <w15:commentEx w15:paraId="5607BAE8" w15:done="1"/>
  <w15:commentEx w15:paraId="679B737C" w15:done="0"/>
  <w15:commentEx w15:paraId="32B0A3DB" w15:done="0"/>
  <w15:commentEx w15:paraId="0671A15F" w15:done="1"/>
  <w15:commentEx w15:paraId="504872FB" w15:done="1"/>
  <w15:commentEx w15:paraId="78ADC6B3" w15:done="0"/>
  <w15:commentEx w15:paraId="76B9F3B7" w15:done="0"/>
  <w15:commentEx w15:paraId="26BB1EFA" w15:done="1"/>
  <w15:commentEx w15:paraId="186D1191" w15:done="1"/>
  <w15:commentEx w15:paraId="6F489B25" w15:done="1"/>
  <w15:commentEx w15:paraId="7E45B1A1" w15:done="1"/>
  <w15:commentEx w15:paraId="5ABE4B88" w15:done="1"/>
  <w15:commentEx w15:paraId="6E2152A6" w15:done="1"/>
  <w15:commentEx w15:paraId="7DE2C4BB" w15:done="1"/>
  <w15:commentEx w15:paraId="40B6353D" w15:done="1"/>
  <w15:commentEx w15:paraId="4798CC47" w15:done="0"/>
  <w15:commentEx w15:paraId="089E9147" w15:done="0"/>
  <w15:commentEx w15:paraId="031CE120" w15:done="0"/>
  <w15:commentEx w15:paraId="427B24C2" w15:done="0"/>
  <w15:commentEx w15:paraId="743D23D2" w15:done="0"/>
  <w15:commentEx w15:paraId="60752375" w15:paraIdParent="743D23D2" w15:done="0"/>
  <w15:commentEx w15:paraId="55B57AF0" w15:done="1"/>
  <w15:commentEx w15:paraId="331945EF" w15:done="0"/>
  <w15:commentEx w15:paraId="179E1F1F" w15:done="0"/>
  <w15:commentEx w15:paraId="160758D8" w15:done="0"/>
  <w15:commentEx w15:paraId="7BD71711" w15:done="0"/>
  <w15:commentEx w15:paraId="04AF92E9" w15:done="0"/>
  <w15:commentEx w15:paraId="7C81444A" w15:done="0"/>
  <w15:commentEx w15:paraId="0324E50B" w15:done="0"/>
  <w15:commentEx w15:paraId="63DF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5607BAE8" w16cid:durableId="1FD0F677"/>
  <w16cid:commentId w16cid:paraId="679B737C" w16cid:durableId="1F9D404B"/>
  <w16cid:commentId w16cid:paraId="32B0A3DB" w16cid:durableId="1FE44393"/>
  <w16cid:commentId w16cid:paraId="0671A15F" w16cid:durableId="1FD0F681"/>
  <w16cid:commentId w16cid:paraId="504872FB" w16cid:durableId="1FD0FC4B"/>
  <w16cid:commentId w16cid:paraId="78ADC6B3" w16cid:durableId="1FE44925"/>
  <w16cid:commentId w16cid:paraId="76B9F3B7" w16cid:durableId="1FE4493A"/>
  <w16cid:commentId w16cid:paraId="26BB1EFA" w16cid:durableId="1FD0F684"/>
  <w16cid:commentId w16cid:paraId="186D1191" w16cid:durableId="1FD0F685"/>
  <w16cid:commentId w16cid:paraId="6F489B25" w16cid:durableId="1FD0F686"/>
  <w16cid:commentId w16cid:paraId="7E45B1A1" w16cid:durableId="1FE2D8FE"/>
  <w16cid:commentId w16cid:paraId="5ABE4B88" w16cid:durableId="1FE2D8FF"/>
  <w16cid:commentId w16cid:paraId="6E2152A6" w16cid:durableId="1FD0FD86"/>
  <w16cid:commentId w16cid:paraId="7DE2C4BB" w16cid:durableId="1FD0FDD9"/>
  <w16cid:commentId w16cid:paraId="40B6353D" w16cid:durableId="1FD0F689"/>
  <w16cid:commentId w16cid:paraId="4798CC47" w16cid:durableId="1F9D54C6"/>
  <w16cid:commentId w16cid:paraId="089E9147" w16cid:durableId="1FE4543D"/>
  <w16cid:commentId w16cid:paraId="031CE120" w16cid:durableId="1FE2EFBB"/>
  <w16cid:commentId w16cid:paraId="427B24C2" w16cid:durableId="1FE6E834"/>
  <w16cid:commentId w16cid:paraId="743D23D2" w16cid:durableId="1F9D55B8"/>
  <w16cid:commentId w16cid:paraId="60752375" w16cid:durableId="1FD0F68D"/>
  <w16cid:commentId w16cid:paraId="55B57AF0" w16cid:durableId="1FD0FEE0"/>
  <w16cid:commentId w16cid:paraId="331945EF" w16cid:durableId="1F9D5FAE"/>
  <w16cid:commentId w16cid:paraId="179E1F1F" w16cid:durableId="1FD0FF72"/>
  <w16cid:commentId w16cid:paraId="160758D8" w16cid:durableId="1F9D5630"/>
  <w16cid:commentId w16cid:paraId="7BD71711" w16cid:durableId="1F9B0922"/>
  <w16cid:commentId w16cid:paraId="04AF92E9" w16cid:durableId="1FD0FFE0"/>
  <w16cid:commentId w16cid:paraId="7C81444A" w16cid:durableId="1F9D70E0"/>
  <w16cid:commentId w16cid:paraId="0324E50B" w16cid:durableId="1F9DD0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9FA09" w14:textId="77777777" w:rsidR="00652AAF" w:rsidRDefault="00652AAF" w:rsidP="008E7715">
      <w:pPr>
        <w:spacing w:after="0"/>
      </w:pPr>
      <w:r>
        <w:separator/>
      </w:r>
    </w:p>
  </w:endnote>
  <w:endnote w:type="continuationSeparator" w:id="0">
    <w:p w14:paraId="592FDA04" w14:textId="77777777" w:rsidR="00652AAF" w:rsidRDefault="00652AAF" w:rsidP="008E7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771F4" w14:textId="77777777" w:rsidR="00652AAF" w:rsidRDefault="00652AAF" w:rsidP="008E7715">
      <w:pPr>
        <w:spacing w:after="0"/>
      </w:pPr>
      <w:r>
        <w:separator/>
      </w:r>
    </w:p>
  </w:footnote>
  <w:footnote w:type="continuationSeparator" w:id="0">
    <w:p w14:paraId="1634F07F" w14:textId="77777777" w:rsidR="00652AAF" w:rsidRDefault="00652AAF" w:rsidP="008E7715">
      <w:pPr>
        <w:spacing w:after="0"/>
      </w:pPr>
      <w:r>
        <w:continuationSeparator/>
      </w:r>
    </w:p>
  </w:footnote>
  <w:footnote w:id="1">
    <w:p w14:paraId="72AAEE86" w14:textId="77777777" w:rsidR="00941EFB" w:rsidRPr="00A023E9" w:rsidRDefault="00941EFB"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U.S. Const. art 1, § 8, cl. 8. </w:t>
      </w:r>
    </w:p>
  </w:footnote>
  <w:footnote w:id="2">
    <w:p w14:paraId="2696897D" w14:textId="275F0D22" w:rsidR="00AE7D84" w:rsidRPr="00A023E9" w:rsidRDefault="00AE7D84"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https://10millionpatents.uspto.gov/</w:t>
      </w:r>
    </w:p>
  </w:footnote>
  <w:footnote w:id="3">
    <w:p w14:paraId="1825D2DC" w14:textId="77777777" w:rsidR="00941EFB" w:rsidRPr="00A023E9" w:rsidRDefault="00941EFB"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MPEP – INTRODUCTION. </w:t>
      </w:r>
      <w:hyperlink r:id="rId1" w:history="1">
        <w:r w:rsidRPr="00A023E9">
          <w:rPr>
            <w:rStyle w:val="Hyperlink"/>
            <w:rFonts w:cs="Times New Roman"/>
          </w:rPr>
          <w:t>https://www.uspto.gov/web/offices/pac/mpep/mpep-0020-introduction.html</w:t>
        </w:r>
      </w:hyperlink>
      <w:r w:rsidRPr="00A023E9">
        <w:rPr>
          <w:rFonts w:cs="Times New Roman"/>
        </w:rPr>
        <w:t xml:space="preserve">. </w:t>
      </w:r>
      <w:r w:rsidRPr="00A023E9">
        <w:rPr>
          <w:rFonts w:cs="Times New Roman"/>
          <w:highlight w:val="yellow"/>
        </w:rPr>
        <w:t>[HOW TO CITE MPEP?]</w:t>
      </w:r>
      <w:r w:rsidRPr="00A023E9">
        <w:rPr>
          <w:rFonts w:cs="Times New Roman"/>
        </w:rPr>
        <w:t xml:space="preserve"> </w:t>
      </w:r>
    </w:p>
  </w:footnote>
  <w:footnote w:id="4">
    <w:p w14:paraId="4C545E5C" w14:textId="77777777" w:rsidR="00E01265" w:rsidRPr="00A023E9" w:rsidRDefault="00E01265"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https://10millionpatents.uspto.gov/</w:t>
      </w:r>
    </w:p>
  </w:footnote>
  <w:footnote w:id="5">
    <w:p w14:paraId="25AB2646" w14:textId="2412532F" w:rsidR="00DA646A" w:rsidRPr="00A023E9" w:rsidRDefault="00FE44F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hyperlink r:id="rId2" w:history="1">
        <w:r w:rsidRPr="00A023E9">
          <w:rPr>
            <w:rStyle w:val="Hyperlink"/>
            <w:rFonts w:cs="Times New Roman"/>
          </w:rPr>
          <w:t>https://www.ipwatchdog.com/2017/05/21/alice-over-half-u-s-utility-patents-issued-annually-software/id=83367/</w:t>
        </w:r>
      </w:hyperlink>
      <w:r w:rsidRPr="00A023E9">
        <w:rPr>
          <w:rFonts w:cs="Times New Roman"/>
        </w:rPr>
        <w:t>;</w:t>
      </w:r>
      <w:r w:rsidR="0029185C" w:rsidRPr="00A023E9">
        <w:rPr>
          <w:rFonts w:cs="Times New Roman"/>
        </w:rPr>
        <w:t xml:space="preserve"> </w:t>
      </w:r>
      <w:r w:rsidR="00DA646A" w:rsidRPr="00A023E9">
        <w:rPr>
          <w:rFonts w:cs="Times New Roman"/>
        </w:rPr>
        <w:t>https://www.ificlaims.com/rankings-trends-2017.htm</w:t>
      </w:r>
    </w:p>
  </w:footnote>
  <w:footnote w:id="6">
    <w:p w14:paraId="4095355D" w14:textId="1BF92B77" w:rsidR="00414ACD" w:rsidRPr="00A023E9" w:rsidRDefault="00414ACD"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See e.g. </w:t>
      </w:r>
      <w:r w:rsidRPr="00A023E9">
        <w:rPr>
          <w:rFonts w:cs="Times New Roman"/>
        </w:rPr>
        <w:t>Benson, Berkheimer</w:t>
      </w:r>
    </w:p>
  </w:footnote>
  <w:footnote w:id="7">
    <w:p w14:paraId="6270E5A2" w14:textId="5C0738B1" w:rsidR="00B057A5" w:rsidRPr="00A023E9" w:rsidRDefault="00B057A5"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highlight w:val="yellow"/>
        </w:rPr>
        <w:t>Berkheimer</w:t>
      </w:r>
    </w:p>
  </w:footnote>
  <w:footnote w:id="8">
    <w:p w14:paraId="1C42700F" w14:textId="4B4D8CD6" w:rsidR="00B057A5" w:rsidRPr="00A023E9" w:rsidRDefault="00B057A5"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B1523F" w:rsidRPr="00A023E9">
        <w:rPr>
          <w:rFonts w:cs="Times New Roman"/>
          <w:highlight w:val="yellow"/>
        </w:rPr>
        <w:t>How in the world do you cite the Berkheimer memo?</w:t>
      </w:r>
    </w:p>
  </w:footnote>
  <w:footnote w:id="9">
    <w:p w14:paraId="7DF147D1" w14:textId="1FC3BC50" w:rsidR="00261537" w:rsidRPr="00A023E9" w:rsidRDefault="00261537"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w:t>
      </w:r>
      <w:r w:rsidR="00826F6B" w:rsidRPr="00A023E9">
        <w:rPr>
          <w:rFonts w:cs="Times New Roman"/>
        </w:rPr>
        <w:t xml:space="preserve"> 101</w:t>
      </w:r>
    </w:p>
  </w:footnote>
  <w:footnote w:id="10">
    <w:p w14:paraId="53936C0C" w14:textId="7190B89A" w:rsidR="00A92CF2" w:rsidRPr="00A023E9" w:rsidRDefault="00A92CF2"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102, 103, 112; </w:t>
      </w:r>
      <w:r w:rsidR="00356F2D" w:rsidRPr="00A023E9">
        <w:rPr>
          <w:rFonts w:cs="Times New Roman"/>
          <w:i/>
        </w:rPr>
        <w:t>Mayo Collaborative Servs. v. Prometheus Labs., Inc.</w:t>
      </w:r>
      <w:r w:rsidR="00356F2D" w:rsidRPr="00A023E9">
        <w:rPr>
          <w:rFonts w:cs="Times New Roman"/>
        </w:rPr>
        <w:t xml:space="preserve">, </w:t>
      </w:r>
      <w:r w:rsidR="00356F2D" w:rsidRPr="00A023E9">
        <w:rPr>
          <w:rFonts w:cs="Times New Roman"/>
          <w:color w:val="FF0000"/>
        </w:rPr>
        <w:t xml:space="preserve">566 U.S. 66, 70, 132 S. Ct. 1289, 1293, </w:t>
      </w:r>
      <w:r w:rsidR="00356F2D" w:rsidRPr="00A023E9">
        <w:rPr>
          <w:rFonts w:cs="Times New Roman"/>
        </w:rPr>
        <w:t>(2012).</w:t>
      </w:r>
    </w:p>
  </w:footnote>
  <w:footnote w:id="11">
    <w:p w14:paraId="77012373" w14:textId="77777777" w:rsidR="0054099B" w:rsidRPr="00A023E9" w:rsidRDefault="0054099B"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102, 103, 112</w:t>
      </w:r>
    </w:p>
  </w:footnote>
  <w:footnote w:id="12">
    <w:p w14:paraId="34EE861C" w14:textId="533096E5" w:rsidR="00543F69" w:rsidRPr="00A023E9" w:rsidRDefault="00543F69"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CITATION NEEDED</w:t>
      </w:r>
    </w:p>
  </w:footnote>
  <w:footnote w:id="13">
    <w:p w14:paraId="16E7BBA7" w14:textId="161B7228" w:rsidR="00C25E59" w:rsidRPr="00A023E9" w:rsidRDefault="00C25E59"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CITATION NEEDED</w:t>
      </w:r>
    </w:p>
  </w:footnote>
  <w:footnote w:id="14">
    <w:p w14:paraId="1C934F60" w14:textId="184D26DB" w:rsidR="00896241" w:rsidRPr="00A023E9" w:rsidRDefault="0089624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Mayo Collaborative Servs. v. Prometheus Labs., Inc.</w:t>
      </w:r>
      <w:r w:rsidRPr="00A023E9">
        <w:rPr>
          <w:rFonts w:cs="Times New Roman"/>
        </w:rPr>
        <w:t xml:space="preserve">, </w:t>
      </w:r>
      <w:r w:rsidRPr="00A023E9">
        <w:rPr>
          <w:rFonts w:cs="Times New Roman"/>
          <w:color w:val="FF0000"/>
        </w:rPr>
        <w:t xml:space="preserve">566 U.S. 66, 70 </w:t>
      </w:r>
      <w:r w:rsidRPr="00A023E9">
        <w:rPr>
          <w:rFonts w:cs="Times New Roman"/>
        </w:rPr>
        <w:t xml:space="preserve">(2012) (restating the long-held exceptions 35 U.S.C. § 101: laws of nature, natural phenomena, and abstract ideas). </w:t>
      </w:r>
    </w:p>
  </w:footnote>
  <w:footnote w:id="15">
    <w:p w14:paraId="5A58D3D7" w14:textId="62D85F05" w:rsidR="00896241" w:rsidRPr="00A023E9" w:rsidRDefault="0089624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Gottschalk v. Benson</w:t>
      </w:r>
      <w:r w:rsidRPr="00A023E9">
        <w:rPr>
          <w:rFonts w:cs="Times New Roman"/>
        </w:rPr>
        <w:t xml:space="preserve">, </w:t>
      </w:r>
      <w:r w:rsidRPr="00A023E9">
        <w:rPr>
          <w:rFonts w:cs="Times New Roman"/>
          <w:color w:val="FF0000"/>
        </w:rPr>
        <w:t xml:space="preserve">409 U.S. 63, 67 </w:t>
      </w:r>
      <w:r w:rsidRPr="00A023E9">
        <w:rPr>
          <w:rFonts w:cs="Times New Roman"/>
        </w:rPr>
        <w:t>(1972) (holding a method for converting binary-coded-decimals to binary unpatentable)</w:t>
      </w:r>
    </w:p>
  </w:footnote>
  <w:footnote w:id="16">
    <w:p w14:paraId="1CC3C144" w14:textId="5009D232" w:rsidR="00896241" w:rsidRPr="00A023E9" w:rsidRDefault="0089624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Mayo Collaborative Servs. v. Prometheus Labs., Inc.</w:t>
      </w:r>
      <w:r w:rsidRPr="00A023E9">
        <w:rPr>
          <w:rFonts w:cs="Times New Roman"/>
        </w:rPr>
        <w:t xml:space="preserve">, </w:t>
      </w:r>
      <w:r w:rsidRPr="00A023E9">
        <w:rPr>
          <w:rFonts w:cs="Times New Roman"/>
          <w:color w:val="FF0000"/>
        </w:rPr>
        <w:t xml:space="preserve">566 U.S. 66, 70 </w:t>
      </w:r>
      <w:r w:rsidRPr="00A023E9">
        <w:rPr>
          <w:rFonts w:cs="Times New Roman"/>
        </w:rPr>
        <w:t>(2012) (restating the long-held exceptions 35 U.S.C. § 101: laws of nature, natural phenomena, and abstract ideas)</w:t>
      </w:r>
    </w:p>
  </w:footnote>
  <w:footnote w:id="17">
    <w:p w14:paraId="0565C9AE" w14:textId="585D98CC" w:rsidR="00383A40" w:rsidRPr="00A023E9" w:rsidRDefault="00383A40"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Diamond v. Chakrabarty, 447 U.S. 303</w:t>
      </w:r>
      <w:r w:rsidR="00141EBB">
        <w:rPr>
          <w:rFonts w:cs="Times New Roman"/>
        </w:rPr>
        <w:t xml:space="preserve">, </w:t>
      </w:r>
      <w:r w:rsidRPr="00A023E9">
        <w:rPr>
          <w:rFonts w:cs="Times New Roman"/>
        </w:rPr>
        <w:t>309</w:t>
      </w:r>
      <w:r w:rsidR="00141EBB">
        <w:rPr>
          <w:rFonts w:cs="Times New Roman"/>
        </w:rPr>
        <w:t xml:space="preserve"> (XXXX)</w:t>
      </w:r>
    </w:p>
  </w:footnote>
  <w:footnote w:id="18">
    <w:p w14:paraId="1B34C13F" w14:textId="5F754299" w:rsidR="00067B22" w:rsidRPr="00A023E9" w:rsidRDefault="00067B22"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141EBB" w:rsidRPr="00A023E9">
        <w:rPr>
          <w:rFonts w:cs="Times New Roman"/>
        </w:rPr>
        <w:t>Diamond v. Chakrabarty, 447 U.S. 303</w:t>
      </w:r>
      <w:r w:rsidR="00141EBB">
        <w:rPr>
          <w:rFonts w:cs="Times New Roman"/>
        </w:rPr>
        <w:t xml:space="preserve">, </w:t>
      </w:r>
      <w:r w:rsidR="00141EBB" w:rsidRPr="00A023E9">
        <w:rPr>
          <w:rFonts w:cs="Times New Roman"/>
        </w:rPr>
        <w:t>309</w:t>
      </w:r>
      <w:r w:rsidR="00141EBB">
        <w:rPr>
          <w:rFonts w:cs="Times New Roman"/>
        </w:rPr>
        <w:t xml:space="preserve"> (XXXX)</w:t>
      </w:r>
    </w:p>
  </w:footnote>
  <w:footnote w:id="19">
    <w:p w14:paraId="5D9719D0" w14:textId="23D1BA22" w:rsidR="007B3E6D" w:rsidRPr="00A023E9" w:rsidRDefault="007B3E6D"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933EBD" w:rsidRPr="00A023E9">
        <w:rPr>
          <w:rFonts w:cs="Times New Roman"/>
          <w:i/>
        </w:rPr>
        <w:t>Funk Bros. Seed Co. v. Kalo Inoculant Co</w:t>
      </w:r>
      <w:r w:rsidR="00933EBD" w:rsidRPr="00A023E9">
        <w:rPr>
          <w:rFonts w:cs="Times New Roman"/>
        </w:rPr>
        <w:t xml:space="preserve">., </w:t>
      </w:r>
      <w:r w:rsidR="00933EBD" w:rsidRPr="00A023E9">
        <w:rPr>
          <w:rFonts w:cs="Times New Roman"/>
          <w:color w:val="FF0000"/>
        </w:rPr>
        <w:t xml:space="preserve">333 U.S. 127, 131 </w:t>
      </w:r>
      <w:r w:rsidR="00933EBD" w:rsidRPr="00A023E9">
        <w:rPr>
          <w:rFonts w:cs="Times New Roman"/>
        </w:rPr>
        <w:t>(1948)</w:t>
      </w:r>
    </w:p>
  </w:footnote>
  <w:footnote w:id="20">
    <w:p w14:paraId="40CF4A6A" w14:textId="458B5C14" w:rsidR="004F2C41" w:rsidRPr="00A023E9" w:rsidRDefault="004F2C4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Funk Bros. Seed Co. v. Kalo Inoculant Co</w:t>
      </w:r>
      <w:r w:rsidRPr="00A023E9">
        <w:rPr>
          <w:rFonts w:cs="Times New Roman"/>
        </w:rPr>
        <w:t xml:space="preserve">., </w:t>
      </w:r>
      <w:r w:rsidRPr="00A023E9">
        <w:rPr>
          <w:rFonts w:cs="Times New Roman"/>
          <w:color w:val="FF0000"/>
        </w:rPr>
        <w:t xml:space="preserve">333 U.S. 127, 131 </w:t>
      </w:r>
      <w:r w:rsidRPr="00A023E9">
        <w:rPr>
          <w:rFonts w:cs="Times New Roman"/>
        </w:rPr>
        <w:t>(1948)</w:t>
      </w:r>
    </w:p>
  </w:footnote>
  <w:footnote w:id="21">
    <w:p w14:paraId="7B06B44C" w14:textId="67B5D3CD" w:rsidR="003F7C4C" w:rsidRPr="00A023E9" w:rsidRDefault="003F7C4C"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Funk Bros. Seed Co. v. Kalo Inoculant Co</w:t>
      </w:r>
      <w:r w:rsidRPr="00A023E9">
        <w:rPr>
          <w:rFonts w:cs="Times New Roman"/>
        </w:rPr>
        <w:t xml:space="preserve">., </w:t>
      </w:r>
      <w:r w:rsidRPr="00A023E9">
        <w:rPr>
          <w:rFonts w:cs="Times New Roman"/>
          <w:color w:val="FF0000"/>
        </w:rPr>
        <w:t xml:space="preserve">333 U.S. 127, 131 </w:t>
      </w:r>
      <w:r w:rsidRPr="00A023E9">
        <w:rPr>
          <w:rFonts w:cs="Times New Roman"/>
        </w:rPr>
        <w:t>(1948)</w:t>
      </w:r>
    </w:p>
  </w:footnote>
  <w:footnote w:id="22">
    <w:p w14:paraId="7F8AFAFC" w14:textId="141CEE09" w:rsidR="000A2E03" w:rsidRPr="00A023E9" w:rsidRDefault="000A2E03"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DE7CC2" w:rsidRPr="00A023E9">
        <w:rPr>
          <w:rFonts w:cs="Times New Roman"/>
          <w:i/>
        </w:rPr>
        <w:t>Diamond v. Chakrabarty</w:t>
      </w:r>
      <w:r w:rsidR="00DE7CC2" w:rsidRPr="00A023E9">
        <w:rPr>
          <w:rFonts w:cs="Times New Roman"/>
        </w:rPr>
        <w:t xml:space="preserve">, </w:t>
      </w:r>
      <w:r w:rsidR="00DE7CC2" w:rsidRPr="00A023E9">
        <w:rPr>
          <w:rFonts w:cs="Times New Roman"/>
          <w:color w:val="FF0000"/>
        </w:rPr>
        <w:t>447 U.S. 303, 304</w:t>
      </w:r>
      <w:r w:rsidR="00A468FE" w:rsidRPr="00A023E9">
        <w:rPr>
          <w:rFonts w:cs="Times New Roman"/>
          <w:color w:val="FF0000"/>
        </w:rPr>
        <w:t xml:space="preserve"> </w:t>
      </w:r>
      <w:r w:rsidR="00DE7CC2" w:rsidRPr="00A023E9">
        <w:rPr>
          <w:rFonts w:cs="Times New Roman"/>
        </w:rPr>
        <w:t>(1980)</w:t>
      </w:r>
    </w:p>
  </w:footnote>
  <w:footnote w:id="23">
    <w:p w14:paraId="03B79F38" w14:textId="77777777" w:rsidR="00026D1E" w:rsidRPr="00A023E9" w:rsidRDefault="00026D1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101</w:t>
      </w:r>
    </w:p>
  </w:footnote>
  <w:footnote w:id="24">
    <w:p w14:paraId="3663EBFB" w14:textId="77777777" w:rsidR="00026D1E" w:rsidRPr="00A023E9" w:rsidRDefault="00026D1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Randall Rader, Benjamin Christoff, Patent Law in a Nutshell 56 (3rd ed. 2018).</w:t>
      </w:r>
    </w:p>
  </w:footnote>
  <w:footnote w:id="25">
    <w:p w14:paraId="3260BE59" w14:textId="77777777" w:rsidR="00026D1E" w:rsidRPr="00A023E9" w:rsidRDefault="00026D1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See e.g. </w:t>
      </w:r>
      <w:r w:rsidRPr="00A023E9">
        <w:rPr>
          <w:rFonts w:cs="Times New Roman"/>
          <w:highlight w:val="yellow"/>
        </w:rPr>
        <w:t xml:space="preserve">[Alice, Mayo, Berkheimer, etc.]; </w:t>
      </w:r>
      <w:r w:rsidRPr="00A023E9">
        <w:rPr>
          <w:rFonts w:cs="Times New Roman"/>
          <w:i/>
          <w:highlight w:val="yellow"/>
        </w:rPr>
        <w:t xml:space="preserve">see </w:t>
      </w:r>
      <w:r w:rsidRPr="00A023E9">
        <w:rPr>
          <w:rFonts w:cs="Times New Roman"/>
        </w:rPr>
        <w:t>Kathleen Chapman, Esq. &amp; Stephen Ball, Esq</w:t>
      </w:r>
      <w:r w:rsidRPr="00A023E9">
        <w:rPr>
          <w:rFonts w:cs="Times New Roman"/>
          <w:i/>
        </w:rPr>
        <w:t xml:space="preserve">., Challenges with Patenting Software, </w:t>
      </w:r>
      <w:r w:rsidRPr="00A023E9">
        <w:rPr>
          <w:rFonts w:cs="Times New Roman"/>
        </w:rPr>
        <w:t>Vt. B.J., Winter 2007/2008, at 36</w:t>
      </w:r>
    </w:p>
  </w:footnote>
  <w:footnote w:id="26">
    <w:p w14:paraId="2091B6C3" w14:textId="38FA252F" w:rsidR="008A2A09" w:rsidRPr="00765DB7" w:rsidRDefault="008A2A09"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See Diamond v. </w:t>
      </w:r>
      <w:proofErr w:type="spellStart"/>
      <w:r w:rsidRPr="00A023E9">
        <w:rPr>
          <w:rFonts w:cs="Times New Roman"/>
          <w:i/>
        </w:rPr>
        <w:t>Dieher</w:t>
      </w:r>
      <w:proofErr w:type="spellEnd"/>
      <w:r w:rsidRPr="00A023E9">
        <w:rPr>
          <w:rFonts w:cs="Times New Roman"/>
          <w:i/>
        </w:rPr>
        <w:t>;</w:t>
      </w:r>
      <w:r w:rsidR="00765DB7">
        <w:rPr>
          <w:rFonts w:cs="Times New Roman"/>
        </w:rPr>
        <w:t xml:space="preserve"> </w:t>
      </w:r>
    </w:p>
  </w:footnote>
  <w:footnote w:id="27">
    <w:p w14:paraId="0EECFFC6" w14:textId="77777777" w:rsidR="005C43D6" w:rsidRPr="00A023E9" w:rsidRDefault="005C43D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In re </w:t>
      </w:r>
      <w:proofErr w:type="spellStart"/>
      <w:r w:rsidRPr="00A023E9">
        <w:rPr>
          <w:rFonts w:cs="Times New Roman"/>
        </w:rPr>
        <w:t>Bilski</w:t>
      </w:r>
      <w:proofErr w:type="spellEnd"/>
    </w:p>
  </w:footnote>
  <w:footnote w:id="28">
    <w:p w14:paraId="351D14C4" w14:textId="77777777" w:rsidR="005C43D6" w:rsidRPr="00A023E9" w:rsidRDefault="005C43D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Pr="00A023E9">
        <w:rPr>
          <w:rFonts w:cs="Times New Roman"/>
        </w:rPr>
        <w:t>Diehr</w:t>
      </w:r>
      <w:proofErr w:type="spellEnd"/>
    </w:p>
  </w:footnote>
  <w:footnote w:id="29">
    <w:p w14:paraId="37B261C5" w14:textId="77777777" w:rsidR="005C43D6" w:rsidRPr="00A023E9" w:rsidRDefault="005C43D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Mayo, Quoting Benson</w:t>
      </w:r>
    </w:p>
  </w:footnote>
  <w:footnote w:id="30">
    <w:p w14:paraId="515D8FBE" w14:textId="77777777" w:rsidR="005C43D6" w:rsidRPr="00A023E9" w:rsidRDefault="005C43D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Mayo, quoting </w:t>
      </w:r>
      <w:proofErr w:type="spellStart"/>
      <w:r w:rsidRPr="00A023E9">
        <w:rPr>
          <w:rFonts w:cs="Times New Roman"/>
        </w:rPr>
        <w:t>Diehr</w:t>
      </w:r>
      <w:proofErr w:type="spellEnd"/>
    </w:p>
  </w:footnote>
  <w:footnote w:id="31">
    <w:p w14:paraId="0D604950" w14:textId="77777777" w:rsidR="005C43D6" w:rsidRPr="00A023E9" w:rsidRDefault="005C43D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Mayo, Quoting Parker v. </w:t>
      </w:r>
      <w:proofErr w:type="spellStart"/>
      <w:r w:rsidRPr="00A023E9">
        <w:rPr>
          <w:rFonts w:cs="Times New Roman"/>
        </w:rPr>
        <w:t>Flook</w:t>
      </w:r>
      <w:proofErr w:type="spellEnd"/>
    </w:p>
  </w:footnote>
  <w:footnote w:id="32">
    <w:p w14:paraId="61FCF3A5" w14:textId="39B3109D" w:rsidR="00712C0F" w:rsidRPr="00A023E9" w:rsidRDefault="00712C0F"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577E41" w:rsidRPr="007F66BB">
        <w:rPr>
          <w:rFonts w:cs="Times New Roman"/>
          <w:i/>
        </w:rPr>
        <w:t>Gottschalk v. Benson</w:t>
      </w:r>
    </w:p>
  </w:footnote>
  <w:footnote w:id="33">
    <w:p w14:paraId="6DCE7281" w14:textId="496B89C6" w:rsidR="001676FC" w:rsidRPr="00A023E9" w:rsidRDefault="001676FC" w:rsidP="000007ED">
      <w:pPr>
        <w:pStyle w:val="FootnoteText"/>
        <w:contextualSpacing/>
        <w:rPr>
          <w:rFonts w:cs="Times New Roman"/>
          <w:i/>
        </w:rPr>
      </w:pPr>
      <w:r w:rsidRPr="00A023E9">
        <w:rPr>
          <w:rStyle w:val="FootnoteReference"/>
          <w:rFonts w:cs="Times New Roman"/>
        </w:rPr>
        <w:footnoteRef/>
      </w:r>
      <w:r w:rsidRPr="00A023E9">
        <w:rPr>
          <w:rFonts w:cs="Times New Roman"/>
        </w:rPr>
        <w:t xml:space="preserve"> </w:t>
      </w:r>
      <w:bookmarkStart w:id="19" w:name="_Hlk535055293"/>
      <w:r w:rsidRPr="00A023E9">
        <w:rPr>
          <w:rFonts w:cs="Times New Roman"/>
          <w:i/>
        </w:rPr>
        <w:t>Gotts</w:t>
      </w:r>
      <w:r w:rsidR="005B0C5F" w:rsidRPr="00A023E9">
        <w:rPr>
          <w:rFonts w:cs="Times New Roman"/>
          <w:i/>
        </w:rPr>
        <w:t>c</w:t>
      </w:r>
      <w:r w:rsidRPr="00A023E9">
        <w:rPr>
          <w:rFonts w:cs="Times New Roman"/>
          <w:i/>
        </w:rPr>
        <w:t>halk v. Benson</w:t>
      </w:r>
      <w:bookmarkEnd w:id="19"/>
    </w:p>
  </w:footnote>
  <w:footnote w:id="34">
    <w:p w14:paraId="443AB8AB" w14:textId="43DA1B37" w:rsidR="006A1206" w:rsidRPr="00A023E9" w:rsidRDefault="006A120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5B0C5F" w:rsidRPr="00A023E9">
        <w:rPr>
          <w:rFonts w:cs="Times New Roman"/>
          <w:i/>
        </w:rPr>
        <w:t>Gottschalk v. Benson</w:t>
      </w:r>
    </w:p>
  </w:footnote>
  <w:footnote w:id="35">
    <w:p w14:paraId="2A0DBDF7" w14:textId="32B0335B" w:rsidR="004A60BA" w:rsidRPr="00A023E9" w:rsidRDefault="004A60BA" w:rsidP="000007ED">
      <w:pPr>
        <w:pStyle w:val="FootnoteText"/>
        <w:contextualSpacing/>
        <w:rPr>
          <w:rFonts w:cs="Times New Roman"/>
          <w:i/>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p>
  </w:footnote>
  <w:footnote w:id="36">
    <w:p w14:paraId="062B74F8" w14:textId="2916039A" w:rsidR="00CB0423" w:rsidRPr="00A023E9" w:rsidRDefault="00CB0423" w:rsidP="000007ED">
      <w:pPr>
        <w:pStyle w:val="FootnoteText"/>
        <w:contextualSpacing/>
        <w:rPr>
          <w:rFonts w:cs="Times New Roman"/>
          <w:i/>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p>
  </w:footnote>
  <w:footnote w:id="37">
    <w:p w14:paraId="6D92C732" w14:textId="61EECB05" w:rsidR="00B00EAA" w:rsidRPr="00A023E9" w:rsidRDefault="00B00EAA"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AA3CDB" w:rsidRPr="00A023E9">
        <w:rPr>
          <w:rFonts w:cs="Times New Roman"/>
          <w:i/>
        </w:rPr>
        <w:t xml:space="preserve">Diamond v. Diehr, </w:t>
      </w:r>
      <w:r w:rsidR="00AA3CDB" w:rsidRPr="00A023E9">
        <w:rPr>
          <w:rFonts w:cs="Times New Roman"/>
          <w:color w:val="FF0000"/>
        </w:rPr>
        <w:t xml:space="preserve">450 U.S. 175, 184 </w:t>
      </w:r>
      <w:r w:rsidR="00AA3CDB" w:rsidRPr="00A023E9">
        <w:rPr>
          <w:rFonts w:cs="Times New Roman"/>
        </w:rPr>
        <w:t xml:space="preserve">(1981) (noting several times that the </w:t>
      </w:r>
      <w:r w:rsidR="00A40585" w:rsidRPr="00A023E9">
        <w:rPr>
          <w:rFonts w:cs="Times New Roman"/>
        </w:rPr>
        <w:t>respondents</w:t>
      </w:r>
      <w:r w:rsidR="00AA3CDB" w:rsidRPr="00A023E9">
        <w:rPr>
          <w:rFonts w:cs="Times New Roman"/>
        </w:rPr>
        <w:t xml:space="preserve"> claims </w:t>
      </w:r>
      <w:r w:rsidR="00A40585" w:rsidRPr="00A023E9">
        <w:rPr>
          <w:rFonts w:cs="Times New Roman"/>
        </w:rPr>
        <w:t xml:space="preserve">involve transforming of raw rubber into a different state). </w:t>
      </w:r>
    </w:p>
  </w:footnote>
  <w:footnote w:id="38">
    <w:p w14:paraId="4B0D5029" w14:textId="3856F218"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Pr="00A023E9">
        <w:rPr>
          <w:rFonts w:cs="Times New Roman"/>
          <w:i/>
        </w:rPr>
        <w:t>Bilski</w:t>
      </w:r>
      <w:proofErr w:type="spellEnd"/>
      <w:r w:rsidRPr="00A023E9">
        <w:rPr>
          <w:rFonts w:cs="Times New Roman"/>
          <w:i/>
        </w:rPr>
        <w:t xml:space="preserve"> v. </w:t>
      </w:r>
      <w:proofErr w:type="spellStart"/>
      <w:r w:rsidRPr="00A023E9">
        <w:rPr>
          <w:rFonts w:cs="Times New Roman"/>
          <w:i/>
        </w:rPr>
        <w:t>Kappos</w:t>
      </w:r>
      <w:proofErr w:type="spellEnd"/>
      <w:r w:rsidRPr="00A023E9">
        <w:rPr>
          <w:rFonts w:cs="Times New Roman"/>
        </w:rPr>
        <w:t>, 561 U.S. 593, 603 (2010)</w:t>
      </w:r>
      <w:r w:rsidR="008D30E1">
        <w:rPr>
          <w:rFonts w:cs="Times New Roman"/>
        </w:rPr>
        <w:t>.</w:t>
      </w:r>
    </w:p>
  </w:footnote>
  <w:footnote w:id="39">
    <w:p w14:paraId="58C92300"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Gottschalk v. Benson</w:t>
      </w:r>
      <w:r w:rsidRPr="00A023E9">
        <w:rPr>
          <w:rFonts w:cs="Times New Roman"/>
        </w:rPr>
        <w:t xml:space="preserve">, 409 U.S. 63, 70 (1972);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955 (Fed. Cir. 2008).</w:t>
      </w:r>
    </w:p>
  </w:footnote>
  <w:footnote w:id="40">
    <w:p w14:paraId="3750A0F3"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961 (Fed. Cir. 2008).</w:t>
      </w:r>
    </w:p>
  </w:footnote>
  <w:footnote w:id="41">
    <w:p w14:paraId="2B3B5DF9"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8D30E1">
        <w:rPr>
          <w:rFonts w:cs="Times New Roman"/>
          <w:i/>
        </w:rPr>
        <w:t>See</w:t>
      </w:r>
      <w:r w:rsidRPr="00A023E9">
        <w:rPr>
          <w:rFonts w:cs="Times New Roman"/>
        </w:rPr>
        <w:t xml:space="preserve"> </w:t>
      </w:r>
      <w:r w:rsidRPr="008D30E1">
        <w:rPr>
          <w:rFonts w:cs="Times New Roman"/>
          <w:i/>
        </w:rPr>
        <w:t>Benson</w:t>
      </w:r>
      <w:r w:rsidRPr="00A023E9">
        <w:rPr>
          <w:rFonts w:cs="Times New Roman"/>
        </w:rPr>
        <w:t>, 409 U.S. at 70.</w:t>
      </w:r>
    </w:p>
  </w:footnote>
  <w:footnote w:id="42">
    <w:p w14:paraId="1F90EF2D"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954 (Fed. Cir. 2008).</w:t>
      </w:r>
    </w:p>
  </w:footnote>
  <w:footnote w:id="43">
    <w:p w14:paraId="16346366"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Pr="008D30E1">
        <w:rPr>
          <w:rFonts w:cs="Times New Roman"/>
          <w:i/>
        </w:rPr>
        <w:t>Diehr</w:t>
      </w:r>
      <w:proofErr w:type="spellEnd"/>
      <w:r w:rsidRPr="00A023E9">
        <w:rPr>
          <w:rFonts w:cs="Times New Roman"/>
        </w:rPr>
        <w:t xml:space="preserve">, 450 U.S. at 184, 187;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954 (Fed. Cir. 2008).</w:t>
      </w:r>
    </w:p>
  </w:footnote>
  <w:footnote w:id="44">
    <w:p w14:paraId="72D5EF8E"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Parker v. </w:t>
      </w:r>
      <w:proofErr w:type="spellStart"/>
      <w:r w:rsidRPr="00A023E9">
        <w:rPr>
          <w:rFonts w:cs="Times New Roman"/>
          <w:i/>
        </w:rPr>
        <w:t>Flook</w:t>
      </w:r>
      <w:proofErr w:type="spellEnd"/>
      <w:r w:rsidRPr="00A023E9">
        <w:rPr>
          <w:rFonts w:cs="Times New Roman"/>
        </w:rPr>
        <w:t>, 437 U.S. 584, 585 (1978).</w:t>
      </w:r>
    </w:p>
  </w:footnote>
  <w:footnote w:id="45">
    <w:p w14:paraId="145420EF" w14:textId="7A9264B9" w:rsidR="000616D7" w:rsidRDefault="000616D7" w:rsidP="000616D7">
      <w:pPr>
        <w:pStyle w:val="FootnoteText"/>
        <w:contextualSpacing/>
      </w:pPr>
      <w:r>
        <w:rPr>
          <w:rStyle w:val="FootnoteReference"/>
        </w:rPr>
        <w:footnoteRef/>
      </w:r>
      <w:r>
        <w:t xml:space="preserve"> </w:t>
      </w:r>
      <w:r w:rsidRPr="008A2A7F">
        <w:rPr>
          <w:i/>
        </w:rPr>
        <w:t>Benson</w:t>
      </w:r>
      <w:r w:rsidRPr="008A2A7F">
        <w:t>, 409 U.S. at 70</w:t>
      </w:r>
      <w:r w:rsidR="008D30E1">
        <w:t>.</w:t>
      </w:r>
    </w:p>
  </w:footnote>
  <w:footnote w:id="46">
    <w:p w14:paraId="7A803E86" w14:textId="77777777" w:rsidR="000616D7" w:rsidRDefault="000616D7" w:rsidP="000616D7">
      <w:pPr>
        <w:pStyle w:val="FootnoteText"/>
        <w:contextualSpacing/>
      </w:pPr>
      <w:r>
        <w:rPr>
          <w:rStyle w:val="FootnoteReference"/>
        </w:rPr>
        <w:footnoteRef/>
      </w:r>
      <w:r>
        <w:t xml:space="preserve"> </w:t>
      </w:r>
      <w:r w:rsidRPr="00201967">
        <w:rPr>
          <w:i/>
        </w:rPr>
        <w:t xml:space="preserve">In re </w:t>
      </w:r>
      <w:proofErr w:type="spellStart"/>
      <w:r w:rsidRPr="00201967">
        <w:rPr>
          <w:i/>
        </w:rPr>
        <w:t>Bilski</w:t>
      </w:r>
      <w:proofErr w:type="spellEnd"/>
      <w:r>
        <w:t xml:space="preserve">, 545 F.3d 943, 956 (Fed. Cir. 2008), aff'd but criticized sub nom. </w:t>
      </w:r>
      <w:proofErr w:type="spellStart"/>
      <w:r>
        <w:t>Bilski</w:t>
      </w:r>
      <w:proofErr w:type="spellEnd"/>
      <w:r>
        <w:t xml:space="preserve"> v. </w:t>
      </w:r>
      <w:proofErr w:type="spellStart"/>
      <w:r>
        <w:t>Kappos</w:t>
      </w:r>
      <w:proofErr w:type="spellEnd"/>
      <w:r>
        <w:t>, 561 U.S. 593, (2010)</w:t>
      </w:r>
    </w:p>
  </w:footnote>
  <w:footnote w:id="47">
    <w:p w14:paraId="24EB8262" w14:textId="77777777" w:rsidR="000616D7" w:rsidRDefault="000616D7" w:rsidP="000616D7">
      <w:pPr>
        <w:pStyle w:val="FootnoteText"/>
        <w:contextualSpacing/>
      </w:pPr>
      <w:r>
        <w:rPr>
          <w:rStyle w:val="FootnoteReference"/>
        </w:rPr>
        <w:footnoteRef/>
      </w:r>
      <w:r>
        <w:t xml:space="preserve"> </w:t>
      </w:r>
      <w:proofErr w:type="spellStart"/>
      <w:r>
        <w:t>Bilski</w:t>
      </w:r>
      <w:proofErr w:type="spellEnd"/>
      <w:r>
        <w:t xml:space="preserve"> v. </w:t>
      </w:r>
      <w:proofErr w:type="spellStart"/>
      <w:r>
        <w:t>Kappos</w:t>
      </w:r>
      <w:proofErr w:type="spellEnd"/>
      <w:r>
        <w:t>, 561 U.S. 593, 605 (2010).</w:t>
      </w:r>
    </w:p>
  </w:footnote>
  <w:footnote w:id="48">
    <w:p w14:paraId="60D6C012" w14:textId="46178CEA"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Robert Daniel Garza, Software Patents and Pretrial Dismissal Based on Ineligibility, 24 Rich. J.L. &amp; Tech. 1, </w:t>
      </w:r>
      <w:r w:rsidR="00643B3C">
        <w:rPr>
          <w:rFonts w:cs="Times New Roman"/>
        </w:rPr>
        <w:t xml:space="preserve">41, </w:t>
      </w:r>
      <w:r w:rsidRPr="00A023E9">
        <w:rPr>
          <w:rFonts w:cs="Times New Roman"/>
        </w:rPr>
        <w:t>87 (2018); See </w:t>
      </w:r>
      <w:r w:rsidRPr="00A644CA">
        <w:rPr>
          <w:rFonts w:cs="Times New Roman"/>
          <w:i/>
        </w:rPr>
        <w:t xml:space="preserve">Amdocs (Isr.) Ltd. v. </w:t>
      </w:r>
      <w:proofErr w:type="spellStart"/>
      <w:r w:rsidRPr="00A644CA">
        <w:rPr>
          <w:rFonts w:cs="Times New Roman"/>
          <w:i/>
        </w:rPr>
        <w:t>Openet</w:t>
      </w:r>
      <w:proofErr w:type="spellEnd"/>
      <w:r w:rsidRPr="00A644CA">
        <w:rPr>
          <w:rFonts w:cs="Times New Roman"/>
          <w:i/>
        </w:rPr>
        <w:t xml:space="preserve"> Telecomm. Inc.</w:t>
      </w:r>
      <w:r w:rsidRPr="00A023E9">
        <w:rPr>
          <w:rFonts w:cs="Times New Roman"/>
        </w:rPr>
        <w:t>, 841 F.3d 1288, 1293-94 (Fed. Cir. 2016).</w:t>
      </w:r>
    </w:p>
  </w:footnote>
  <w:footnote w:id="49">
    <w:p w14:paraId="0F0535AD" w14:textId="77777777" w:rsidR="005E1F0C" w:rsidRPr="00A023E9" w:rsidRDefault="005E1F0C" w:rsidP="005E1F0C">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101</w:t>
      </w:r>
    </w:p>
  </w:footnote>
  <w:footnote w:id="50">
    <w:p w14:paraId="1DED71D5" w14:textId="638EEBCB" w:rsidR="00FC20AE" w:rsidRPr="00A023E9" w:rsidRDefault="00FC20AE" w:rsidP="000007ED">
      <w:pPr>
        <w:pStyle w:val="FootnoteText"/>
        <w:contextualSpacing/>
        <w:rPr>
          <w:rFonts w:cs="Times New Roman"/>
        </w:rPr>
      </w:pPr>
      <w:r w:rsidRPr="00A023E9">
        <w:rPr>
          <w:rStyle w:val="FootnoteReference"/>
          <w:rFonts w:cs="Times New Roman"/>
          <w:highlight w:val="yellow"/>
        </w:rPr>
        <w:footnoteRef/>
      </w:r>
      <w:r w:rsidRPr="00A023E9">
        <w:rPr>
          <w:rFonts w:cs="Times New Roman"/>
          <w:highlight w:val="yellow"/>
        </w:rPr>
        <w:t xml:space="preserve"> CITATIONS NEEDED</w:t>
      </w:r>
    </w:p>
  </w:footnote>
  <w:footnote w:id="51">
    <w:p w14:paraId="0CBCB66B" w14:textId="0665951D" w:rsidR="008C2392" w:rsidRPr="00A023E9" w:rsidRDefault="008C2392"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Paul R. Gugliuzza, Quick Decisions in Patent Cases, 106 Geo. L.J. 619, 622 (2018)</w:t>
      </w:r>
    </w:p>
  </w:footnote>
  <w:footnote w:id="52">
    <w:p w14:paraId="1A3EB034" w14:textId="612BF954" w:rsidR="00636D7D" w:rsidRPr="00A023E9" w:rsidRDefault="00636D7D"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Kathleen Chapman, Esq. &amp; Stephen Ball, Esq., Challenges with Patenting Software, Vt. B.J., Winter 2007/2008, at 36, 37</w:t>
      </w:r>
    </w:p>
  </w:footnote>
  <w:footnote w:id="53">
    <w:p w14:paraId="291E04C7" w14:textId="392E41DF" w:rsidR="007510E6" w:rsidRPr="00A023E9" w:rsidRDefault="007510E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r w:rsidRPr="00A023E9">
        <w:rPr>
          <w:rFonts w:cs="Times New Roman"/>
        </w:rPr>
        <w:t xml:space="preserve">; </w:t>
      </w:r>
      <w:r w:rsidRPr="00A023E9">
        <w:rPr>
          <w:rFonts w:cs="Times New Roman"/>
          <w:i/>
        </w:rPr>
        <w:t>Gottschalk v. Benson</w:t>
      </w:r>
    </w:p>
  </w:footnote>
  <w:footnote w:id="54">
    <w:p w14:paraId="35A21E89" w14:textId="3A21C81F" w:rsidR="00EC7338" w:rsidRPr="00A023E9" w:rsidRDefault="00EC7338"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7D22FB" w:rsidRPr="00A023E9">
        <w:rPr>
          <w:rFonts w:cs="Times New Roman"/>
        </w:rPr>
        <w:t>Intellectual Property Channeling for Digital Works</w:t>
      </w:r>
      <w:r w:rsidR="008452BB" w:rsidRPr="00A023E9">
        <w:rPr>
          <w:rFonts w:cs="Times New Roman"/>
        </w:rPr>
        <w:t xml:space="preserve">; </w:t>
      </w:r>
      <w:r w:rsidR="008452BB" w:rsidRPr="00A023E9">
        <w:rPr>
          <w:rFonts w:cs="Times New Roman"/>
          <w:color w:val="FF0000"/>
        </w:rPr>
        <w:t xml:space="preserve">Preserving </w:t>
      </w:r>
      <w:proofErr w:type="gramStart"/>
      <w:r w:rsidR="008452BB" w:rsidRPr="00A023E9">
        <w:rPr>
          <w:rFonts w:cs="Times New Roman"/>
          <w:color w:val="FF0000"/>
        </w:rPr>
        <w:t>The</w:t>
      </w:r>
      <w:proofErr w:type="gramEnd"/>
      <w:r w:rsidR="008452BB" w:rsidRPr="00A023E9">
        <w:rPr>
          <w:rFonts w:cs="Times New Roman"/>
          <w:color w:val="FF0000"/>
        </w:rPr>
        <w:t xml:space="preserve"> Value Of Medical Device Patents During The Rise Of Three-Dimensional Printing – Westlaw Journal IP 2013 WL 5808127, at *4</w:t>
      </w:r>
    </w:p>
  </w:footnote>
  <w:footnote w:id="55">
    <w:p w14:paraId="142E8C77" w14:textId="2EBF4539" w:rsidR="005E201C" w:rsidRPr="00A023E9" w:rsidRDefault="005E201C"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In re Beauregard</w:t>
      </w:r>
      <w:r w:rsidRPr="00A023E9">
        <w:rPr>
          <w:rFonts w:cs="Times New Roman"/>
        </w:rPr>
        <w:t>, 53 F.3d 1583, 1584 (Fed. Cir. 1995)</w:t>
      </w:r>
    </w:p>
  </w:footnote>
  <w:footnote w:id="56">
    <w:p w14:paraId="74603882" w14:textId="095D2FBE" w:rsidR="005E201C" w:rsidRPr="00A023E9" w:rsidRDefault="005E201C"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 e.g.</w:t>
      </w:r>
      <w:r w:rsidRPr="00A023E9">
        <w:rPr>
          <w:rFonts w:cs="Times New Roman"/>
        </w:rPr>
        <w:t xml:space="preserve"> </w:t>
      </w:r>
      <w:r w:rsidRPr="00A023E9">
        <w:rPr>
          <w:rFonts w:cs="Times New Roman"/>
          <w:i/>
        </w:rPr>
        <w:t>CyberSource Corp. v. Retail Decisions, Inc.</w:t>
      </w:r>
      <w:r w:rsidRPr="00A023E9">
        <w:rPr>
          <w:rFonts w:cs="Times New Roman"/>
        </w:rPr>
        <w:t>, 654 F.3d 1366, 1373 (Fed. Cir. 2011)</w:t>
      </w:r>
      <w:r w:rsidR="008452BB" w:rsidRPr="00A023E9">
        <w:rPr>
          <w:rFonts w:cs="Times New Roman"/>
        </w:rPr>
        <w:t xml:space="preserve">; </w:t>
      </w:r>
      <w:r w:rsidR="008452BB" w:rsidRPr="00A023E9">
        <w:rPr>
          <w:rFonts w:cs="Times New Roman"/>
          <w:i/>
        </w:rPr>
        <w:t>SEVEN Networks, LLC v. Google LLC</w:t>
      </w:r>
      <w:r w:rsidR="008452BB" w:rsidRPr="00A023E9">
        <w:rPr>
          <w:rFonts w:cs="Times New Roman"/>
        </w:rPr>
        <w:t>, No. 2:17-CV-441-JRG, 2018 WL 5263271, at *30 (E.D. Tex. Oct. 23, 2018)</w:t>
      </w:r>
    </w:p>
  </w:footnote>
  <w:footnote w:id="57">
    <w:p w14:paraId="241CC07B" w14:textId="17829259" w:rsidR="00B673C7" w:rsidRPr="00A023E9" w:rsidRDefault="00B673C7"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Alice Corp. Pty. Ltd. v. CLS Bank Intern</w:t>
      </w:r>
    </w:p>
  </w:footnote>
  <w:footnote w:id="58">
    <w:p w14:paraId="7A8C10DB" w14:textId="353427EB" w:rsidR="0082773E" w:rsidRPr="00A023E9" w:rsidRDefault="0082773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Alice Corp. Pty. Ltd. v. CLS Bank Intern</w:t>
      </w:r>
    </w:p>
  </w:footnote>
  <w:footnote w:id="59">
    <w:p w14:paraId="0756280A" w14:textId="4F813B0F" w:rsidR="004F61DC" w:rsidRPr="00A023E9" w:rsidRDefault="004F61DC"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w:t>
      </w:r>
      <w:r w:rsidRPr="00A023E9">
        <w:rPr>
          <w:rFonts w:cs="Times New Roman"/>
        </w:rPr>
        <w:t xml:space="preserve"> Jasper L. Tran, Software Patents: A One-Year Review of Alice v. CLS Bank, 97 J. PAT. &amp; TRADEMARK OFF. SOC'Y, 532, 539-540 (2015)</w:t>
      </w:r>
    </w:p>
  </w:footnote>
  <w:footnote w:id="60">
    <w:p w14:paraId="2426E9A4" w14:textId="25975B25" w:rsidR="008722F6" w:rsidRPr="00A023E9" w:rsidRDefault="008722F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E20144" w:rsidRPr="00A023E9">
        <w:rPr>
          <w:rFonts w:cs="Times New Roman"/>
        </w:rPr>
        <w:t xml:space="preserve">Robert Daniel Garza, Software Patents and Pretrial Dismissal Based on Ineligibility, 24 Rich. J.L. &amp; Tech. 1, 28 (2018); </w:t>
      </w:r>
      <w:r w:rsidRPr="00A023E9">
        <w:rPr>
          <w:rFonts w:cs="Times New Roman"/>
          <w:i/>
        </w:rPr>
        <w:t>See</w:t>
      </w:r>
      <w:r w:rsidRPr="00A023E9">
        <w:rPr>
          <w:rFonts w:cs="Times New Roman"/>
        </w:rPr>
        <w:t xml:space="preserve"> Versata Dev. Grp., Inc. v. SAP America, 793 F.3d 1306 (Fed. Cir. 2015); Intellectual Ventures I LLC v. Capital One Bank (USA), 792 F.3d 1363, 1367-68 (Fed. Cir. 2015); Internet Patents Corp. v. Active Network, Inc., 790 F.3d 1343, 1345 (Fed. Cir. 2015) OIP Techs., Inc. v. Amazon.com, Inc., 788 F.3d 1359, 1362-63 (Fed. Cir. 2012); Content Extraction &amp; Transmission LLC v. Wells Fargo Bank, Nat'l Ass'n, 776 F.3d 1343, 1346-47 (Fed. Cir. 2014); DDR Holdings, LLC v. Hotels.com, L.P., 773 F.3d at 1245, 1256; Ultramercial, Inc. v. Hulu, LLC, 772 F.3d 709, 721-22 (Fed. Cir. 2014); buySAFE, Inc. v. Google, Inc., 765 F.3d 1350, 1351 (Fed. Cir. 2014); Planet Bingo, LLC v. VKGS LLC, 576 F. Appx. 1005, 1006 (Fed. Cir. 2014); Digitech Image Techs. v. Elecs. for Imaging, 758 F.3d 1344, 1348-51 (Fed. Cir. 2014).</w:t>
      </w:r>
    </w:p>
  </w:footnote>
  <w:footnote w:id="61">
    <w:p w14:paraId="1EC29552" w14:textId="7E527E13" w:rsidR="007E1601" w:rsidRPr="00A023E9" w:rsidRDefault="007E160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 DDR Holdings</w:t>
      </w:r>
      <w:r w:rsidRPr="00A023E9">
        <w:rPr>
          <w:rFonts w:cs="Times New Roman"/>
        </w:rPr>
        <w:t>, LLC, 773 F.3d at 1245; Part IV (A) - A. DDR Holdings: Rooted in Computer Technology - The First Victory.</w:t>
      </w:r>
    </w:p>
  </w:footnote>
  <w:footnote w:id="62">
    <w:p w14:paraId="6313583B" w14:textId="7254DEA6" w:rsidR="00587D17" w:rsidRDefault="00587D17">
      <w:pPr>
        <w:pStyle w:val="FootnoteText"/>
      </w:pPr>
      <w:r>
        <w:rPr>
          <w:rStyle w:val="FootnoteReference"/>
        </w:rPr>
        <w:footnoteRef/>
      </w:r>
      <w:r>
        <w:t xml:space="preserve"> Berkheimer v. HP, p. 1360</w:t>
      </w:r>
    </w:p>
  </w:footnote>
  <w:footnote w:id="63">
    <w:p w14:paraId="6EDF8AC8" w14:textId="3B8C6F92" w:rsidR="005754AD" w:rsidRDefault="005754AD">
      <w:pPr>
        <w:pStyle w:val="FootnoteText"/>
      </w:pPr>
      <w:r>
        <w:rPr>
          <w:rStyle w:val="FootnoteReference"/>
        </w:rPr>
        <w:footnoteRef/>
      </w:r>
      <w:r>
        <w:t xml:space="preserve"> B v. HP, 1362-1363</w:t>
      </w:r>
    </w:p>
  </w:footnote>
  <w:footnote w:id="64">
    <w:p w14:paraId="36187232" w14:textId="4315AA75" w:rsidR="00126150" w:rsidRDefault="00126150">
      <w:pPr>
        <w:pStyle w:val="FootnoteText"/>
      </w:pPr>
      <w:r>
        <w:rPr>
          <w:rStyle w:val="FootnoteReference"/>
        </w:rPr>
        <w:footnoteRef/>
      </w:r>
      <w:r>
        <w:t xml:space="preserve"> B v. HP, 1364</w:t>
      </w:r>
    </w:p>
  </w:footnote>
  <w:footnote w:id="65">
    <w:p w14:paraId="0D32E69E" w14:textId="4903EC3B" w:rsidR="00CE34AE" w:rsidRDefault="00CE34AE">
      <w:pPr>
        <w:pStyle w:val="FootnoteText"/>
      </w:pPr>
      <w:r>
        <w:rPr>
          <w:rStyle w:val="FootnoteReference"/>
        </w:rPr>
        <w:footnoteRef/>
      </w:r>
      <w:r>
        <w:t xml:space="preserve"> B v. HP, 1360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7ED"/>
    <w:rsid w:val="00003279"/>
    <w:rsid w:val="00004E58"/>
    <w:rsid w:val="000102DA"/>
    <w:rsid w:val="0001184D"/>
    <w:rsid w:val="000157A9"/>
    <w:rsid w:val="00015828"/>
    <w:rsid w:val="00020A90"/>
    <w:rsid w:val="00020FD3"/>
    <w:rsid w:val="00021CE7"/>
    <w:rsid w:val="0002502C"/>
    <w:rsid w:val="00026D1E"/>
    <w:rsid w:val="00031B0C"/>
    <w:rsid w:val="000329E9"/>
    <w:rsid w:val="000331DA"/>
    <w:rsid w:val="00034080"/>
    <w:rsid w:val="000356D6"/>
    <w:rsid w:val="00041D04"/>
    <w:rsid w:val="000448B7"/>
    <w:rsid w:val="00046358"/>
    <w:rsid w:val="00051CA6"/>
    <w:rsid w:val="00053AD9"/>
    <w:rsid w:val="000616D7"/>
    <w:rsid w:val="00061D8B"/>
    <w:rsid w:val="00062B61"/>
    <w:rsid w:val="00062E03"/>
    <w:rsid w:val="000631AF"/>
    <w:rsid w:val="00066447"/>
    <w:rsid w:val="00067B22"/>
    <w:rsid w:val="00070156"/>
    <w:rsid w:val="00070CC5"/>
    <w:rsid w:val="00073D3A"/>
    <w:rsid w:val="00073D4B"/>
    <w:rsid w:val="00076925"/>
    <w:rsid w:val="0007770E"/>
    <w:rsid w:val="000802E0"/>
    <w:rsid w:val="00082A2E"/>
    <w:rsid w:val="000833A5"/>
    <w:rsid w:val="00084666"/>
    <w:rsid w:val="000861E7"/>
    <w:rsid w:val="00087434"/>
    <w:rsid w:val="00087E24"/>
    <w:rsid w:val="00090802"/>
    <w:rsid w:val="00090E03"/>
    <w:rsid w:val="00091CA1"/>
    <w:rsid w:val="00092B4F"/>
    <w:rsid w:val="0009596F"/>
    <w:rsid w:val="000965E2"/>
    <w:rsid w:val="0009798A"/>
    <w:rsid w:val="000A2E03"/>
    <w:rsid w:val="000A77BC"/>
    <w:rsid w:val="000B0A5E"/>
    <w:rsid w:val="000B4A18"/>
    <w:rsid w:val="000B4F42"/>
    <w:rsid w:val="000B7D37"/>
    <w:rsid w:val="000C02DB"/>
    <w:rsid w:val="000C0C06"/>
    <w:rsid w:val="000D0BD7"/>
    <w:rsid w:val="000D1576"/>
    <w:rsid w:val="000D191A"/>
    <w:rsid w:val="000D2B87"/>
    <w:rsid w:val="000D2F64"/>
    <w:rsid w:val="000D4D15"/>
    <w:rsid w:val="000D561C"/>
    <w:rsid w:val="000D79A2"/>
    <w:rsid w:val="000E0536"/>
    <w:rsid w:val="000E0603"/>
    <w:rsid w:val="000E155D"/>
    <w:rsid w:val="000E17C4"/>
    <w:rsid w:val="000E500D"/>
    <w:rsid w:val="000E5734"/>
    <w:rsid w:val="000F111D"/>
    <w:rsid w:val="000F4515"/>
    <w:rsid w:val="000F73F4"/>
    <w:rsid w:val="000F75DA"/>
    <w:rsid w:val="001038AB"/>
    <w:rsid w:val="00104DD9"/>
    <w:rsid w:val="00110EA6"/>
    <w:rsid w:val="00111B21"/>
    <w:rsid w:val="00112247"/>
    <w:rsid w:val="00112FF9"/>
    <w:rsid w:val="00113F5A"/>
    <w:rsid w:val="00120382"/>
    <w:rsid w:val="00120C9A"/>
    <w:rsid w:val="00122DA4"/>
    <w:rsid w:val="00122F16"/>
    <w:rsid w:val="00123047"/>
    <w:rsid w:val="00123215"/>
    <w:rsid w:val="00126150"/>
    <w:rsid w:val="00135ED7"/>
    <w:rsid w:val="001360AE"/>
    <w:rsid w:val="00136FFE"/>
    <w:rsid w:val="00140E92"/>
    <w:rsid w:val="00141EBB"/>
    <w:rsid w:val="001450FC"/>
    <w:rsid w:val="00146381"/>
    <w:rsid w:val="00153B39"/>
    <w:rsid w:val="00157622"/>
    <w:rsid w:val="00162B75"/>
    <w:rsid w:val="00163030"/>
    <w:rsid w:val="0016342C"/>
    <w:rsid w:val="00164E50"/>
    <w:rsid w:val="001656EF"/>
    <w:rsid w:val="001676FC"/>
    <w:rsid w:val="00170B95"/>
    <w:rsid w:val="001715A5"/>
    <w:rsid w:val="00172C6D"/>
    <w:rsid w:val="00174EED"/>
    <w:rsid w:val="00175C04"/>
    <w:rsid w:val="001804AF"/>
    <w:rsid w:val="0018090C"/>
    <w:rsid w:val="00180D70"/>
    <w:rsid w:val="00184C58"/>
    <w:rsid w:val="00187415"/>
    <w:rsid w:val="001901F0"/>
    <w:rsid w:val="00191AAC"/>
    <w:rsid w:val="00192563"/>
    <w:rsid w:val="001944D1"/>
    <w:rsid w:val="00195398"/>
    <w:rsid w:val="00196BDC"/>
    <w:rsid w:val="001A0930"/>
    <w:rsid w:val="001A4487"/>
    <w:rsid w:val="001A4BD8"/>
    <w:rsid w:val="001A6A55"/>
    <w:rsid w:val="001B2DE9"/>
    <w:rsid w:val="001C0177"/>
    <w:rsid w:val="001C2304"/>
    <w:rsid w:val="001C2B7B"/>
    <w:rsid w:val="001C4709"/>
    <w:rsid w:val="001C4CA1"/>
    <w:rsid w:val="001C56F6"/>
    <w:rsid w:val="001D0E9A"/>
    <w:rsid w:val="001D6DB5"/>
    <w:rsid w:val="001E2F70"/>
    <w:rsid w:val="001E3E18"/>
    <w:rsid w:val="001E50F2"/>
    <w:rsid w:val="001E549F"/>
    <w:rsid w:val="001E5AC0"/>
    <w:rsid w:val="001F4D74"/>
    <w:rsid w:val="001F6FB0"/>
    <w:rsid w:val="001F7B5F"/>
    <w:rsid w:val="00201967"/>
    <w:rsid w:val="00203819"/>
    <w:rsid w:val="0020468E"/>
    <w:rsid w:val="002055CF"/>
    <w:rsid w:val="002111E1"/>
    <w:rsid w:val="00213224"/>
    <w:rsid w:val="0021788A"/>
    <w:rsid w:val="00221C85"/>
    <w:rsid w:val="00222719"/>
    <w:rsid w:val="0022412D"/>
    <w:rsid w:val="00225A66"/>
    <w:rsid w:val="00226141"/>
    <w:rsid w:val="00227DE9"/>
    <w:rsid w:val="002317DA"/>
    <w:rsid w:val="00231A30"/>
    <w:rsid w:val="002327E7"/>
    <w:rsid w:val="00241DA8"/>
    <w:rsid w:val="00242D61"/>
    <w:rsid w:val="00244D65"/>
    <w:rsid w:val="00245402"/>
    <w:rsid w:val="00245CB1"/>
    <w:rsid w:val="002525F7"/>
    <w:rsid w:val="0025339F"/>
    <w:rsid w:val="00256FB0"/>
    <w:rsid w:val="00257080"/>
    <w:rsid w:val="00261537"/>
    <w:rsid w:val="002630F3"/>
    <w:rsid w:val="00267940"/>
    <w:rsid w:val="0027437B"/>
    <w:rsid w:val="00277945"/>
    <w:rsid w:val="00277D42"/>
    <w:rsid w:val="00280611"/>
    <w:rsid w:val="00280856"/>
    <w:rsid w:val="00281541"/>
    <w:rsid w:val="002830B9"/>
    <w:rsid w:val="002869B1"/>
    <w:rsid w:val="00286E95"/>
    <w:rsid w:val="0029185C"/>
    <w:rsid w:val="00294359"/>
    <w:rsid w:val="0029649A"/>
    <w:rsid w:val="002A2C36"/>
    <w:rsid w:val="002A42D8"/>
    <w:rsid w:val="002A4402"/>
    <w:rsid w:val="002A4D95"/>
    <w:rsid w:val="002A6A9F"/>
    <w:rsid w:val="002B4514"/>
    <w:rsid w:val="002B5D3E"/>
    <w:rsid w:val="002B6A3B"/>
    <w:rsid w:val="002C3089"/>
    <w:rsid w:val="002C5CAF"/>
    <w:rsid w:val="002C6953"/>
    <w:rsid w:val="002D47F2"/>
    <w:rsid w:val="002E3F2B"/>
    <w:rsid w:val="002E5260"/>
    <w:rsid w:val="002E6E91"/>
    <w:rsid w:val="002F15ED"/>
    <w:rsid w:val="002F1BC6"/>
    <w:rsid w:val="002F5050"/>
    <w:rsid w:val="002F506B"/>
    <w:rsid w:val="00302FAA"/>
    <w:rsid w:val="00302FDE"/>
    <w:rsid w:val="00303B93"/>
    <w:rsid w:val="00306C3D"/>
    <w:rsid w:val="00310BAD"/>
    <w:rsid w:val="00313A5A"/>
    <w:rsid w:val="00314C49"/>
    <w:rsid w:val="003152A7"/>
    <w:rsid w:val="00324040"/>
    <w:rsid w:val="0032486C"/>
    <w:rsid w:val="003306D2"/>
    <w:rsid w:val="003308BE"/>
    <w:rsid w:val="00330FED"/>
    <w:rsid w:val="003318B9"/>
    <w:rsid w:val="00336F0C"/>
    <w:rsid w:val="003379BA"/>
    <w:rsid w:val="00340E88"/>
    <w:rsid w:val="003415DE"/>
    <w:rsid w:val="0034193E"/>
    <w:rsid w:val="00345ECE"/>
    <w:rsid w:val="00346002"/>
    <w:rsid w:val="00356F2D"/>
    <w:rsid w:val="00357835"/>
    <w:rsid w:val="00361BEA"/>
    <w:rsid w:val="00363566"/>
    <w:rsid w:val="00363F14"/>
    <w:rsid w:val="0036481A"/>
    <w:rsid w:val="003668E5"/>
    <w:rsid w:val="00370E19"/>
    <w:rsid w:val="0037200C"/>
    <w:rsid w:val="0037415D"/>
    <w:rsid w:val="00375F68"/>
    <w:rsid w:val="003766C1"/>
    <w:rsid w:val="0037776D"/>
    <w:rsid w:val="00380995"/>
    <w:rsid w:val="00383463"/>
    <w:rsid w:val="003836FF"/>
    <w:rsid w:val="00383A40"/>
    <w:rsid w:val="00386A3F"/>
    <w:rsid w:val="0038742F"/>
    <w:rsid w:val="003877B6"/>
    <w:rsid w:val="00397240"/>
    <w:rsid w:val="0039771A"/>
    <w:rsid w:val="003A128F"/>
    <w:rsid w:val="003A2E8F"/>
    <w:rsid w:val="003A3E41"/>
    <w:rsid w:val="003A5D15"/>
    <w:rsid w:val="003A7530"/>
    <w:rsid w:val="003A7B15"/>
    <w:rsid w:val="003A7F0B"/>
    <w:rsid w:val="003B1A58"/>
    <w:rsid w:val="003B4234"/>
    <w:rsid w:val="003B6B86"/>
    <w:rsid w:val="003C0529"/>
    <w:rsid w:val="003C07EF"/>
    <w:rsid w:val="003C2C70"/>
    <w:rsid w:val="003C2F0E"/>
    <w:rsid w:val="003D08A7"/>
    <w:rsid w:val="003D10C8"/>
    <w:rsid w:val="003D1442"/>
    <w:rsid w:val="003E01F8"/>
    <w:rsid w:val="003E65F8"/>
    <w:rsid w:val="003E6D00"/>
    <w:rsid w:val="003F04C9"/>
    <w:rsid w:val="003F0B31"/>
    <w:rsid w:val="003F7C4C"/>
    <w:rsid w:val="003F7D16"/>
    <w:rsid w:val="003F7F77"/>
    <w:rsid w:val="0040031A"/>
    <w:rsid w:val="00400744"/>
    <w:rsid w:val="004024FF"/>
    <w:rsid w:val="00402FDD"/>
    <w:rsid w:val="00406B30"/>
    <w:rsid w:val="0041094E"/>
    <w:rsid w:val="00411AC4"/>
    <w:rsid w:val="00411F48"/>
    <w:rsid w:val="004132BB"/>
    <w:rsid w:val="00413848"/>
    <w:rsid w:val="00414ACD"/>
    <w:rsid w:val="00420A56"/>
    <w:rsid w:val="00421DA6"/>
    <w:rsid w:val="00422980"/>
    <w:rsid w:val="004243C4"/>
    <w:rsid w:val="00424492"/>
    <w:rsid w:val="00424B66"/>
    <w:rsid w:val="00433FCA"/>
    <w:rsid w:val="00440340"/>
    <w:rsid w:val="00440A48"/>
    <w:rsid w:val="00443AA6"/>
    <w:rsid w:val="00445ED3"/>
    <w:rsid w:val="0044612D"/>
    <w:rsid w:val="004466D1"/>
    <w:rsid w:val="00447703"/>
    <w:rsid w:val="00451E73"/>
    <w:rsid w:val="00452BD9"/>
    <w:rsid w:val="004577B1"/>
    <w:rsid w:val="004617D9"/>
    <w:rsid w:val="00463584"/>
    <w:rsid w:val="0046379B"/>
    <w:rsid w:val="00463D5B"/>
    <w:rsid w:val="004671D7"/>
    <w:rsid w:val="00471218"/>
    <w:rsid w:val="0047151A"/>
    <w:rsid w:val="00473573"/>
    <w:rsid w:val="00473EF6"/>
    <w:rsid w:val="00474BE8"/>
    <w:rsid w:val="00476D65"/>
    <w:rsid w:val="00477A99"/>
    <w:rsid w:val="004802B1"/>
    <w:rsid w:val="00480F67"/>
    <w:rsid w:val="00481345"/>
    <w:rsid w:val="00484BCE"/>
    <w:rsid w:val="00486AFE"/>
    <w:rsid w:val="0049302E"/>
    <w:rsid w:val="00493131"/>
    <w:rsid w:val="00493A6F"/>
    <w:rsid w:val="004944AC"/>
    <w:rsid w:val="00497308"/>
    <w:rsid w:val="004A53D9"/>
    <w:rsid w:val="004A60BA"/>
    <w:rsid w:val="004A658A"/>
    <w:rsid w:val="004A6DBA"/>
    <w:rsid w:val="004B06B6"/>
    <w:rsid w:val="004B1684"/>
    <w:rsid w:val="004B16D1"/>
    <w:rsid w:val="004B620C"/>
    <w:rsid w:val="004B639A"/>
    <w:rsid w:val="004C078D"/>
    <w:rsid w:val="004C37FD"/>
    <w:rsid w:val="004C419E"/>
    <w:rsid w:val="004C484F"/>
    <w:rsid w:val="004C5077"/>
    <w:rsid w:val="004C52DE"/>
    <w:rsid w:val="004C5EAF"/>
    <w:rsid w:val="004D040B"/>
    <w:rsid w:val="004D2B3B"/>
    <w:rsid w:val="004D4182"/>
    <w:rsid w:val="004E12C0"/>
    <w:rsid w:val="004E31FB"/>
    <w:rsid w:val="004E361E"/>
    <w:rsid w:val="004F119C"/>
    <w:rsid w:val="004F12D2"/>
    <w:rsid w:val="004F2C41"/>
    <w:rsid w:val="004F3CB3"/>
    <w:rsid w:val="004F61DC"/>
    <w:rsid w:val="00503560"/>
    <w:rsid w:val="00503CD0"/>
    <w:rsid w:val="00507D5D"/>
    <w:rsid w:val="00510902"/>
    <w:rsid w:val="00512487"/>
    <w:rsid w:val="005130ED"/>
    <w:rsid w:val="0051363C"/>
    <w:rsid w:val="00514E8A"/>
    <w:rsid w:val="00517432"/>
    <w:rsid w:val="005222B1"/>
    <w:rsid w:val="00523272"/>
    <w:rsid w:val="0052477F"/>
    <w:rsid w:val="00525DD5"/>
    <w:rsid w:val="005324E3"/>
    <w:rsid w:val="00535B8B"/>
    <w:rsid w:val="005364D3"/>
    <w:rsid w:val="0053736E"/>
    <w:rsid w:val="00537AE1"/>
    <w:rsid w:val="0054099B"/>
    <w:rsid w:val="005428C0"/>
    <w:rsid w:val="00543F69"/>
    <w:rsid w:val="00547D34"/>
    <w:rsid w:val="00551334"/>
    <w:rsid w:val="00554C5D"/>
    <w:rsid w:val="00555023"/>
    <w:rsid w:val="005611DD"/>
    <w:rsid w:val="00561E1C"/>
    <w:rsid w:val="0056223A"/>
    <w:rsid w:val="00562D19"/>
    <w:rsid w:val="00564194"/>
    <w:rsid w:val="00567587"/>
    <w:rsid w:val="00572FF2"/>
    <w:rsid w:val="00574002"/>
    <w:rsid w:val="005754AD"/>
    <w:rsid w:val="0057575A"/>
    <w:rsid w:val="0057674F"/>
    <w:rsid w:val="00577D88"/>
    <w:rsid w:val="00577E41"/>
    <w:rsid w:val="00580835"/>
    <w:rsid w:val="00580842"/>
    <w:rsid w:val="00582167"/>
    <w:rsid w:val="0058489B"/>
    <w:rsid w:val="00587D17"/>
    <w:rsid w:val="005915DA"/>
    <w:rsid w:val="005932A3"/>
    <w:rsid w:val="00595B10"/>
    <w:rsid w:val="005960C9"/>
    <w:rsid w:val="005A3FEF"/>
    <w:rsid w:val="005A549F"/>
    <w:rsid w:val="005A6A56"/>
    <w:rsid w:val="005B09BA"/>
    <w:rsid w:val="005B0C5F"/>
    <w:rsid w:val="005B0DFB"/>
    <w:rsid w:val="005B1E00"/>
    <w:rsid w:val="005C43D6"/>
    <w:rsid w:val="005C5A02"/>
    <w:rsid w:val="005D0C52"/>
    <w:rsid w:val="005D7C46"/>
    <w:rsid w:val="005D7D2B"/>
    <w:rsid w:val="005E1519"/>
    <w:rsid w:val="005E1F0C"/>
    <w:rsid w:val="005E201C"/>
    <w:rsid w:val="005E202A"/>
    <w:rsid w:val="005E37A6"/>
    <w:rsid w:val="005E3800"/>
    <w:rsid w:val="005E524F"/>
    <w:rsid w:val="005E53AA"/>
    <w:rsid w:val="005E5961"/>
    <w:rsid w:val="005E61E2"/>
    <w:rsid w:val="005E78C6"/>
    <w:rsid w:val="005F1F06"/>
    <w:rsid w:val="005F4FE3"/>
    <w:rsid w:val="005F70DB"/>
    <w:rsid w:val="00603275"/>
    <w:rsid w:val="00607841"/>
    <w:rsid w:val="006117DA"/>
    <w:rsid w:val="006120D1"/>
    <w:rsid w:val="00612B5F"/>
    <w:rsid w:val="00623445"/>
    <w:rsid w:val="00623C1E"/>
    <w:rsid w:val="00626E4E"/>
    <w:rsid w:val="00626E55"/>
    <w:rsid w:val="00633C4D"/>
    <w:rsid w:val="00634A81"/>
    <w:rsid w:val="00635F48"/>
    <w:rsid w:val="00636C7D"/>
    <w:rsid w:val="00636D7D"/>
    <w:rsid w:val="0064307B"/>
    <w:rsid w:val="00643B3C"/>
    <w:rsid w:val="006450DC"/>
    <w:rsid w:val="00645C20"/>
    <w:rsid w:val="00652AAF"/>
    <w:rsid w:val="00653704"/>
    <w:rsid w:val="0065491B"/>
    <w:rsid w:val="00657F19"/>
    <w:rsid w:val="00660B5C"/>
    <w:rsid w:val="00661F75"/>
    <w:rsid w:val="006622BC"/>
    <w:rsid w:val="006630ED"/>
    <w:rsid w:val="006647EB"/>
    <w:rsid w:val="00677DE4"/>
    <w:rsid w:val="00681705"/>
    <w:rsid w:val="00681922"/>
    <w:rsid w:val="00683F90"/>
    <w:rsid w:val="00684E6B"/>
    <w:rsid w:val="00686150"/>
    <w:rsid w:val="0068652E"/>
    <w:rsid w:val="00686E49"/>
    <w:rsid w:val="00686FAE"/>
    <w:rsid w:val="006915F4"/>
    <w:rsid w:val="0069281A"/>
    <w:rsid w:val="00692CA8"/>
    <w:rsid w:val="00695531"/>
    <w:rsid w:val="006960B9"/>
    <w:rsid w:val="00697B76"/>
    <w:rsid w:val="006A0586"/>
    <w:rsid w:val="006A1206"/>
    <w:rsid w:val="006A1615"/>
    <w:rsid w:val="006A34C8"/>
    <w:rsid w:val="006B4078"/>
    <w:rsid w:val="006B459F"/>
    <w:rsid w:val="006B6357"/>
    <w:rsid w:val="006B6692"/>
    <w:rsid w:val="006B676D"/>
    <w:rsid w:val="006B76BC"/>
    <w:rsid w:val="006C3006"/>
    <w:rsid w:val="006C590B"/>
    <w:rsid w:val="006C5E1E"/>
    <w:rsid w:val="006C7F34"/>
    <w:rsid w:val="006D36C1"/>
    <w:rsid w:val="006D43B5"/>
    <w:rsid w:val="006D7A73"/>
    <w:rsid w:val="006D7D42"/>
    <w:rsid w:val="006E0169"/>
    <w:rsid w:val="006E1D2A"/>
    <w:rsid w:val="006E37CF"/>
    <w:rsid w:val="006E73EF"/>
    <w:rsid w:val="006F06A9"/>
    <w:rsid w:val="006F09A2"/>
    <w:rsid w:val="006F2899"/>
    <w:rsid w:val="006F58B5"/>
    <w:rsid w:val="006F5BB9"/>
    <w:rsid w:val="006F5DE8"/>
    <w:rsid w:val="00700B17"/>
    <w:rsid w:val="00702C5F"/>
    <w:rsid w:val="007040C2"/>
    <w:rsid w:val="00706CD2"/>
    <w:rsid w:val="00707339"/>
    <w:rsid w:val="00710212"/>
    <w:rsid w:val="00712C0F"/>
    <w:rsid w:val="00713A69"/>
    <w:rsid w:val="00713C65"/>
    <w:rsid w:val="00714ED2"/>
    <w:rsid w:val="007155DC"/>
    <w:rsid w:val="007161E7"/>
    <w:rsid w:val="00721928"/>
    <w:rsid w:val="00722617"/>
    <w:rsid w:val="00723556"/>
    <w:rsid w:val="00727014"/>
    <w:rsid w:val="00727965"/>
    <w:rsid w:val="00727DD8"/>
    <w:rsid w:val="00731346"/>
    <w:rsid w:val="007328A4"/>
    <w:rsid w:val="00733C03"/>
    <w:rsid w:val="0073414A"/>
    <w:rsid w:val="00735B5B"/>
    <w:rsid w:val="0073648C"/>
    <w:rsid w:val="00741836"/>
    <w:rsid w:val="00741DDF"/>
    <w:rsid w:val="007426D8"/>
    <w:rsid w:val="00743501"/>
    <w:rsid w:val="0074598A"/>
    <w:rsid w:val="007470BF"/>
    <w:rsid w:val="007510E6"/>
    <w:rsid w:val="007531E8"/>
    <w:rsid w:val="0075378D"/>
    <w:rsid w:val="00753A33"/>
    <w:rsid w:val="00764F51"/>
    <w:rsid w:val="00765DB7"/>
    <w:rsid w:val="0076671A"/>
    <w:rsid w:val="00771849"/>
    <w:rsid w:val="007743D8"/>
    <w:rsid w:val="007761E1"/>
    <w:rsid w:val="0077794C"/>
    <w:rsid w:val="00785157"/>
    <w:rsid w:val="00785839"/>
    <w:rsid w:val="00786A71"/>
    <w:rsid w:val="00790B29"/>
    <w:rsid w:val="00791077"/>
    <w:rsid w:val="00791C94"/>
    <w:rsid w:val="00793456"/>
    <w:rsid w:val="007960EE"/>
    <w:rsid w:val="007A0E51"/>
    <w:rsid w:val="007A32BB"/>
    <w:rsid w:val="007A406B"/>
    <w:rsid w:val="007A4CDE"/>
    <w:rsid w:val="007A7269"/>
    <w:rsid w:val="007B248F"/>
    <w:rsid w:val="007B3E6D"/>
    <w:rsid w:val="007B4360"/>
    <w:rsid w:val="007B4988"/>
    <w:rsid w:val="007B5C08"/>
    <w:rsid w:val="007B694F"/>
    <w:rsid w:val="007B7789"/>
    <w:rsid w:val="007C47E1"/>
    <w:rsid w:val="007D197D"/>
    <w:rsid w:val="007D22FB"/>
    <w:rsid w:val="007D242C"/>
    <w:rsid w:val="007D24D4"/>
    <w:rsid w:val="007D39A4"/>
    <w:rsid w:val="007D65E9"/>
    <w:rsid w:val="007E1601"/>
    <w:rsid w:val="007E1D95"/>
    <w:rsid w:val="007E4B5C"/>
    <w:rsid w:val="007F00B1"/>
    <w:rsid w:val="007F5570"/>
    <w:rsid w:val="007F66BB"/>
    <w:rsid w:val="00803CE2"/>
    <w:rsid w:val="00806493"/>
    <w:rsid w:val="00807F85"/>
    <w:rsid w:val="00823489"/>
    <w:rsid w:val="00823998"/>
    <w:rsid w:val="00824EA2"/>
    <w:rsid w:val="00826D98"/>
    <w:rsid w:val="00826F6B"/>
    <w:rsid w:val="0082773E"/>
    <w:rsid w:val="00827DEC"/>
    <w:rsid w:val="008308C9"/>
    <w:rsid w:val="00830921"/>
    <w:rsid w:val="00832C8D"/>
    <w:rsid w:val="00833B98"/>
    <w:rsid w:val="0083471A"/>
    <w:rsid w:val="00837B6F"/>
    <w:rsid w:val="00840EC7"/>
    <w:rsid w:val="00840EC8"/>
    <w:rsid w:val="00841AA4"/>
    <w:rsid w:val="008452BB"/>
    <w:rsid w:val="0085239B"/>
    <w:rsid w:val="00853C21"/>
    <w:rsid w:val="00853FAB"/>
    <w:rsid w:val="00860BCE"/>
    <w:rsid w:val="00862062"/>
    <w:rsid w:val="0086575B"/>
    <w:rsid w:val="00866AC6"/>
    <w:rsid w:val="00867D1D"/>
    <w:rsid w:val="008722F6"/>
    <w:rsid w:val="00872B1B"/>
    <w:rsid w:val="0087320E"/>
    <w:rsid w:val="00876AF9"/>
    <w:rsid w:val="00876C04"/>
    <w:rsid w:val="00877516"/>
    <w:rsid w:val="00880AC6"/>
    <w:rsid w:val="00884029"/>
    <w:rsid w:val="00884940"/>
    <w:rsid w:val="00891191"/>
    <w:rsid w:val="00894735"/>
    <w:rsid w:val="00896241"/>
    <w:rsid w:val="0089657F"/>
    <w:rsid w:val="00896FE0"/>
    <w:rsid w:val="008A0C66"/>
    <w:rsid w:val="008A2A09"/>
    <w:rsid w:val="008A2A7F"/>
    <w:rsid w:val="008A6760"/>
    <w:rsid w:val="008B6215"/>
    <w:rsid w:val="008B7A00"/>
    <w:rsid w:val="008B7F4E"/>
    <w:rsid w:val="008C1838"/>
    <w:rsid w:val="008C2392"/>
    <w:rsid w:val="008C36BC"/>
    <w:rsid w:val="008C4375"/>
    <w:rsid w:val="008C5C63"/>
    <w:rsid w:val="008D044F"/>
    <w:rsid w:val="008D0D02"/>
    <w:rsid w:val="008D30E1"/>
    <w:rsid w:val="008D456E"/>
    <w:rsid w:val="008D726A"/>
    <w:rsid w:val="008D747E"/>
    <w:rsid w:val="008E0C0B"/>
    <w:rsid w:val="008E0FBA"/>
    <w:rsid w:val="008E3DE3"/>
    <w:rsid w:val="008E650B"/>
    <w:rsid w:val="008E7715"/>
    <w:rsid w:val="008E7835"/>
    <w:rsid w:val="008E7CDC"/>
    <w:rsid w:val="008E7F60"/>
    <w:rsid w:val="008F090C"/>
    <w:rsid w:val="008F4123"/>
    <w:rsid w:val="008F5FB1"/>
    <w:rsid w:val="008F7343"/>
    <w:rsid w:val="009051DF"/>
    <w:rsid w:val="00906576"/>
    <w:rsid w:val="00907D02"/>
    <w:rsid w:val="00910952"/>
    <w:rsid w:val="009145C0"/>
    <w:rsid w:val="009202F4"/>
    <w:rsid w:val="00921E21"/>
    <w:rsid w:val="0092426D"/>
    <w:rsid w:val="00926925"/>
    <w:rsid w:val="00930143"/>
    <w:rsid w:val="0093031F"/>
    <w:rsid w:val="00930967"/>
    <w:rsid w:val="00930A74"/>
    <w:rsid w:val="00933EBD"/>
    <w:rsid w:val="00934DDF"/>
    <w:rsid w:val="00937682"/>
    <w:rsid w:val="0094033F"/>
    <w:rsid w:val="00941EFB"/>
    <w:rsid w:val="00942D09"/>
    <w:rsid w:val="00947401"/>
    <w:rsid w:val="00952E09"/>
    <w:rsid w:val="00952FE8"/>
    <w:rsid w:val="00953DE5"/>
    <w:rsid w:val="009654AE"/>
    <w:rsid w:val="00965A40"/>
    <w:rsid w:val="00966E44"/>
    <w:rsid w:val="00967D01"/>
    <w:rsid w:val="0097093C"/>
    <w:rsid w:val="0097376F"/>
    <w:rsid w:val="009753D8"/>
    <w:rsid w:val="00976316"/>
    <w:rsid w:val="009771A8"/>
    <w:rsid w:val="00977877"/>
    <w:rsid w:val="00981E8B"/>
    <w:rsid w:val="00982936"/>
    <w:rsid w:val="009833EE"/>
    <w:rsid w:val="009963E0"/>
    <w:rsid w:val="009974F1"/>
    <w:rsid w:val="00997E2D"/>
    <w:rsid w:val="009A200C"/>
    <w:rsid w:val="009A40CE"/>
    <w:rsid w:val="009A43A0"/>
    <w:rsid w:val="009A45F3"/>
    <w:rsid w:val="009A729B"/>
    <w:rsid w:val="009A7DEC"/>
    <w:rsid w:val="009B1884"/>
    <w:rsid w:val="009B2B47"/>
    <w:rsid w:val="009B3EDE"/>
    <w:rsid w:val="009B58C5"/>
    <w:rsid w:val="009C1965"/>
    <w:rsid w:val="009C21B7"/>
    <w:rsid w:val="009C377C"/>
    <w:rsid w:val="009C560A"/>
    <w:rsid w:val="009C5B36"/>
    <w:rsid w:val="009C6D5B"/>
    <w:rsid w:val="009C710B"/>
    <w:rsid w:val="009D1770"/>
    <w:rsid w:val="009D19D4"/>
    <w:rsid w:val="009D291F"/>
    <w:rsid w:val="009D2A45"/>
    <w:rsid w:val="009D4639"/>
    <w:rsid w:val="009E2746"/>
    <w:rsid w:val="009E3B28"/>
    <w:rsid w:val="009E44A5"/>
    <w:rsid w:val="009E4DC9"/>
    <w:rsid w:val="009E77BB"/>
    <w:rsid w:val="009F31AE"/>
    <w:rsid w:val="00A00A5F"/>
    <w:rsid w:val="00A023E9"/>
    <w:rsid w:val="00A02FE7"/>
    <w:rsid w:val="00A03E0F"/>
    <w:rsid w:val="00A055C3"/>
    <w:rsid w:val="00A14450"/>
    <w:rsid w:val="00A148E5"/>
    <w:rsid w:val="00A17CAD"/>
    <w:rsid w:val="00A2692B"/>
    <w:rsid w:val="00A27743"/>
    <w:rsid w:val="00A30743"/>
    <w:rsid w:val="00A321AC"/>
    <w:rsid w:val="00A33C85"/>
    <w:rsid w:val="00A34E21"/>
    <w:rsid w:val="00A35FB8"/>
    <w:rsid w:val="00A403F9"/>
    <w:rsid w:val="00A40585"/>
    <w:rsid w:val="00A424E3"/>
    <w:rsid w:val="00A42D6D"/>
    <w:rsid w:val="00A432A4"/>
    <w:rsid w:val="00A441D3"/>
    <w:rsid w:val="00A468FE"/>
    <w:rsid w:val="00A52F44"/>
    <w:rsid w:val="00A55113"/>
    <w:rsid w:val="00A561E7"/>
    <w:rsid w:val="00A57DCE"/>
    <w:rsid w:val="00A6263B"/>
    <w:rsid w:val="00A62F8F"/>
    <w:rsid w:val="00A644CA"/>
    <w:rsid w:val="00A66C8D"/>
    <w:rsid w:val="00A67416"/>
    <w:rsid w:val="00A67E45"/>
    <w:rsid w:val="00A731A1"/>
    <w:rsid w:val="00A73966"/>
    <w:rsid w:val="00A80202"/>
    <w:rsid w:val="00A81947"/>
    <w:rsid w:val="00A83E83"/>
    <w:rsid w:val="00A84B8F"/>
    <w:rsid w:val="00A864CA"/>
    <w:rsid w:val="00A910A7"/>
    <w:rsid w:val="00A92CF2"/>
    <w:rsid w:val="00A940F8"/>
    <w:rsid w:val="00A94485"/>
    <w:rsid w:val="00A9495E"/>
    <w:rsid w:val="00A9598D"/>
    <w:rsid w:val="00AA22DA"/>
    <w:rsid w:val="00AA2610"/>
    <w:rsid w:val="00AA2E47"/>
    <w:rsid w:val="00AA3CDB"/>
    <w:rsid w:val="00AA3DD6"/>
    <w:rsid w:val="00AA481A"/>
    <w:rsid w:val="00AB07A1"/>
    <w:rsid w:val="00AB0A00"/>
    <w:rsid w:val="00AB1B8D"/>
    <w:rsid w:val="00AB7673"/>
    <w:rsid w:val="00AB7BFF"/>
    <w:rsid w:val="00AC5392"/>
    <w:rsid w:val="00AC6BB4"/>
    <w:rsid w:val="00AC73DD"/>
    <w:rsid w:val="00AD1352"/>
    <w:rsid w:val="00AD1BAF"/>
    <w:rsid w:val="00AD41A5"/>
    <w:rsid w:val="00AD4814"/>
    <w:rsid w:val="00AD7E46"/>
    <w:rsid w:val="00AE2C9B"/>
    <w:rsid w:val="00AE32C9"/>
    <w:rsid w:val="00AE489E"/>
    <w:rsid w:val="00AE50E7"/>
    <w:rsid w:val="00AE6A6A"/>
    <w:rsid w:val="00AE7D84"/>
    <w:rsid w:val="00AF02BA"/>
    <w:rsid w:val="00AF4D0E"/>
    <w:rsid w:val="00AF53C0"/>
    <w:rsid w:val="00AF5889"/>
    <w:rsid w:val="00AF743A"/>
    <w:rsid w:val="00B00D3E"/>
    <w:rsid w:val="00B00EAA"/>
    <w:rsid w:val="00B032EC"/>
    <w:rsid w:val="00B035E5"/>
    <w:rsid w:val="00B04025"/>
    <w:rsid w:val="00B04C07"/>
    <w:rsid w:val="00B04C28"/>
    <w:rsid w:val="00B057A5"/>
    <w:rsid w:val="00B06714"/>
    <w:rsid w:val="00B12E69"/>
    <w:rsid w:val="00B149DE"/>
    <w:rsid w:val="00B1523F"/>
    <w:rsid w:val="00B22C5C"/>
    <w:rsid w:val="00B342AA"/>
    <w:rsid w:val="00B40183"/>
    <w:rsid w:val="00B4096D"/>
    <w:rsid w:val="00B40A6D"/>
    <w:rsid w:val="00B41B4B"/>
    <w:rsid w:val="00B41F6A"/>
    <w:rsid w:val="00B44B11"/>
    <w:rsid w:val="00B44F75"/>
    <w:rsid w:val="00B45CA6"/>
    <w:rsid w:val="00B52A5C"/>
    <w:rsid w:val="00B52C41"/>
    <w:rsid w:val="00B5337E"/>
    <w:rsid w:val="00B54C6C"/>
    <w:rsid w:val="00B55809"/>
    <w:rsid w:val="00B56994"/>
    <w:rsid w:val="00B6157A"/>
    <w:rsid w:val="00B65F74"/>
    <w:rsid w:val="00B673C7"/>
    <w:rsid w:val="00B674CB"/>
    <w:rsid w:val="00B72CC0"/>
    <w:rsid w:val="00B746B7"/>
    <w:rsid w:val="00B76769"/>
    <w:rsid w:val="00B7787F"/>
    <w:rsid w:val="00B80E35"/>
    <w:rsid w:val="00B8160F"/>
    <w:rsid w:val="00B82F2D"/>
    <w:rsid w:val="00B84613"/>
    <w:rsid w:val="00B86205"/>
    <w:rsid w:val="00B86E2C"/>
    <w:rsid w:val="00B92109"/>
    <w:rsid w:val="00B973FB"/>
    <w:rsid w:val="00B9770F"/>
    <w:rsid w:val="00BA1FC1"/>
    <w:rsid w:val="00BB59C6"/>
    <w:rsid w:val="00BB6547"/>
    <w:rsid w:val="00BC06F0"/>
    <w:rsid w:val="00BC43A5"/>
    <w:rsid w:val="00BC6226"/>
    <w:rsid w:val="00BC6375"/>
    <w:rsid w:val="00BC7A58"/>
    <w:rsid w:val="00BD0C9A"/>
    <w:rsid w:val="00BD41BD"/>
    <w:rsid w:val="00BD5475"/>
    <w:rsid w:val="00BE147F"/>
    <w:rsid w:val="00BE1A3F"/>
    <w:rsid w:val="00BF09FB"/>
    <w:rsid w:val="00BF0CFC"/>
    <w:rsid w:val="00BF4A72"/>
    <w:rsid w:val="00BF5DE2"/>
    <w:rsid w:val="00BF6F7B"/>
    <w:rsid w:val="00C01118"/>
    <w:rsid w:val="00C02C23"/>
    <w:rsid w:val="00C02FBB"/>
    <w:rsid w:val="00C06903"/>
    <w:rsid w:val="00C0752F"/>
    <w:rsid w:val="00C106F1"/>
    <w:rsid w:val="00C1236E"/>
    <w:rsid w:val="00C17D4D"/>
    <w:rsid w:val="00C17F96"/>
    <w:rsid w:val="00C20965"/>
    <w:rsid w:val="00C21E18"/>
    <w:rsid w:val="00C2331F"/>
    <w:rsid w:val="00C2340A"/>
    <w:rsid w:val="00C2476D"/>
    <w:rsid w:val="00C25E59"/>
    <w:rsid w:val="00C273C3"/>
    <w:rsid w:val="00C30DA6"/>
    <w:rsid w:val="00C30F99"/>
    <w:rsid w:val="00C31118"/>
    <w:rsid w:val="00C37682"/>
    <w:rsid w:val="00C401B5"/>
    <w:rsid w:val="00C423AB"/>
    <w:rsid w:val="00C506A8"/>
    <w:rsid w:val="00C61570"/>
    <w:rsid w:val="00C63C49"/>
    <w:rsid w:val="00C703EB"/>
    <w:rsid w:val="00C71B70"/>
    <w:rsid w:val="00C722B1"/>
    <w:rsid w:val="00C73145"/>
    <w:rsid w:val="00C7501A"/>
    <w:rsid w:val="00C7759C"/>
    <w:rsid w:val="00C80CED"/>
    <w:rsid w:val="00C837DD"/>
    <w:rsid w:val="00C87660"/>
    <w:rsid w:val="00C90866"/>
    <w:rsid w:val="00C926EC"/>
    <w:rsid w:val="00C96A91"/>
    <w:rsid w:val="00CA5A6D"/>
    <w:rsid w:val="00CA6EE7"/>
    <w:rsid w:val="00CA6EF2"/>
    <w:rsid w:val="00CA7671"/>
    <w:rsid w:val="00CB03D8"/>
    <w:rsid w:val="00CB0423"/>
    <w:rsid w:val="00CB4B9A"/>
    <w:rsid w:val="00CB60D7"/>
    <w:rsid w:val="00CB753F"/>
    <w:rsid w:val="00CC2DA9"/>
    <w:rsid w:val="00CC35F4"/>
    <w:rsid w:val="00CC60C8"/>
    <w:rsid w:val="00CC70E9"/>
    <w:rsid w:val="00CD114F"/>
    <w:rsid w:val="00CD1484"/>
    <w:rsid w:val="00CD27D4"/>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11C59"/>
    <w:rsid w:val="00D14959"/>
    <w:rsid w:val="00D14BDC"/>
    <w:rsid w:val="00D14C5A"/>
    <w:rsid w:val="00D14F80"/>
    <w:rsid w:val="00D16540"/>
    <w:rsid w:val="00D23B0D"/>
    <w:rsid w:val="00D2540C"/>
    <w:rsid w:val="00D30006"/>
    <w:rsid w:val="00D3265A"/>
    <w:rsid w:val="00D3455C"/>
    <w:rsid w:val="00D36EAF"/>
    <w:rsid w:val="00D40CC4"/>
    <w:rsid w:val="00D40F26"/>
    <w:rsid w:val="00D43FB6"/>
    <w:rsid w:val="00D56B8F"/>
    <w:rsid w:val="00D73A64"/>
    <w:rsid w:val="00D74D3E"/>
    <w:rsid w:val="00D8277F"/>
    <w:rsid w:val="00D83BBB"/>
    <w:rsid w:val="00D83BD3"/>
    <w:rsid w:val="00D84083"/>
    <w:rsid w:val="00D91558"/>
    <w:rsid w:val="00D91BB7"/>
    <w:rsid w:val="00D94863"/>
    <w:rsid w:val="00D94D8F"/>
    <w:rsid w:val="00D95DF3"/>
    <w:rsid w:val="00DA1BB6"/>
    <w:rsid w:val="00DA2916"/>
    <w:rsid w:val="00DA646A"/>
    <w:rsid w:val="00DA6632"/>
    <w:rsid w:val="00DA770A"/>
    <w:rsid w:val="00DA7D1E"/>
    <w:rsid w:val="00DB0D21"/>
    <w:rsid w:val="00DB2AE3"/>
    <w:rsid w:val="00DB3A7C"/>
    <w:rsid w:val="00DB4E76"/>
    <w:rsid w:val="00DB6783"/>
    <w:rsid w:val="00DB6FFB"/>
    <w:rsid w:val="00DC00C4"/>
    <w:rsid w:val="00DC1FB0"/>
    <w:rsid w:val="00DC3FEE"/>
    <w:rsid w:val="00DC4439"/>
    <w:rsid w:val="00DC52B8"/>
    <w:rsid w:val="00DD25FD"/>
    <w:rsid w:val="00DD44D8"/>
    <w:rsid w:val="00DD4D90"/>
    <w:rsid w:val="00DE2270"/>
    <w:rsid w:val="00DE599B"/>
    <w:rsid w:val="00DE5BBB"/>
    <w:rsid w:val="00DE7CC2"/>
    <w:rsid w:val="00DF0887"/>
    <w:rsid w:val="00DF0AA5"/>
    <w:rsid w:val="00DF3953"/>
    <w:rsid w:val="00DF4947"/>
    <w:rsid w:val="00DF4EB9"/>
    <w:rsid w:val="00E01265"/>
    <w:rsid w:val="00E02FE0"/>
    <w:rsid w:val="00E07FB0"/>
    <w:rsid w:val="00E13050"/>
    <w:rsid w:val="00E145D5"/>
    <w:rsid w:val="00E20144"/>
    <w:rsid w:val="00E23289"/>
    <w:rsid w:val="00E23E4B"/>
    <w:rsid w:val="00E25E5D"/>
    <w:rsid w:val="00E25ED1"/>
    <w:rsid w:val="00E34D15"/>
    <w:rsid w:val="00E35A23"/>
    <w:rsid w:val="00E36390"/>
    <w:rsid w:val="00E410D5"/>
    <w:rsid w:val="00E43E6B"/>
    <w:rsid w:val="00E44BC2"/>
    <w:rsid w:val="00E44E50"/>
    <w:rsid w:val="00E44EC1"/>
    <w:rsid w:val="00E52A65"/>
    <w:rsid w:val="00E538C3"/>
    <w:rsid w:val="00E562D6"/>
    <w:rsid w:val="00E5670D"/>
    <w:rsid w:val="00E61737"/>
    <w:rsid w:val="00E67AD2"/>
    <w:rsid w:val="00E7626B"/>
    <w:rsid w:val="00E8145C"/>
    <w:rsid w:val="00E81CCE"/>
    <w:rsid w:val="00E82053"/>
    <w:rsid w:val="00E84753"/>
    <w:rsid w:val="00E849C1"/>
    <w:rsid w:val="00E864FB"/>
    <w:rsid w:val="00E913FD"/>
    <w:rsid w:val="00E93D8B"/>
    <w:rsid w:val="00E94C73"/>
    <w:rsid w:val="00EA11AA"/>
    <w:rsid w:val="00EA256F"/>
    <w:rsid w:val="00EA2962"/>
    <w:rsid w:val="00EA342B"/>
    <w:rsid w:val="00EA680F"/>
    <w:rsid w:val="00EA6C49"/>
    <w:rsid w:val="00EA6F4B"/>
    <w:rsid w:val="00EB0592"/>
    <w:rsid w:val="00EB07D3"/>
    <w:rsid w:val="00EB1B50"/>
    <w:rsid w:val="00EB1C5F"/>
    <w:rsid w:val="00EC269B"/>
    <w:rsid w:val="00EC49B6"/>
    <w:rsid w:val="00EC7338"/>
    <w:rsid w:val="00EC7603"/>
    <w:rsid w:val="00ED1443"/>
    <w:rsid w:val="00ED38A7"/>
    <w:rsid w:val="00ED3CA2"/>
    <w:rsid w:val="00ED6A7A"/>
    <w:rsid w:val="00EE473D"/>
    <w:rsid w:val="00EE5DE3"/>
    <w:rsid w:val="00EE5E04"/>
    <w:rsid w:val="00EE5FB2"/>
    <w:rsid w:val="00EE68AB"/>
    <w:rsid w:val="00EF05C1"/>
    <w:rsid w:val="00EF18AC"/>
    <w:rsid w:val="00EF78EF"/>
    <w:rsid w:val="00F02181"/>
    <w:rsid w:val="00F03766"/>
    <w:rsid w:val="00F1125C"/>
    <w:rsid w:val="00F11EAE"/>
    <w:rsid w:val="00F13485"/>
    <w:rsid w:val="00F146AA"/>
    <w:rsid w:val="00F1612A"/>
    <w:rsid w:val="00F17CC8"/>
    <w:rsid w:val="00F20C04"/>
    <w:rsid w:val="00F230D0"/>
    <w:rsid w:val="00F245E7"/>
    <w:rsid w:val="00F31E2F"/>
    <w:rsid w:val="00F323D9"/>
    <w:rsid w:val="00F3286C"/>
    <w:rsid w:val="00F342D0"/>
    <w:rsid w:val="00F3500C"/>
    <w:rsid w:val="00F40816"/>
    <w:rsid w:val="00F40A20"/>
    <w:rsid w:val="00F5159A"/>
    <w:rsid w:val="00F51B1F"/>
    <w:rsid w:val="00F53385"/>
    <w:rsid w:val="00F53BC5"/>
    <w:rsid w:val="00F600C8"/>
    <w:rsid w:val="00F61CC1"/>
    <w:rsid w:val="00F63071"/>
    <w:rsid w:val="00F637B4"/>
    <w:rsid w:val="00F6495F"/>
    <w:rsid w:val="00F66592"/>
    <w:rsid w:val="00F66766"/>
    <w:rsid w:val="00F66E0D"/>
    <w:rsid w:val="00F66EB7"/>
    <w:rsid w:val="00F701C5"/>
    <w:rsid w:val="00F73A9A"/>
    <w:rsid w:val="00F7436C"/>
    <w:rsid w:val="00F7683F"/>
    <w:rsid w:val="00F77903"/>
    <w:rsid w:val="00F77BB2"/>
    <w:rsid w:val="00F80349"/>
    <w:rsid w:val="00F8042C"/>
    <w:rsid w:val="00F8340D"/>
    <w:rsid w:val="00F844EB"/>
    <w:rsid w:val="00F84B82"/>
    <w:rsid w:val="00F85524"/>
    <w:rsid w:val="00F856AA"/>
    <w:rsid w:val="00F9017E"/>
    <w:rsid w:val="00F908D4"/>
    <w:rsid w:val="00F922AD"/>
    <w:rsid w:val="00F93DD1"/>
    <w:rsid w:val="00F97A80"/>
    <w:rsid w:val="00F97DD5"/>
    <w:rsid w:val="00FA0E19"/>
    <w:rsid w:val="00FA104C"/>
    <w:rsid w:val="00FA1AC5"/>
    <w:rsid w:val="00FA791C"/>
    <w:rsid w:val="00FB1089"/>
    <w:rsid w:val="00FB343A"/>
    <w:rsid w:val="00FB5B5C"/>
    <w:rsid w:val="00FC20AE"/>
    <w:rsid w:val="00FD04BF"/>
    <w:rsid w:val="00FD1B9B"/>
    <w:rsid w:val="00FD26EF"/>
    <w:rsid w:val="00FD2CB6"/>
    <w:rsid w:val="00FD33E3"/>
    <w:rsid w:val="00FD73DE"/>
    <w:rsid w:val="00FE1841"/>
    <w:rsid w:val="00FE44F1"/>
    <w:rsid w:val="00FE7E7C"/>
    <w:rsid w:val="00FF4F7F"/>
    <w:rsid w:val="00FF55EB"/>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46A"/>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contextualSpacing/>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contextualSpacing/>
    </w:pPr>
  </w:style>
  <w:style w:type="paragraph" w:styleId="FootnoteText">
    <w:name w:val="footnote text"/>
    <w:basedOn w:val="Normal"/>
    <w:link w:val="FootnoteTextChar"/>
    <w:uiPriority w:val="99"/>
    <w:semiHidden/>
    <w:unhideWhenUsed/>
    <w:rsid w:val="008E7715"/>
    <w:pPr>
      <w:spacing w:after="0"/>
    </w:pPr>
    <w:rPr>
      <w:sz w:val="20"/>
      <w:szCs w:val="20"/>
    </w:rPr>
  </w:style>
  <w:style w:type="character" w:customStyle="1" w:styleId="FootnoteTextChar">
    <w:name w:val="Footnote Text Char"/>
    <w:basedOn w:val="DefaultParagraphFont"/>
    <w:link w:val="FootnoteText"/>
    <w:uiPriority w:val="99"/>
    <w:semiHidden/>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contextualSpacing/>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pwatchdog.com/2017/05/21/alice-over-half-u-s-utility-patents-issued-annually-software/id=83367/" TargetMode="External"/><Relationship Id="rId1" Type="http://schemas.openxmlformats.org/officeDocument/2006/relationships/hyperlink" Target="https://www.uspto.gov/web/offices/pac/mpep/mpep-0020-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E4259-7337-402B-834D-043DE8B3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14</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365</cp:revision>
  <dcterms:created xsi:type="dcterms:W3CDTF">2019-01-10T13:54:00Z</dcterms:created>
  <dcterms:modified xsi:type="dcterms:W3CDTF">2019-01-14T17:39:00Z</dcterms:modified>
</cp:coreProperties>
</file>