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48C61F3" w:rsidR="008E7715" w:rsidRPr="00A74008"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w:t>
      </w:r>
      <w:r w:rsidR="00984683" w:rsidRPr="00A74008">
        <w:rPr>
          <w:rFonts w:cs="Times New Roman"/>
          <w:color w:val="auto"/>
        </w:rPr>
        <w:lastRenderedPageBreak/>
        <w:t>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62F2FE7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 xml:space="preserve">severely limited how patent examiners reject patent applications for </w:t>
      </w:r>
      <w:r w:rsidR="00F323D9" w:rsidRPr="00A74008">
        <w:rPr>
          <w:rFonts w:cs="Times New Roman"/>
          <w:color w:val="auto"/>
        </w:rPr>
        <w:lastRenderedPageBreak/>
        <w:t>not meeting the requirements for patent eligibility</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BF2962" w:rsidRPr="00A74008">
        <w:rPr>
          <w:rFonts w:cs="Times New Roman"/>
          <w:color w:val="auto"/>
        </w:rPr>
        <w:t xml:space="preserve">The Berkheimer </w:t>
      </w:r>
      <w:r w:rsidR="00B95561">
        <w:rPr>
          <w:rFonts w:cs="Times New Roman"/>
          <w:color w:val="auto"/>
        </w:rPr>
        <w:t>Memorandum</w:t>
      </w:r>
      <w:r w:rsidR="00BF2962" w:rsidRPr="00A74008">
        <w:rPr>
          <w:rFonts w:cs="Times New Roman"/>
          <w:color w:val="auto"/>
        </w:rPr>
        <w:t xml:space="preserve"> severely limits how patent examiners</w:t>
      </w:r>
      <w:r w:rsidR="009365E3" w:rsidRPr="00A74008">
        <w:rPr>
          <w:rFonts w:cs="Times New Roman"/>
          <w:color w:val="auto"/>
        </w:rPr>
        <w:t xml:space="preserve"> may extend § 101 rejections.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322806F5"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Hurdles </w:t>
      </w:r>
      <w:r w:rsidR="00FA0E19" w:rsidRPr="00A74008">
        <w:rPr>
          <w:rFonts w:cs="Times New Roman"/>
          <w:color w:val="auto"/>
        </w:rPr>
        <w:t>&amp; History of Software Patent</w:t>
      </w:r>
      <w:r w:rsidR="009753D8" w:rsidRPr="00A74008">
        <w:rPr>
          <w:rFonts w:cs="Times New Roman"/>
          <w:color w:val="auto"/>
        </w:rPr>
        <w:t>s</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w:t>
      </w:r>
      <w:r w:rsidR="00A92CF2" w:rsidRPr="00A74008">
        <w:rPr>
          <w:rFonts w:cs="Times New Roman"/>
          <w:color w:val="auto"/>
        </w:rPr>
        <w:lastRenderedPageBreak/>
        <w:t>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lastRenderedPageBreak/>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15B2993A" w:rsidR="009A43A0" w:rsidRPr="00A74008" w:rsidRDefault="008B6215" w:rsidP="001B4C2A">
      <w:pPr>
        <w:ind w:firstLine="720"/>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 xml:space="preserve">new species of bacteria that digested </w:t>
      </w:r>
      <w:r w:rsidR="00930A74" w:rsidRPr="00A74008">
        <w:rPr>
          <w:rFonts w:cs="Times New Roman"/>
          <w:color w:val="auto"/>
        </w:rPr>
        <w:lastRenderedPageBreak/>
        <w:t>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commentRangeStart w:id="14"/>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w:t>
      </w:r>
      <w:commentRangeEnd w:id="14"/>
      <w:r w:rsidR="00140E92" w:rsidRPr="00A74008">
        <w:rPr>
          <w:rStyle w:val="CommentReference"/>
          <w:rFonts w:cs="Times New Roman"/>
          <w:color w:val="auto"/>
        </w:rPr>
        <w:commentReference w:id="14"/>
      </w:r>
      <w:r w:rsidRPr="00A74008">
        <w:rPr>
          <w:rFonts w:cs="Times New Roman"/>
          <w:color w:val="auto"/>
        </w:rPr>
        <w:t>Patents are not ineligible merely because they rely on a law of nature or algorithm</w:t>
      </w:r>
      <w:commentRangeStart w:id="15"/>
      <w:r w:rsidRPr="00A74008">
        <w:rPr>
          <w:rFonts w:cs="Times New Roman"/>
          <w:color w:val="auto"/>
        </w:rPr>
        <w:t>.</w:t>
      </w:r>
      <w:r w:rsidRPr="00A74008">
        <w:rPr>
          <w:rStyle w:val="FootnoteReference"/>
          <w:rFonts w:cs="Times New Roman"/>
          <w:color w:val="auto"/>
        </w:rPr>
        <w:footnoteReference w:id="37"/>
      </w:r>
      <w:commentRangeEnd w:id="15"/>
      <w:r w:rsidRPr="00A74008">
        <w:rPr>
          <w:rStyle w:val="CommentReference"/>
          <w:rFonts w:cs="Times New Roman"/>
          <w:color w:val="auto"/>
        </w:rPr>
        <w:commentReference w:id="15"/>
      </w:r>
      <w:r w:rsidRPr="00A74008">
        <w:rPr>
          <w:rFonts w:cs="Times New Roman"/>
          <w:color w:val="auto"/>
        </w:rPr>
        <w:t xml:space="preserve"> To be patentable, inventors must do more than describe the idea or law and append </w:t>
      </w:r>
      <w:r w:rsidRPr="00A74008">
        <w:rPr>
          <w:rFonts w:cs="Times New Roman"/>
          <w:color w:val="auto"/>
        </w:rPr>
        <w:lastRenderedPageBreak/>
        <w:t>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6"/>
      <w:r w:rsidRPr="00A74008">
        <w:rPr>
          <w:rFonts w:cs="Times New Roman"/>
          <w:color w:val="auto"/>
        </w:rPr>
        <w:t>.</w:t>
      </w:r>
      <w:r w:rsidRPr="00A74008">
        <w:rPr>
          <w:rStyle w:val="FootnoteReference"/>
          <w:rFonts w:cs="Times New Roman"/>
          <w:color w:val="auto"/>
        </w:rPr>
        <w:footnoteReference w:id="40"/>
      </w:r>
      <w:commentRangeEnd w:id="16"/>
      <w:r w:rsidRPr="00A74008">
        <w:rPr>
          <w:rStyle w:val="CommentReference"/>
          <w:rFonts w:cs="Times New Roman"/>
          <w:color w:val="auto"/>
        </w:rPr>
        <w:commentReference w:id="16"/>
      </w:r>
      <w:r w:rsidRPr="00A74008">
        <w:rPr>
          <w:rFonts w:cs="Times New Roman"/>
          <w:color w:val="auto"/>
        </w:rPr>
        <w:t xml:space="preserve"> </w:t>
      </w:r>
    </w:p>
    <w:p w14:paraId="7D0FED32" w14:textId="47D1B624" w:rsidR="00D23B0D" w:rsidRPr="00A74008" w:rsidRDefault="00702C5F" w:rsidP="001B4C2A">
      <w:pPr>
        <w:ind w:firstLine="720"/>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1B4C2A">
      <w:pPr>
        <w:ind w:firstLine="720"/>
        <w:rPr>
          <w:rFonts w:cs="Times New Roman"/>
          <w:color w:val="FF0000"/>
          <w:szCs w:val="24"/>
        </w:rPr>
      </w:pPr>
      <w:commentRangeStart w:id="17"/>
      <w:r w:rsidRPr="00360528">
        <w:rPr>
          <w:rFonts w:cs="Times New Roman"/>
          <w:color w:val="FF0000"/>
          <w:szCs w:val="24"/>
        </w:rPr>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7"/>
      <w:proofErr w:type="gramEnd"/>
      <w:r w:rsidR="00684E6B" w:rsidRPr="00360528">
        <w:rPr>
          <w:rStyle w:val="CommentReference"/>
          <w:rFonts w:cs="Times New Roman"/>
          <w:color w:val="FF0000"/>
          <w:sz w:val="24"/>
          <w:szCs w:val="24"/>
        </w:rPr>
        <w:commentReference w:id="17"/>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1B4C2A">
      <w:pPr>
        <w:ind w:firstLine="720"/>
        <w:rPr>
          <w:rFonts w:cs="Times New Roman"/>
          <w:color w:val="FF0000"/>
          <w:szCs w:val="24"/>
        </w:rPr>
      </w:pPr>
      <w:commentRangeStart w:id="18"/>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8"/>
      <w:r w:rsidR="00645C20" w:rsidRPr="00360528">
        <w:rPr>
          <w:rStyle w:val="CommentReference"/>
          <w:rFonts w:cs="Times New Roman"/>
          <w:color w:val="FF0000"/>
          <w:sz w:val="24"/>
          <w:szCs w:val="24"/>
        </w:rPr>
        <w:commentReference w:id="18"/>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1B4C2A">
      <w:pPr>
        <w:ind w:firstLine="720"/>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9"/>
      <w:r w:rsidR="00346002" w:rsidRPr="00A74008">
        <w:rPr>
          <w:rFonts w:cs="Times New Roman"/>
          <w:color w:val="auto"/>
        </w:rPr>
        <w:t xml:space="preserve">coded </w:t>
      </w:r>
      <w:commentRangeEnd w:id="19"/>
      <w:r w:rsidR="004D2B3B" w:rsidRPr="00A74008">
        <w:rPr>
          <w:rStyle w:val="CommentReference"/>
          <w:rFonts w:cs="Times New Roman"/>
          <w:color w:val="auto"/>
        </w:rPr>
        <w:commentReference w:id="19"/>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20"/>
      <w:r w:rsidR="00786A71" w:rsidRPr="00A74008">
        <w:rPr>
          <w:rFonts w:cs="Times New Roman"/>
          <w:color w:val="auto"/>
        </w:rPr>
        <w:t xml:space="preserve">the </w:t>
      </w:r>
      <w:commentRangeEnd w:id="20"/>
      <w:r w:rsidR="00824EA2" w:rsidRPr="00A74008">
        <w:rPr>
          <w:rStyle w:val="CommentReference"/>
          <w:rFonts w:cs="Times New Roman"/>
          <w:color w:val="auto"/>
        </w:rPr>
        <w:commentReference w:id="20"/>
      </w:r>
      <w:r w:rsidR="008F090C" w:rsidRPr="00A74008">
        <w:rPr>
          <w:rFonts w:cs="Times New Roman"/>
          <w:color w:val="auto"/>
        </w:rPr>
        <w:t xml:space="preserve">importance digital (the more advanced </w:t>
      </w:r>
      <w:r w:rsidR="008F090C" w:rsidRPr="00A74008">
        <w:rPr>
          <w:rFonts w:cs="Times New Roman"/>
          <w:color w:val="auto"/>
        </w:rPr>
        <w:lastRenderedPageBreak/>
        <w:t>counter-part to analog)</w:t>
      </w:r>
      <w:r w:rsidR="00175C04" w:rsidRPr="00A74008">
        <w:rPr>
          <w:rFonts w:cs="Times New Roman"/>
          <w:color w:val="auto"/>
        </w:rPr>
        <w:t xml:space="preserve"> computers would play in the future, and </w:t>
      </w:r>
      <w:commentRangeStart w:id="21"/>
      <w:r w:rsidR="00226141" w:rsidRPr="00A74008">
        <w:rPr>
          <w:rFonts w:cs="Times New Roman"/>
          <w:color w:val="auto"/>
        </w:rPr>
        <w:t>so</w:t>
      </w:r>
      <w:commentRangeEnd w:id="21"/>
      <w:r w:rsidR="00824EA2" w:rsidRPr="00A74008">
        <w:rPr>
          <w:rStyle w:val="CommentReference"/>
          <w:rFonts w:cs="Times New Roman"/>
          <w:color w:val="auto"/>
        </w:rPr>
        <w:commentReference w:id="21"/>
      </w:r>
      <w:r w:rsidR="00226141" w:rsidRPr="00A74008">
        <w:rPr>
          <w:rFonts w:cs="Times New Roman"/>
          <w:color w:val="auto"/>
        </w:rPr>
        <w:t xml:space="preserve"> </w:t>
      </w:r>
      <w:r w:rsidR="00175C04" w:rsidRPr="00A74008">
        <w:rPr>
          <w:rFonts w:cs="Times New Roman"/>
          <w:color w:val="auto"/>
        </w:rPr>
        <w:t>they dismissed the patent for having no use outside of computers</w:t>
      </w:r>
      <w:commentRangeStart w:id="22"/>
      <w:commentRangeEnd w:id="22"/>
      <w:r w:rsidR="000631AF" w:rsidRPr="00A74008">
        <w:rPr>
          <w:rStyle w:val="CommentReference"/>
          <w:rFonts w:cs="Times New Roman"/>
          <w:color w:val="auto"/>
        </w:rPr>
        <w:commentReference w:id="22"/>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3"/>
      <w:commentRangeEnd w:id="23"/>
      <w:r w:rsidR="00681922" w:rsidRPr="00A74008">
        <w:rPr>
          <w:rStyle w:val="CommentReference"/>
          <w:rFonts w:cs="Times New Roman"/>
          <w:color w:val="auto"/>
        </w:rPr>
        <w:commentReference w:id="23"/>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1B4C2A">
      <w:pPr>
        <w:ind w:firstLine="720"/>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patent</w:t>
      </w:r>
      <w:r w:rsidR="00120382" w:rsidRPr="00A74008">
        <w:rPr>
          <w:rFonts w:cs="Times New Roman"/>
          <w:color w:val="auto"/>
        </w:rPr>
        <w:t xml:space="preserve">. </w:t>
      </w:r>
      <w:commentRangeStart w:id="24"/>
      <w:r w:rsidR="00C17F96" w:rsidRPr="00A74008">
        <w:rPr>
          <w:rFonts w:cs="Times New Roman"/>
          <w:color w:val="auto"/>
        </w:rPr>
        <w:t>This decision seemly reversed</w:t>
      </w:r>
      <w:r w:rsidR="00E44BC2" w:rsidRPr="00A74008">
        <w:rPr>
          <w:rFonts w:cs="Times New Roman"/>
          <w:color w:val="auto"/>
        </w:rPr>
        <w:t xml:space="preserve"> </w:t>
      </w:r>
      <w:commentRangeStart w:id="25"/>
      <w:r w:rsidR="00E44BC2" w:rsidRPr="00A74008">
        <w:rPr>
          <w:rFonts w:cs="Times New Roman"/>
          <w:i/>
          <w:color w:val="auto"/>
        </w:rPr>
        <w:t>Benson</w:t>
      </w:r>
      <w:commentRangeEnd w:id="25"/>
      <w:r w:rsidR="000631AF" w:rsidRPr="00A74008">
        <w:rPr>
          <w:rStyle w:val="CommentReference"/>
          <w:rFonts w:cs="Times New Roman"/>
          <w:color w:val="auto"/>
        </w:rPr>
        <w:commentReference w:id="25"/>
      </w:r>
      <w:commentRangeEnd w:id="24"/>
      <w:r w:rsidR="00370E19" w:rsidRPr="00A74008">
        <w:rPr>
          <w:rStyle w:val="CommentReference"/>
          <w:rFonts w:cs="Times New Roman"/>
          <w:color w:val="auto"/>
        </w:rPr>
        <w:commentReference w:id="24"/>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6"/>
      <w:commentRangeEnd w:id="26"/>
      <w:r w:rsidR="00853C21" w:rsidRPr="00A74008">
        <w:rPr>
          <w:rStyle w:val="CommentReference"/>
          <w:rFonts w:cs="Times New Roman"/>
          <w:color w:val="auto"/>
        </w:rPr>
        <w:commentReference w:id="26"/>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7"/>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7"/>
      <w:r w:rsidR="00004E58" w:rsidRPr="00A74008">
        <w:rPr>
          <w:rStyle w:val="CommentReference"/>
          <w:rFonts w:cs="Times New Roman"/>
          <w:color w:val="auto"/>
        </w:rPr>
        <w:commentReference w:id="27"/>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1B4C2A">
      <w:pPr>
        <w:ind w:firstLine="720"/>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477730CD" w:rsidR="000616D7" w:rsidRPr="00A74008" w:rsidRDefault="00CD4670" w:rsidP="001B4C2A">
      <w:pPr>
        <w:pStyle w:val="Heading2"/>
        <w:rPr>
          <w:rFonts w:cs="Times New Roman"/>
          <w:color w:val="auto"/>
        </w:rPr>
      </w:pPr>
      <w:r>
        <w:rPr>
          <w:rFonts w:cs="Times New Roman"/>
          <w:color w:val="auto"/>
        </w:rPr>
        <w:lastRenderedPageBreak/>
        <w:t xml:space="preserve">Older Methods for Determining Abstract Ideas </w:t>
      </w:r>
    </w:p>
    <w:p w14:paraId="0A340EE9" w14:textId="0A2CB59F" w:rsidR="00EA6F4B" w:rsidRPr="00B95561" w:rsidRDefault="00EA6F4B" w:rsidP="001B4C2A">
      <w:pPr>
        <w:rPr>
          <w:rFonts w:cs="Times New Roman"/>
          <w:color w:val="FF0000"/>
        </w:rPr>
      </w:pPr>
      <w:r w:rsidRPr="00B95561">
        <w:rPr>
          <w:rFonts w:cs="Times New Roman"/>
          <w:color w:val="FF0000"/>
        </w:rPr>
        <w:t xml:space="preserve">[Discuss abandoned state street test] – process produced a “useful, concrete and tangible </w:t>
      </w:r>
      <w:proofErr w:type="gramStart"/>
      <w:r w:rsidRPr="00B95561">
        <w:rPr>
          <w:rFonts w:cs="Times New Roman"/>
          <w:color w:val="FF0000"/>
        </w:rPr>
        <w:t>result”  -</w:t>
      </w:r>
      <w:proofErr w:type="gramEnd"/>
      <w:r w:rsidRPr="00B95561">
        <w:rPr>
          <w:rFonts w:cs="Times New Roman"/>
          <w:color w:val="FF0000"/>
        </w:rPr>
        <w:t xml:space="preserve"> abandoned in favor of m-o-t (in re </w:t>
      </w:r>
      <w:proofErr w:type="spellStart"/>
      <w:r w:rsidRPr="00B95561">
        <w:rPr>
          <w:rFonts w:cs="Times New Roman"/>
          <w:color w:val="FF0000"/>
        </w:rPr>
        <w:t>bilski</w:t>
      </w:r>
      <w:proofErr w:type="spellEnd"/>
      <w:r w:rsidRPr="00B95561">
        <w:rPr>
          <w:rFonts w:cs="Times New Roman"/>
          <w:color w:val="FF0000"/>
        </w:rPr>
        <w:t>). An early test</w:t>
      </w:r>
    </w:p>
    <w:p w14:paraId="308FEA1E" w14:textId="59CE6CEB"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8"/>
      <w:r w:rsidRPr="00A74008">
        <w:rPr>
          <w:rFonts w:cs="Times New Roman"/>
          <w:color w:val="auto"/>
        </w:rPr>
        <w:t>was tied to a machine</w:t>
      </w:r>
      <w:commentRangeEnd w:id="28"/>
      <w:r w:rsidRPr="00A74008">
        <w:rPr>
          <w:rStyle w:val="CommentReference"/>
          <w:rFonts w:cs="Times New Roman"/>
          <w:color w:val="auto"/>
        </w:rPr>
        <w:commentReference w:id="28"/>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xml:space="preserve">, the applicant had claimed a “Method for Updating Alarm Limits” which was a mathematical formula for updating alarm limits during catalytic conversion processes. There was no novel machine or physical connection and was deemed not </w:t>
      </w:r>
      <w:r w:rsidRPr="00A74008">
        <w:rPr>
          <w:rFonts w:cs="Times New Roman"/>
          <w:color w:val="auto"/>
        </w:rPr>
        <w:lastRenderedPageBreak/>
        <w:t>patent eligible.</w:t>
      </w:r>
      <w:r w:rsidRPr="00A74008">
        <w:rPr>
          <w:rStyle w:val="FootnoteReference"/>
          <w:rFonts w:cs="Times New Roman"/>
          <w:color w:val="auto"/>
        </w:rPr>
        <w:footnoteReference w:id="53"/>
      </w:r>
      <w:r w:rsidRPr="00A74008">
        <w:rPr>
          <w:rFonts w:cs="Times New Roman"/>
          <w:color w:val="auto"/>
        </w:rPr>
        <w:t xml:space="preserve"> </w:t>
      </w:r>
      <w:r w:rsidR="00163030" w:rsidRPr="00B95561">
        <w:rPr>
          <w:rFonts w:cs="Times New Roman"/>
          <w:color w:val="FF0000"/>
        </w:rPr>
        <w:t>[Concluding sentence summarizing and relating back to thesis and why this is a problem]</w:t>
      </w:r>
      <w:r w:rsidR="00A42D6D" w:rsidRPr="00B95561">
        <w:rPr>
          <w:rFonts w:cs="Times New Roman"/>
          <w:color w:val="FF0000"/>
        </w:rPr>
        <w:t>.</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4"/>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5"/>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6"/>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57"/>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58"/>
      </w:r>
      <w:r w:rsidRPr="00A74008">
        <w:rPr>
          <w:rFonts w:cs="Times New Roman"/>
          <w:color w:val="auto"/>
        </w:rPr>
        <w:t xml:space="preserve"> </w:t>
      </w:r>
    </w:p>
    <w:p w14:paraId="1459C67C" w14:textId="3A1D6757" w:rsidR="006E37CF" w:rsidRPr="00A74008" w:rsidRDefault="006E37CF" w:rsidP="001B4C2A">
      <w:pPr>
        <w:pStyle w:val="Heading2"/>
        <w:rPr>
          <w:rFonts w:cs="Times New Roman"/>
          <w:color w:val="auto"/>
        </w:rPr>
      </w:pPr>
      <w:r w:rsidRPr="00A74008">
        <w:rPr>
          <w:rFonts w:cs="Times New Roman"/>
          <w:color w:val="auto"/>
        </w:rPr>
        <w:t xml:space="preserve">Software Patents &amp; </w:t>
      </w:r>
      <w:commentRangeStart w:id="29"/>
      <w:commentRangeStart w:id="30"/>
      <w:r w:rsidRPr="00A74008">
        <w:rPr>
          <w:rFonts w:cs="Times New Roman"/>
          <w:color w:val="auto"/>
        </w:rPr>
        <w:t>Abstract ideas</w:t>
      </w:r>
      <w:commentRangeEnd w:id="29"/>
      <w:r w:rsidR="006C3006" w:rsidRPr="00A74008">
        <w:rPr>
          <w:rStyle w:val="CommentReference"/>
          <w:rFonts w:eastAsiaTheme="minorHAnsi" w:cs="Times New Roman"/>
          <w:color w:val="auto"/>
        </w:rPr>
        <w:commentReference w:id="29"/>
      </w:r>
      <w:commentRangeEnd w:id="30"/>
      <w:r w:rsidR="006F5DE8" w:rsidRPr="00A74008">
        <w:rPr>
          <w:rFonts w:cs="Times New Roman"/>
          <w:color w:val="auto"/>
        </w:rPr>
        <w:t xml:space="preserve"> (Why is software difficult to patent)</w:t>
      </w:r>
      <w:r w:rsidR="00413848" w:rsidRPr="00A74008">
        <w:rPr>
          <w:rStyle w:val="CommentReference"/>
          <w:rFonts w:eastAsiaTheme="minorHAnsi" w:cs="Times New Roman"/>
          <w:color w:val="auto"/>
        </w:rPr>
        <w:commentReference w:id="30"/>
      </w:r>
    </w:p>
    <w:p w14:paraId="5EF52FCC" w14:textId="7923F542" w:rsidR="00386A3F" w:rsidRPr="00A74008"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59"/>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 xml:space="preserve">can be seen as a mere </w:t>
      </w:r>
      <w:r w:rsidR="00FC20AE" w:rsidRPr="00A74008">
        <w:rPr>
          <w:rFonts w:cs="Times New Roman"/>
          <w:color w:val="auto"/>
        </w:rPr>
        <w:lastRenderedPageBreak/>
        <w:t>representation of an abstract idea</w:t>
      </w:r>
      <w:r w:rsidR="00D14959" w:rsidRPr="00A74008">
        <w:rPr>
          <w:rFonts w:cs="Times New Roman"/>
          <w:color w:val="auto"/>
        </w:rPr>
        <w:t>.</w:t>
      </w:r>
      <w:r w:rsidR="00FC20AE" w:rsidRPr="00A74008">
        <w:rPr>
          <w:rStyle w:val="FootnoteReference"/>
          <w:rFonts w:cs="Times New Roman"/>
          <w:color w:val="auto"/>
        </w:rPr>
        <w:footnoteReference w:id="60"/>
      </w:r>
      <w:r w:rsidR="00164E50" w:rsidRPr="00A74008">
        <w:rPr>
          <w:rFonts w:cs="Times New Roman"/>
          <w:color w:val="auto"/>
        </w:rPr>
        <w:t xml:space="preserve"> </w:t>
      </w:r>
      <w:commentRangeStart w:id="31"/>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1"/>
      <w:r w:rsidR="00370E19" w:rsidRPr="00A74008">
        <w:rPr>
          <w:rStyle w:val="CommentReference"/>
          <w:rFonts w:cs="Times New Roman"/>
          <w:color w:val="auto"/>
        </w:rPr>
        <w:commentReference w:id="31"/>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1"/>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2"/>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3"/>
      </w:r>
      <w:r w:rsidR="006B459F" w:rsidRPr="00A74008">
        <w:rPr>
          <w:rFonts w:cs="Times New Roman"/>
          <w:color w:val="auto"/>
        </w:rPr>
        <w:t xml:space="preserve"> </w:t>
      </w:r>
    </w:p>
    <w:p w14:paraId="79D6E2E7" w14:textId="7C1D7614" w:rsidR="006F5DE8" w:rsidRPr="00A74008" w:rsidRDefault="00CD4670" w:rsidP="001B4C2A">
      <w:pPr>
        <w:pStyle w:val="Heading2"/>
        <w:rPr>
          <w:rFonts w:cs="Times New Roman"/>
          <w:color w:val="auto"/>
        </w:rPr>
      </w:pPr>
      <w:r>
        <w:rPr>
          <w:rFonts w:cs="Times New Roman"/>
          <w:color w:val="auto"/>
        </w:rPr>
        <w:t>Alice: How We Got to 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4"/>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5"/>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66"/>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lastRenderedPageBreak/>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7"/>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68"/>
      </w:r>
      <w:r w:rsidR="005364D3" w:rsidRPr="00A74008">
        <w:rPr>
          <w:rFonts w:cs="Times New Roman"/>
          <w:color w:val="auto"/>
        </w:rPr>
        <w:t xml:space="preserve"> </w:t>
      </w:r>
    </w:p>
    <w:p w14:paraId="7B906CFD" w14:textId="77777777" w:rsidR="00402FDD" w:rsidRPr="00284502" w:rsidRDefault="00402FDD" w:rsidP="001B4C2A">
      <w:pPr>
        <w:ind w:firstLine="720"/>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6C8A0FB" w14:textId="77777777"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661408">
        <w:rPr>
          <w:rFonts w:cs="Times New Roman"/>
          <w:i/>
        </w:rPr>
        <w:t>.</w:t>
      </w:r>
      <w:r w:rsidR="00DF4EB9" w:rsidRPr="00A74008">
        <w:rPr>
          <w:rFonts w:cs="Times New Roman"/>
          <w:color w:val="auto"/>
        </w:rPr>
        <w:t xml:space="preserve">, in which the Supreme Court ruled that </w:t>
      </w:r>
      <w:commentRangeStart w:id="32"/>
      <w:r w:rsidR="00626E4E" w:rsidRPr="00A74008">
        <w:rPr>
          <w:rFonts w:cs="Times New Roman"/>
          <w:color w:val="auto"/>
        </w:rPr>
        <w:t>escrow software was a patent ineligible invention</w:t>
      </w:r>
      <w:commentRangeEnd w:id="32"/>
      <w:r w:rsidR="00370E19" w:rsidRPr="00A74008">
        <w:rPr>
          <w:rStyle w:val="CommentReference"/>
          <w:rFonts w:cs="Times New Roman"/>
          <w:color w:val="auto"/>
        </w:rPr>
        <w:commentReference w:id="32"/>
      </w:r>
      <w:r w:rsidR="00626E4E" w:rsidRPr="00A74008">
        <w:rPr>
          <w:rFonts w:cs="Times New Roman"/>
          <w:color w:val="auto"/>
        </w:rPr>
        <w:t>.</w:t>
      </w:r>
      <w:r w:rsidR="002A641A">
        <w:rPr>
          <w:rStyle w:val="FootnoteReference"/>
          <w:rFonts w:cs="Times New Roman"/>
          <w:color w:val="auto"/>
        </w:rPr>
        <w:footnoteReference w:id="69"/>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70"/>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71"/>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72"/>
      </w:r>
      <w:r w:rsidR="0082773E" w:rsidRPr="00A74008">
        <w:rPr>
          <w:rFonts w:cs="Times New Roman"/>
          <w:color w:val="auto"/>
        </w:rPr>
        <w:t xml:space="preserve">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3"/>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73"/>
      </w:r>
      <w:r w:rsidR="00D27B93" w:rsidRPr="00343CBD">
        <w:rPr>
          <w:rFonts w:cs="Times New Roman"/>
        </w:rPr>
        <w:t xml:space="preserve"> </w:t>
      </w:r>
      <w:commentRangeEnd w:id="33"/>
      <w:r w:rsidR="00D27B93" w:rsidRPr="00343CBD">
        <w:rPr>
          <w:rStyle w:val="CommentReference"/>
        </w:rPr>
        <w:lastRenderedPageBreak/>
        <w:commentReference w:id="33"/>
      </w:r>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74"/>
      </w:r>
      <w:r w:rsidR="00F47A26" w:rsidRPr="00343CBD">
        <w:rPr>
          <w:rFonts w:cs="Times New Roman"/>
        </w:rPr>
        <w:t xml:space="preserve"> </w:t>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75"/>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a conventional and was simply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76"/>
      </w:r>
      <w:r w:rsidR="006E7123" w:rsidRPr="00343CBD">
        <w:rPr>
          <w:rFonts w:cs="Times New Roman"/>
        </w:rPr>
        <w:t xml:space="preserve"> The claims added nothing new beyond what was already known and obvious about computers</w:t>
      </w:r>
      <w:r w:rsidR="00343CBD" w:rsidRPr="00343CBD">
        <w:rPr>
          <w:rFonts w:cs="Times New Roman"/>
        </w:rPr>
        <w:t xml:space="preserve">, thus were ruled an abstract idea. </w:t>
      </w:r>
    </w:p>
    <w:p w14:paraId="36CBC610" w14:textId="5D35140C" w:rsidR="0051688D" w:rsidRPr="004F48E1" w:rsidRDefault="00936A1D" w:rsidP="001B4C2A">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77"/>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was validated (an invalidation rate of 94%).</w:t>
      </w:r>
      <w:r w:rsidR="00411BFE">
        <w:rPr>
          <w:rStyle w:val="FootnoteReference"/>
          <w:rFonts w:cs="Times New Roman"/>
        </w:rPr>
        <w:footnoteReference w:id="78"/>
      </w:r>
      <w:r w:rsidR="00BB3A78">
        <w:rPr>
          <w:rFonts w:cs="Times New Roman"/>
        </w:rPr>
        <w:t xml:space="preserve"> Newly filed patent cases dropped by 40% from 2014 to 2013.</w:t>
      </w:r>
      <w:r w:rsidR="00C46A75">
        <w:rPr>
          <w:rStyle w:val="FootnoteReference"/>
          <w:rFonts w:cs="Times New Roman"/>
        </w:rPr>
        <w:footnoteReference w:id="79"/>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80"/>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but the number remained high. The first case to survive post-</w:t>
      </w:r>
      <w:r w:rsidR="00EB4874">
        <w:rPr>
          <w:rFonts w:cs="Times New Roman"/>
          <w:i/>
          <w:color w:val="FF0000"/>
        </w:rPr>
        <w:t xml:space="preserve">Alice </w:t>
      </w:r>
      <w:proofErr w:type="gramStart"/>
      <w:r w:rsidR="00EB4874">
        <w:rPr>
          <w:rFonts w:cs="Times New Roman"/>
          <w:color w:val="FF0000"/>
        </w:rPr>
        <w:t xml:space="preserve">was </w:t>
      </w:r>
      <w:r w:rsidR="00AD268B" w:rsidRPr="00187839">
        <w:rPr>
          <w:rFonts w:cs="Times New Roman"/>
        </w:rPr>
        <w:t xml:space="preserve"> </w:t>
      </w:r>
      <w:r w:rsidR="00AD268B" w:rsidRPr="00517AAC">
        <w:rPr>
          <w:rFonts w:cs="Times New Roman"/>
          <w:i/>
        </w:rPr>
        <w:t>DDR</w:t>
      </w:r>
      <w:proofErr w:type="gramEnd"/>
      <w:r w:rsidR="00AD268B" w:rsidRPr="00517AAC">
        <w:rPr>
          <w:rFonts w:cs="Times New Roman"/>
          <w:i/>
        </w:rPr>
        <w:t xml:space="preserve"> Holdings, LLC v. Hotels.com</w:t>
      </w:r>
      <w:r w:rsidR="00E37CC8">
        <w:rPr>
          <w:rFonts w:cs="Times New Roman"/>
          <w:color w:val="FF0000"/>
        </w:rPr>
        <w:t>.</w:t>
      </w:r>
      <w:r w:rsidR="00E37CC8">
        <w:rPr>
          <w:rStyle w:val="FootnoteReference"/>
          <w:rFonts w:cs="Times New Roman"/>
          <w:color w:val="FF0000"/>
        </w:rPr>
        <w:footnoteReference w:id="81"/>
      </w:r>
      <w:r w:rsidR="00E37CC8">
        <w:rPr>
          <w:rFonts w:cs="Times New Roman"/>
          <w:color w:val="FF0000"/>
        </w:rPr>
        <w:t xml:space="preserve"> A case that brought hope to many as the streak of invalidations came to an end</w:t>
      </w:r>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w:t>
      </w:r>
      <w:r w:rsidR="004F48E1">
        <w:rPr>
          <w:rFonts w:cs="Times New Roman"/>
          <w:color w:val="FF0000"/>
        </w:rPr>
        <w:lastRenderedPageBreak/>
        <w:t xml:space="preserve">vicious </w:t>
      </w:r>
      <w:r w:rsidR="004F48E1">
        <w:rPr>
          <w:rFonts w:cs="Times New Roman"/>
          <w:i/>
          <w:color w:val="FF0000"/>
        </w:rPr>
        <w:t>Alice/</w:t>
      </w:r>
      <w:r w:rsidR="0044786A">
        <w:rPr>
          <w:rFonts w:cs="Times New Roman"/>
          <w:i/>
          <w:color w:val="FF0000"/>
        </w:rPr>
        <w:t xml:space="preserve">Mayo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82"/>
      </w:r>
      <w:r w:rsidR="002D4E38">
        <w:rPr>
          <w:rFonts w:cs="Times New Roman"/>
          <w:color w:val="FF0000"/>
        </w:rPr>
        <w:t xml:space="preserve"> Just one month later, Berkheimer was decided.</w:t>
      </w:r>
      <w:r w:rsidR="002D4E38">
        <w:rPr>
          <w:rStyle w:val="FootnoteReference"/>
          <w:rFonts w:cs="Times New Roman"/>
          <w:color w:val="FF0000"/>
        </w:rPr>
        <w:footnoteReference w:id="83"/>
      </w:r>
      <w:r w:rsidR="002D4E38">
        <w:rPr>
          <w:rFonts w:cs="Times New Roman"/>
          <w:color w:val="FF0000"/>
        </w:rPr>
        <w:t xml:space="preserve"> </w:t>
      </w:r>
    </w:p>
    <w:p w14:paraId="6BD3BEDC" w14:textId="77777777" w:rsidR="00925A89" w:rsidRDefault="00E0360B" w:rsidP="00925A89">
      <w:pPr>
        <w:keepNext/>
        <w:ind w:firstLine="720"/>
        <w:jc w:val="center"/>
      </w:pPr>
      <w:r w:rsidRPr="00A74008">
        <w:rPr>
          <w:rFonts w:cs="Times New Roman"/>
          <w:noProof/>
          <w:color w:val="auto"/>
        </w:rPr>
        <w:drawing>
          <wp:inline distT="0" distB="0" distL="0" distR="0" wp14:anchorId="6B0243E7" wp14:editId="50F3D653">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6F6F7B9C" w14:textId="4276FDBE" w:rsidR="00E0360B" w:rsidRPr="00925A89" w:rsidRDefault="00925A89" w:rsidP="00925A89">
      <w:pPr>
        <w:pStyle w:val="Caption"/>
        <w:jc w:val="center"/>
        <w:rPr>
          <w:rFonts w:cs="Times New Roman"/>
          <w:i w:val="0"/>
          <w:color w:val="000000" w:themeColor="text1"/>
        </w:rPr>
      </w:pPr>
      <w:r w:rsidRPr="00925A89">
        <w:rPr>
          <w:i w:val="0"/>
          <w:color w:val="000000" w:themeColor="text1"/>
        </w:rPr>
        <w:t xml:space="preserve">Figure </w:t>
      </w:r>
      <w:r w:rsidRPr="00925A89">
        <w:rPr>
          <w:i w:val="0"/>
          <w:color w:val="000000" w:themeColor="text1"/>
        </w:rPr>
        <w:fldChar w:fldCharType="begin"/>
      </w:r>
      <w:r w:rsidRPr="00925A89">
        <w:rPr>
          <w:i w:val="0"/>
          <w:color w:val="000000" w:themeColor="text1"/>
        </w:rPr>
        <w:instrText xml:space="preserve"> SEQ Figure \* ARABIC </w:instrText>
      </w:r>
      <w:r w:rsidRPr="00925A89">
        <w:rPr>
          <w:i w:val="0"/>
          <w:color w:val="000000" w:themeColor="text1"/>
        </w:rPr>
        <w:fldChar w:fldCharType="separate"/>
      </w:r>
      <w:r w:rsidRPr="00925A89">
        <w:rPr>
          <w:i w:val="0"/>
          <w:noProof/>
          <w:color w:val="000000" w:themeColor="text1"/>
        </w:rPr>
        <w:t>1</w:t>
      </w:r>
      <w:r w:rsidRPr="00925A89">
        <w:rPr>
          <w:i w:val="0"/>
          <w:color w:val="000000" w:themeColor="text1"/>
        </w:rPr>
        <w:fldChar w:fldCharType="end"/>
      </w:r>
      <w:r w:rsidRPr="00925A89">
        <w:rPr>
          <w:i w:val="0"/>
          <w:color w:val="000000" w:themeColor="text1"/>
        </w:rPr>
        <w:t xml:space="preserve"> - The </w:t>
      </w:r>
      <w:r w:rsidRPr="00925A89">
        <w:rPr>
          <w:color w:val="000000" w:themeColor="text1"/>
        </w:rPr>
        <w:t>Alice/Mayo</w:t>
      </w:r>
      <w:r w:rsidRPr="00925A89">
        <w:rPr>
          <w:i w:val="0"/>
          <w:color w:val="000000" w:themeColor="text1"/>
        </w:rPr>
        <w:t xml:space="preserve"> Test - M.P.E.P. § 2106-III</w:t>
      </w:r>
    </w:p>
    <w:p w14:paraId="5701CE38" w14:textId="23F3919A" w:rsidR="00DF4947" w:rsidRPr="00A74008" w:rsidRDefault="0058489B" w:rsidP="001B4C2A">
      <w:pPr>
        <w:pStyle w:val="Heading1"/>
        <w:rPr>
          <w:rFonts w:cs="Times New Roman"/>
          <w:color w:val="auto"/>
        </w:rPr>
      </w:pPr>
      <w:r w:rsidRPr="00A74008">
        <w:rPr>
          <w:rFonts w:cs="Times New Roman"/>
          <w:color w:val="auto"/>
        </w:rPr>
        <w:lastRenderedPageBreak/>
        <w:t>The Problem at Hand: Berkheimer</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84"/>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85"/>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86"/>
      </w:r>
      <w:r w:rsidR="00126150" w:rsidRPr="00A74008">
        <w:rPr>
          <w:rFonts w:cs="Times New Roman"/>
          <w:color w:val="auto"/>
        </w:rPr>
        <w:t xml:space="preserve"> </w:t>
      </w:r>
    </w:p>
    <w:p w14:paraId="53200221" w14:textId="2DBAA8FE" w:rsidR="007F00B1" w:rsidRDefault="005222B1" w:rsidP="001B4C2A">
      <w:pPr>
        <w:ind w:firstLine="720"/>
        <w:rPr>
          <w:rFonts w:cs="Times New Roman"/>
          <w:color w:val="auto"/>
        </w:rPr>
      </w:pPr>
      <w:r w:rsidRPr="00A74008">
        <w:rPr>
          <w:rFonts w:cs="Times New Roman"/>
          <w:color w:val="auto"/>
        </w:rPr>
        <w:t xml:space="preserve">Following the questions presented in </w:t>
      </w:r>
      <w:r w:rsidRPr="00A1784E">
        <w:rPr>
          <w:rFonts w:cs="Times New Roman"/>
          <w:i/>
          <w:color w:val="auto"/>
        </w:rPr>
        <w:t>Alice/Mayo</w:t>
      </w:r>
      <w:r w:rsidRPr="00A74008">
        <w:rPr>
          <w:rFonts w:cs="Times New Roman"/>
          <w:color w:val="auto"/>
        </w:rPr>
        <w:t xml:space="preserve">,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87"/>
      </w:r>
    </w:p>
    <w:p w14:paraId="00CE6334" w14:textId="112957F3" w:rsidR="004B16D1" w:rsidRDefault="004B16D1" w:rsidP="001B4C2A">
      <w:pPr>
        <w:pStyle w:val="Heading1"/>
        <w:rPr>
          <w:rFonts w:cs="Times New Roman"/>
          <w:color w:val="auto"/>
        </w:rPr>
      </w:pPr>
      <w:commentRangeStart w:id="35"/>
      <w:r w:rsidRPr="00A74008">
        <w:rPr>
          <w:rFonts w:cs="Times New Roman"/>
          <w:color w:val="auto"/>
        </w:rPr>
        <w:t>The Solution (Analysis)</w:t>
      </w:r>
      <w:commentRangeEnd w:id="35"/>
      <w:r w:rsidR="00964480">
        <w:rPr>
          <w:rStyle w:val="CommentReference"/>
          <w:rFonts w:eastAsiaTheme="minorHAnsi" w:cstheme="minorBidi"/>
        </w:rPr>
        <w:commentReference w:id="35"/>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88"/>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lastRenderedPageBreak/>
        <w:t>expression and the idea merge and become</w:t>
      </w:r>
      <w:r w:rsidR="00094E18">
        <w:t xml:space="preserve"> uncopyrightable</w:t>
      </w:r>
      <w:r w:rsidR="00DA69AE">
        <w:t>.</w:t>
      </w:r>
      <w:r w:rsidR="00187839">
        <w:rPr>
          <w:rStyle w:val="FootnoteReference"/>
        </w:rPr>
        <w:footnoteReference w:id="89"/>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90"/>
      </w:r>
      <w:r w:rsidR="00604ED8">
        <w:t xml:space="preserve"> </w:t>
      </w:r>
    </w:p>
    <w:p w14:paraId="6EFD1092" w14:textId="2AA08503"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the Berkheimer </w:t>
      </w:r>
      <w:r w:rsidR="00B95561">
        <w:t>Memorandum</w:t>
      </w:r>
      <w:r w:rsidR="009B407A">
        <w:t xml:space="preserve">. </w:t>
      </w:r>
      <w:r w:rsidR="00423D71">
        <w:t xml:space="preserve">Rather than relying on the clunky and uncertain </w:t>
      </w:r>
      <w:r w:rsidR="00423D71">
        <w:rPr>
          <w:i/>
        </w:rPr>
        <w:t>Alice/Mayo</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077862C8" w:rsidR="008323E8" w:rsidRDefault="00EC36E3" w:rsidP="001B4C2A">
      <w:pPr>
        <w:ind w:firstLine="720"/>
      </w:pPr>
      <w:r>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w:t>
      </w:r>
      <w:r w:rsidR="004F59A9">
        <w:lastRenderedPageBreak/>
        <w:t xml:space="preserve">is evidence of an abstract idea, rather than </w:t>
      </w:r>
      <w:r w:rsidR="00F52860">
        <w:t>starting point.</w:t>
      </w:r>
      <w:r w:rsidR="00F52860">
        <w:rPr>
          <w:rStyle w:val="FootnoteReference"/>
        </w:rPr>
        <w:footnoteReference w:id="91"/>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1E0A7B">
        <w:rPr>
          <w:i/>
        </w:rPr>
        <w:t>Alice/Mayo</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F716BA">
        <w:t xml:space="preserve">Many inventions deemed </w:t>
      </w:r>
      <w:r w:rsidR="00FE5782">
        <w:t xml:space="preserve">to fall within the </w:t>
      </w:r>
      <w:r w:rsidR="00742634">
        <w:t>could also have been invalidated as lacking novelty, or obvious</w:t>
      </w:r>
      <w:r w:rsidR="00427B9A">
        <w:t>, or being overly broad.</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92"/>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93"/>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94"/>
      </w:r>
      <w:r w:rsidRPr="008323E8">
        <w:t xml:space="preserve"> the discovered combination of 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95"/>
      </w:r>
      <w:r w:rsidRPr="008323E8">
        <w:t xml:space="preserve"> In </w:t>
      </w:r>
      <w:proofErr w:type="spellStart"/>
      <w:r w:rsidRPr="00F14BC2">
        <w:rPr>
          <w:i/>
        </w:rPr>
        <w:t>Ariosa</w:t>
      </w:r>
      <w:proofErr w:type="spellEnd"/>
      <w:r w:rsidRPr="008323E8">
        <w:t xml:space="preserve"> the claimed invention concerned a non-invasive method for detecting paternally 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t>
      </w:r>
      <w:r w:rsidRPr="008323E8">
        <w:lastRenderedPageBreak/>
        <w:t>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96"/>
      </w:r>
      <w:r>
        <w:t xml:space="preserve"> </w:t>
      </w:r>
      <w:r w:rsidR="00373D4C">
        <w:t xml:space="preserve">The use of § 101 is not </w:t>
      </w:r>
      <w:r w:rsidR="001116C9">
        <w:t>eliminated but</w:t>
      </w:r>
      <w:r w:rsidR="00373D4C">
        <w:t xml:space="preserve"> should be reserved for </w:t>
      </w:r>
      <w:r w:rsidR="00F70AAE">
        <w:t xml:space="preserve">inventions that lack </w:t>
      </w:r>
      <w:commentRangeStart w:id="36"/>
      <w:r w:rsidR="00F70AAE">
        <w:t>utility</w:t>
      </w:r>
      <w:commentRangeEnd w:id="36"/>
      <w:r w:rsidR="001116C9">
        <w:rPr>
          <w:rStyle w:val="CommentReference"/>
        </w:rPr>
        <w:commentReference w:id="36"/>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97"/>
      </w:r>
    </w:p>
    <w:p w14:paraId="547BF430" w14:textId="0575DF2D" w:rsidR="00885998" w:rsidRPr="001E0A7B" w:rsidRDefault="006574A9" w:rsidP="001B4C2A">
      <w:pPr>
        <w:ind w:firstLine="720"/>
      </w:pPr>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98"/>
      </w:r>
      <w:r w:rsidR="00A510E7">
        <w:t xml:space="preserve"> Rather sweeping</w:t>
      </w:r>
      <w:r w:rsidR="003779AD">
        <w:t xml:space="preserve"> the issue under 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99"/>
      </w:r>
      <w:r w:rsidR="00FE1A45">
        <w:t xml:space="preserve"> </w:t>
      </w:r>
      <w:r w:rsidR="00B95561">
        <w:t xml:space="preserve">The progression of the legal system, and thereby the patent system, is slow. The full effects of the Berkheimer Memorandum </w:t>
      </w:r>
      <w:commentRangeStart w:id="37"/>
      <w:r w:rsidR="00B95561">
        <w:t xml:space="preserve">are not yet clear, and hopefully will remove the uncertainty for </w:t>
      </w:r>
      <w:r w:rsidR="00B95561">
        <w:lastRenderedPageBreak/>
        <w:t xml:space="preserve">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7"/>
      <w:r w:rsidR="00B95561">
        <w:rPr>
          <w:rStyle w:val="CommentReference"/>
        </w:rPr>
        <w:commentReference w:id="37"/>
      </w:r>
    </w:p>
    <w:p w14:paraId="5D328785" w14:textId="2719457E"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A0888">
        <w:t>N</w:t>
      </w:r>
      <w:r w:rsidR="00EE7890">
        <w:t xml:space="preserve">ew technology areas that may not </w:t>
      </w:r>
      <w:r w:rsidR="003B65B8">
        <w:t>fit into the current statutory structure,</w:t>
      </w:r>
      <w:r w:rsidR="002D251A">
        <w:t xml:space="preserve"> </w:t>
      </w:r>
      <w:r w:rsidR="001A0888">
        <w:t>will not</w:t>
      </w:r>
      <w:r w:rsidR="00194244">
        <w:t xml:space="preserve"> have the same difficulty</w:t>
      </w:r>
      <w:r w:rsidR="00984962">
        <w:t xml:space="preserve"> </w:t>
      </w:r>
      <w:r w:rsidR="00194244">
        <w:t xml:space="preserve">as </w:t>
      </w:r>
      <w:r w:rsidR="00984962">
        <w:t>software</w:t>
      </w:r>
      <w:r w:rsidR="001B08AB">
        <w:t xml:space="preserve"> fitting into the statutory scheme. </w:t>
      </w:r>
    </w:p>
    <w:p w14:paraId="6A644EED" w14:textId="417E4687" w:rsidR="0058489B" w:rsidRPr="00A74008" w:rsidRDefault="00FE1A45" w:rsidP="001B4C2A">
      <w:pPr>
        <w:rPr>
          <w:rFonts w:cs="Times New Roman"/>
          <w:color w:val="auto"/>
        </w:rPr>
      </w:pPr>
      <w:r>
        <w:rPr>
          <w:rFonts w:cs="Times New Roman"/>
          <w:color w:val="auto"/>
        </w:rPr>
        <w:tab/>
      </w:r>
      <w:r w:rsidRPr="00190383">
        <w:rPr>
          <w:rFonts w:cs="Times New Roman"/>
          <w:color w:val="FF0000"/>
        </w:rPr>
        <w:t>[Discuss 101 (preferabl</w:t>
      </w:r>
      <w:r w:rsidR="001F747F">
        <w:rPr>
          <w:rFonts w:cs="Times New Roman"/>
          <w:color w:val="FF0000"/>
        </w:rPr>
        <w:t>y</w:t>
      </w:r>
      <w:r w:rsidRPr="00190383">
        <w:rPr>
          <w:rFonts w:cs="Times New Roman"/>
          <w:color w:val="FF0000"/>
        </w:rPr>
        <w:t xml:space="preserve"> software)</w:t>
      </w:r>
      <w:r w:rsidR="00190383" w:rsidRPr="00190383">
        <w:rPr>
          <w:rFonts w:cs="Times New Roman"/>
          <w:color w:val="FF0000"/>
        </w:rPr>
        <w:t xml:space="preserve"> cases post Alice and between Berkheimer that could have this applied to it.]</w:t>
      </w:r>
      <w:r w:rsidR="001C6B2C">
        <w:rPr>
          <w:rFonts w:cs="Times New Roman"/>
          <w:color w:val="FF0000"/>
        </w:rPr>
        <w:t xml:space="preserve"> – see </w:t>
      </w:r>
      <w:bookmarkStart w:id="38" w:name="cobalt_foldering_ro_item_name_18"/>
      <w:r w:rsidR="001C6B2C">
        <w:fldChar w:fldCharType="begin"/>
      </w:r>
      <w:r w:rsidR="001C6B2C">
        <w:instrText xml:space="preserve"> HYPERLINK "https://1.next.westlaw.com/Document/I4e28264d453411e89bf199c0ee06c731/View/FullText.html?navigationPath=%2FFoldering%2Fv1%2Fskguth10%2Fcontainers%2Fuser%2F03c41c7d12f540a8934872beca9e6153%2Fcontents%2FdocumentNavigation%2F11c9c845-ccb4-4437-b993-2c05f2e6af74%2FI4e28264d453411e89bf199c0ee06c731%3FcontainerType%3Dfolder&amp;listSource=Foldering&amp;list=folderContents&amp;rank=19&amp;sessionScopeId=3fb1c4de1e82da642df34ba3beaf0d941f6bac0df49e924d0fef144a9d691658&amp;rulebookMode=false&amp;fcid=02a54cc0d0354001904d7ddfc54a3498&amp;transitionType=FolderItem&amp;contextData=%28cid.02a54cc0d0354001904d7ddfc54a3498*oc.Default%29" </w:instrText>
      </w:r>
      <w:r w:rsidR="001C6B2C">
        <w:fldChar w:fldCharType="separate"/>
      </w:r>
      <w:r w:rsidR="001C6B2C">
        <w:rPr>
          <w:rStyle w:val="Hyperlink"/>
          <w:rFonts w:ascii="Source Sans Pro" w:hAnsi="Source Sans Pro"/>
          <w:color w:val="0E568C"/>
          <w:sz w:val="21"/>
          <w:szCs w:val="21"/>
          <w:bdr w:val="none" w:sz="0" w:space="0" w:color="auto" w:frame="1"/>
          <w:shd w:val="clear" w:color="auto" w:fill="FFFFFF"/>
        </w:rPr>
        <w:t>SOFTWARE PATENTS AND PRETRIAL DISMISSAL BASED ON INELIGIBILITY</w:t>
      </w:r>
      <w:r w:rsidR="001C6B2C">
        <w:fldChar w:fldCharType="end"/>
      </w:r>
      <w:bookmarkEnd w:id="38"/>
      <w:r w:rsidR="001C6B2C">
        <w:t xml:space="preserve"> </w:t>
      </w:r>
      <w:r w:rsidR="0025424C">
        <w:t xml:space="preserve">(footnote 88) </w:t>
      </w:r>
      <w:r w:rsidR="001C6B2C">
        <w:t xml:space="preserve">and </w:t>
      </w:r>
      <w:bookmarkStart w:id="39" w:name="cobalt_foldering_ro_item_name_0"/>
      <w:r w:rsidR="009607A6">
        <w:fldChar w:fldCharType="begin"/>
      </w:r>
      <w:r w:rsidR="009607A6">
        <w:instrText xml:space="preserve"> HYPERLINK "https://1.next.westlaw.com/Document/I3e40a44d624f11e598dc8b09b4f043e0/View/FullText.html?navigationPath=%2FFoldering%2Fv1%2Fskguth10%2Fcontainers%2Fuser%2F03c41c7d12f540a8934872beca9e6153%2Fcontents%2FdocumentNavigation%2F11c9c845-ccb4-4437-b993-2c05f2e6af74%2FI3e40a44d624f11e598dc8b09b4f043e0%3FcontainerType%3Dfolder&amp;listSource=Foldering&amp;list=folderContents&amp;rank=1&amp;sessionScopeId=3fb1c4de1e82da642df34ba3beaf0d941f6bac0df49e924d0fef144a9d691658&amp;rulebookMode=false&amp;fcid=2743b23876cb4d53973feb1f5b9185c5&amp;transitionType=FolderItem&amp;contextData=%28cid.2743b23876cb4d53973feb1f5b9185c5*oc.DocLink%29" </w:instrText>
      </w:r>
      <w:r w:rsidR="009607A6">
        <w:fldChar w:fldCharType="separate"/>
      </w:r>
      <w:r w:rsidR="009607A6">
        <w:rPr>
          <w:rStyle w:val="Hyperlink"/>
          <w:rFonts w:ascii="Source Sans Pro" w:hAnsi="Source Sans Pro"/>
          <w:color w:val="0E568C"/>
          <w:sz w:val="21"/>
          <w:szCs w:val="21"/>
          <w:bdr w:val="none" w:sz="0" w:space="0" w:color="auto" w:frame="1"/>
          <w:shd w:val="clear" w:color="auto" w:fill="FFFFFF"/>
        </w:rPr>
        <w:t>SOFTWARE PATENTS: A ONE-YEAR REVIEW OF ALICE v. CLS BANK</w:t>
      </w:r>
      <w:r w:rsidR="009607A6">
        <w:fldChar w:fldCharType="end"/>
      </w:r>
      <w:bookmarkEnd w:id="39"/>
    </w:p>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5"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6"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7"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9"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20"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1" w:author="Joseph Hold" w:date="2018-12-28T13:33:00Z" w:initials="JH">
    <w:p w14:paraId="6F489B25" w14:textId="626A05CA" w:rsidR="00824EA2" w:rsidRDefault="00824EA2">
      <w:pPr>
        <w:pStyle w:val="CommentText"/>
      </w:pPr>
      <w:r>
        <w:rPr>
          <w:rStyle w:val="CommentReference"/>
        </w:rPr>
        <w:annotationRef/>
      </w:r>
      <w:r>
        <w:t>Better flow</w:t>
      </w:r>
    </w:p>
  </w:comment>
  <w:comment w:id="22"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3"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5"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4"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6"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7"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8"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9"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0"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1"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2"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3"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5"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6" w:author="seth guthrie" w:date="2019-01-18T13:50:00Z" w:initials="GSK">
    <w:p w14:paraId="548F8BFE" w14:textId="77777777" w:rsidR="001116C9" w:rsidRDefault="001116C9">
      <w:pPr>
        <w:pStyle w:val="CommentText"/>
      </w:pPr>
      <w:r>
        <w:rPr>
          <w:rStyle w:val="CommentReference"/>
        </w:rPr>
        <w:annotationRef/>
      </w:r>
      <w:r>
        <w:t xml:space="preserve">I don’t mention utility in background. Could be useful to do so. </w:t>
      </w:r>
    </w:p>
    <w:p w14:paraId="229BC14C" w14:textId="77777777" w:rsidR="005821BF" w:rsidRDefault="005821BF">
      <w:pPr>
        <w:pStyle w:val="CommentText"/>
      </w:pPr>
    </w:p>
    <w:p w14:paraId="1B5902C1" w14:textId="517D53EA" w:rsidR="003D2F52" w:rsidRDefault="003D2F52" w:rsidP="003D2F52">
      <w:pPr>
        <w:pStyle w:val="CommentText"/>
      </w:pPr>
      <w:r>
        <w:t>A great example of a 101 rejection for lack of utility and indefinite:</w:t>
      </w:r>
    </w:p>
    <w:p w14:paraId="50092241" w14:textId="3353A8A0" w:rsidR="003D2F52" w:rsidRDefault="003D2F52" w:rsidP="003D2F52">
      <w:pPr>
        <w:pStyle w:val="CommentText"/>
      </w:pPr>
      <w:r>
        <w:t xml:space="preserve">EST try to patent w/o a use. </w:t>
      </w:r>
    </w:p>
    <w:p w14:paraId="43445B4F" w14:textId="77777777" w:rsidR="003D2F52" w:rsidRDefault="003D2F52" w:rsidP="003D2F52">
      <w:pPr>
        <w:pStyle w:val="CommentText"/>
      </w:pPr>
    </w:p>
    <w:p w14:paraId="5247CCA0" w14:textId="40CB711E" w:rsidR="005821BF" w:rsidRDefault="003D2F52" w:rsidP="003D2F52">
      <w:pPr>
        <w:pStyle w:val="CommentText"/>
      </w:pPr>
      <w:r>
        <w:t>In re Fisher, 421 F.3d 1365, 1379 (Fed. Cir. 2005)</w:t>
      </w:r>
    </w:p>
  </w:comment>
  <w:comment w:id="37"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31CE120" w15:done="0"/>
  <w15:commentEx w15:paraId="743D23D2" w15:done="1"/>
  <w15:commentEx w15:paraId="60752375" w15:paraIdParent="743D23D2" w15:done="1"/>
  <w15:commentEx w15:paraId="55B57AF0" w15:done="1"/>
  <w15:commentEx w15:paraId="04AF92E9" w15:done="1"/>
  <w15:commentEx w15:paraId="21A8C2B6" w15:done="0"/>
  <w15:commentEx w15:paraId="16B123AC" w15:done="0"/>
  <w15:commentEx w15:paraId="5247CCA0" w15:done="0"/>
  <w15:commentEx w15:paraId="4AEB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31CE120" w16cid:durableId="1FE2EFBB"/>
  <w16cid:commentId w16cid:paraId="743D23D2" w16cid:durableId="1F9D55B8"/>
  <w16cid:commentId w16cid:paraId="60752375" w16cid:durableId="1FD0F68D"/>
  <w16cid:commentId w16cid:paraId="55B57AF0" w16cid:durableId="1FD0FEE0"/>
  <w16cid:commentId w16cid:paraId="04AF92E9" w16cid:durableId="1FD0FFE0"/>
  <w16cid:commentId w16cid:paraId="21A8C2B6" w16cid:durableId="1FED8AF7"/>
  <w16cid:commentId w16cid:paraId="16B123AC" w16cid:durableId="1FED7250"/>
  <w16cid:commentId w16cid:paraId="5247CCA0" w16cid:durableId="1FEC5829"/>
  <w16cid:commentId w16cid:paraId="4AEB001D" w16cid:durableId="1FEDA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F367" w14:textId="77777777" w:rsidR="008C05D5" w:rsidRDefault="008C05D5" w:rsidP="008E7715">
      <w:pPr>
        <w:spacing w:after="0"/>
      </w:pPr>
      <w:r>
        <w:separator/>
      </w:r>
    </w:p>
  </w:endnote>
  <w:endnote w:type="continuationSeparator" w:id="0">
    <w:p w14:paraId="5B19E7A5" w14:textId="77777777" w:rsidR="008C05D5" w:rsidRDefault="008C05D5" w:rsidP="008E7715">
      <w:pPr>
        <w:spacing w:after="0"/>
      </w:pPr>
      <w:r>
        <w:continuationSeparator/>
      </w:r>
    </w:p>
  </w:endnote>
  <w:endnote w:type="continuationNotice" w:id="1">
    <w:p w14:paraId="0BE64BEF" w14:textId="77777777" w:rsidR="008C05D5" w:rsidRDefault="008C05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E08B1" w14:textId="77777777" w:rsidR="008C05D5" w:rsidRDefault="008C05D5" w:rsidP="008E7715">
      <w:pPr>
        <w:spacing w:after="0"/>
      </w:pPr>
      <w:r>
        <w:separator/>
      </w:r>
    </w:p>
  </w:footnote>
  <w:footnote w:type="continuationSeparator" w:id="0">
    <w:p w14:paraId="354A209E" w14:textId="77777777" w:rsidR="008C05D5" w:rsidRDefault="008C05D5" w:rsidP="008E7715">
      <w:pPr>
        <w:spacing w:after="0"/>
      </w:pPr>
      <w:r>
        <w:continuationSeparator/>
      </w:r>
    </w:p>
  </w:footnote>
  <w:footnote w:type="continuationNotice" w:id="1">
    <w:p w14:paraId="53FBC38C" w14:textId="77777777" w:rsidR="008C05D5" w:rsidRDefault="008C05D5">
      <w:pPr>
        <w:spacing w:after="0" w:line="240" w:lineRule="auto"/>
      </w:pPr>
    </w:p>
  </w:footnote>
  <w:footnote w:id="2">
    <w:p w14:paraId="72AAEE86" w14:textId="77777777" w:rsidR="00941EFB" w:rsidRPr="00187839" w:rsidRDefault="00941EFB"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230BA4">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5B6AC6C4" w:rsidR="00941EFB" w:rsidRPr="00921DF7" w:rsidRDefault="00941EFB" w:rsidP="00230BA4">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4A22C3" w:rsidRPr="00921DF7">
        <w:rPr>
          <w:rFonts w:cs="Times New Roman"/>
          <w:color w:val="auto"/>
        </w:rPr>
        <w:t>M.P.E.P. Introduction</w:t>
      </w:r>
      <w:r w:rsidR="00F81E05">
        <w:rPr>
          <w:rFonts w:cs="Times New Roman"/>
          <w:color w:val="auto"/>
        </w:rPr>
        <w:t>.</w:t>
      </w:r>
    </w:p>
  </w:footnote>
  <w:footnote w:id="5">
    <w:p w14:paraId="4C545E5C" w14:textId="1201C53C" w:rsidR="00E01265" w:rsidRPr="002C6913" w:rsidRDefault="00E01265" w:rsidP="00230BA4">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2C6913" w:rsidRPr="0033246D">
        <w:rPr>
          <w:rFonts w:cs="Times New Roman"/>
          <w:i/>
          <w:color w:val="auto"/>
          <w:highlight w:val="yellow"/>
        </w:rPr>
        <w:t xml:space="preserve">Supra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230BA4">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4F13BB5D" w:rsidR="00414ACD" w:rsidRPr="00187839" w:rsidRDefault="00414ACD" w:rsidP="00230BA4">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230BA4">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230BA4">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Software Patents: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43A65DCD" w:rsidR="00B057A5" w:rsidRPr="00187839" w:rsidRDefault="00B057A5"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form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3C1B0AE7" w:rsidR="00543F69" w:rsidRPr="00187839" w:rsidRDefault="00543F69"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p>
  </w:footnote>
  <w:footnote w:id="22">
    <w:p w14:paraId="16E7BBA7" w14:textId="17313938" w:rsidR="00C25E59" w:rsidRPr="00187839" w:rsidRDefault="00C25E59"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5604C" w:rsidRPr="00187839">
        <w:rPr>
          <w:rFonts w:cs="Times New Roman"/>
          <w:i/>
        </w:rPr>
        <w:t>See</w:t>
      </w:r>
      <w:r w:rsidR="00A5604C" w:rsidRPr="00187839">
        <w:rPr>
          <w:rFonts w:cs="Times New Roman"/>
        </w:rPr>
        <w:t xml:space="preserve"> </w:t>
      </w:r>
      <w:r w:rsidR="00A90468" w:rsidRPr="00187839">
        <w:rPr>
          <w:rFonts w:cs="Times New Roman"/>
          <w:i/>
        </w:rPr>
        <w:t>CyberSource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85740D">
        <w:rPr>
          <w:rFonts w:cs="Times New Roman"/>
          <w:color w:val="FF0000"/>
        </w:rPr>
        <w:t xml:space="preserve">Joshua A. </w:t>
      </w:r>
      <w:proofErr w:type="spellStart"/>
      <w:r w:rsidR="00353370" w:rsidRPr="0085740D">
        <w:rPr>
          <w:rFonts w:cs="Times New Roman"/>
          <w:color w:val="FF0000"/>
        </w:rPr>
        <w:t>Kresh</w:t>
      </w:r>
      <w:proofErr w:type="spellEnd"/>
      <w:r w:rsidR="00353370" w:rsidRPr="0085740D">
        <w:rPr>
          <w:rFonts w:cs="Times New Roman"/>
          <w:color w:val="FF0000"/>
        </w:rPr>
        <w:t xml:space="preserve">, </w:t>
      </w:r>
      <w:r w:rsidR="00353370" w:rsidRPr="0085740D">
        <w:rPr>
          <w:rFonts w:cs="Times New Roman"/>
          <w:i/>
          <w:color w:val="FF0000"/>
        </w:rPr>
        <w:t>Patent Eligibility After Mayo: How Did We Get Here and Where Do We Go?</w:t>
      </w:r>
      <w:r w:rsidR="00353370" w:rsidRPr="0085740D">
        <w:rPr>
          <w:rFonts w:cs="Times New Roman"/>
          <w:color w:val="FF0000"/>
        </w:rPr>
        <w:t>, 22 Fed. Circuit B.J. 521, 527 (2013)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1C934F60" w14:textId="0FB43B01" w:rsidR="00896241" w:rsidRPr="00187839" w:rsidRDefault="00896241"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4">
    <w:p w14:paraId="5A58D3D7" w14:textId="31A4C620" w:rsidR="00896241" w:rsidRPr="00187839" w:rsidRDefault="00896241" w:rsidP="00230BA4">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5">
    <w:p w14:paraId="1CC3C144" w14:textId="70126852" w:rsidR="00896241" w:rsidRPr="00187839" w:rsidRDefault="00896241"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6">
    <w:p w14:paraId="0565C9AE" w14:textId="6FAF676D" w:rsidR="00383A40" w:rsidRPr="00187839" w:rsidRDefault="00383A40"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27">
    <w:p w14:paraId="1B34C13F" w14:textId="0D761B96" w:rsidR="00067B22" w:rsidRPr="007F36CA" w:rsidRDefault="00067B22"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28">
    <w:p w14:paraId="5D9719D0" w14:textId="11BF56E7" w:rsidR="007B3E6D" w:rsidRPr="00187839" w:rsidRDefault="007B3E6D"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29">
    <w:p w14:paraId="40CF4A6A" w14:textId="5DCD08AA" w:rsidR="004F2C41" w:rsidRPr="00B5386D" w:rsidRDefault="004F2C41" w:rsidP="00230BA4">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0">
    <w:p w14:paraId="7B06B44C" w14:textId="797E043A" w:rsidR="003F7C4C" w:rsidRPr="00B5386D" w:rsidRDefault="003F7C4C" w:rsidP="00230BA4">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1">
    <w:p w14:paraId="7F8AFAFC" w14:textId="646CEFEA" w:rsidR="000A2E03" w:rsidRPr="00187839" w:rsidRDefault="000A2E03"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2">
    <w:p w14:paraId="03B79F38" w14:textId="2F4EDF60" w:rsidR="00026D1E" w:rsidRPr="00187839" w:rsidRDefault="00026D1E"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3">
    <w:p w14:paraId="3663EBFB" w14:textId="77777777" w:rsidR="00026D1E" w:rsidRPr="00187839" w:rsidRDefault="00026D1E"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w:t>
      </w:r>
      <w:proofErr w:type="gramStart"/>
      <w:r w:rsidRPr="0065321B">
        <w:rPr>
          <w:rFonts w:cs="Times New Roman"/>
          <w:i/>
        </w:rPr>
        <w:t>in a Nutshell</w:t>
      </w:r>
      <w:proofErr w:type="gramEnd"/>
      <w:r w:rsidRPr="0065321B">
        <w:rPr>
          <w:rFonts w:cs="Times New Roman"/>
          <w:i/>
        </w:rPr>
        <w:t xml:space="preserve"> </w:t>
      </w:r>
      <w:r w:rsidRPr="00187839">
        <w:rPr>
          <w:rFonts w:cs="Times New Roman"/>
        </w:rPr>
        <w:t>56 (3rd ed. 2018).</w:t>
      </w:r>
    </w:p>
  </w:footnote>
  <w:footnote w:id="34">
    <w:p w14:paraId="3260BE59" w14:textId="5C82D9A1" w:rsidR="00026D1E" w:rsidRPr="00187839" w:rsidRDefault="00026D1E"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35">
    <w:p w14:paraId="2091B6C3" w14:textId="3015A4EC" w:rsidR="008A2A09" w:rsidRPr="00187839" w:rsidRDefault="008A2A09"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36">
    <w:p w14:paraId="0EECFFC6" w14:textId="27490485" w:rsidR="005C43D6" w:rsidRPr="00187839" w:rsidRDefault="005C43D6"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4E4B4F" w:rsidRPr="00187839">
        <w:rPr>
          <w:rFonts w:cs="Times New Roman"/>
        </w:rPr>
        <w:t xml:space="preserve">, </w:t>
      </w:r>
      <w:r w:rsidR="00D13E79" w:rsidRPr="00187839">
        <w:rPr>
          <w:rFonts w:cs="Times New Roman"/>
        </w:rPr>
        <w:t xml:space="preserve">545 F.3d 943 (2008). </w:t>
      </w:r>
    </w:p>
  </w:footnote>
  <w:footnote w:id="37">
    <w:p w14:paraId="351D14C4" w14:textId="423CBDEC" w:rsidR="005C43D6" w:rsidRPr="00187839" w:rsidRDefault="005C43D6"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p>
  </w:footnote>
  <w:footnote w:id="38">
    <w:p w14:paraId="37B261C5" w14:textId="22E3E210" w:rsidR="005C43D6" w:rsidRPr="00381387" w:rsidRDefault="005C43D6" w:rsidP="00230BA4">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39">
    <w:p w14:paraId="515D8FBE" w14:textId="1B643ADC" w:rsidR="005C43D6" w:rsidRPr="00381387" w:rsidRDefault="005C43D6" w:rsidP="00230BA4">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0">
    <w:p w14:paraId="0D604950" w14:textId="21181945" w:rsidR="005C43D6" w:rsidRPr="00381387" w:rsidRDefault="005C43D6" w:rsidP="00230BA4">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1">
    <w:p w14:paraId="61FCF3A5" w14:textId="422F048B" w:rsidR="00712C0F" w:rsidRPr="00187839" w:rsidRDefault="00712C0F"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703AFB" w:rsidRPr="00187839">
        <w:rPr>
          <w:rFonts w:cs="Times New Roman"/>
          <w:i/>
        </w:rPr>
        <w:t>Benson</w:t>
      </w:r>
      <w:r w:rsidR="00703AFB" w:rsidRPr="00187839">
        <w:rPr>
          <w:rFonts w:cs="Times New Roman"/>
        </w:rPr>
        <w:t xml:space="preserve">, 409 U.S. </w:t>
      </w:r>
      <w:r w:rsidR="00240DAB">
        <w:rPr>
          <w:rFonts w:cs="Times New Roman"/>
        </w:rPr>
        <w:t xml:space="preserve">at </w:t>
      </w:r>
      <w:r w:rsidR="00703AFB" w:rsidRPr="00187839">
        <w:rPr>
          <w:rFonts w:cs="Times New Roman"/>
        </w:rPr>
        <w:t>64</w:t>
      </w:r>
      <w:r w:rsidR="00D13E79" w:rsidRPr="00187839">
        <w:rPr>
          <w:rFonts w:cs="Times New Roman"/>
        </w:rPr>
        <w:t>.</w:t>
      </w:r>
    </w:p>
  </w:footnote>
  <w:footnote w:id="42">
    <w:p w14:paraId="6DCE7281" w14:textId="4A4030CA" w:rsidR="001676FC" w:rsidRPr="004F1494" w:rsidRDefault="001676FC" w:rsidP="00230BA4">
      <w:pPr>
        <w:pStyle w:val="FootnoteText"/>
        <w:spacing w:line="240" w:lineRule="auto"/>
        <w:rPr>
          <w:rFonts w:cs="Times New Roman"/>
          <w:i/>
        </w:rPr>
      </w:pPr>
      <w:r w:rsidRPr="00187839">
        <w:rPr>
          <w:rStyle w:val="FootnoteReference"/>
          <w:rFonts w:cs="Times New Roman"/>
        </w:rPr>
        <w:footnoteRef/>
      </w:r>
      <w:r w:rsidR="00CC3F18" w:rsidRPr="00187839">
        <w:rPr>
          <w:rFonts w:cs="Times New Roman"/>
          <w:i/>
        </w:rPr>
        <w:t xml:space="preserve"> </w:t>
      </w:r>
      <w:r w:rsidR="00947635">
        <w:rPr>
          <w:rFonts w:cs="Times New Roman"/>
          <w:i/>
        </w:rPr>
        <w:t>Benson</w:t>
      </w:r>
      <w:r w:rsidR="00240DAB">
        <w:rPr>
          <w:rFonts w:cs="Times New Roman"/>
        </w:rPr>
        <w:t xml:space="preserve">, </w:t>
      </w:r>
      <w:r w:rsidR="00240DAB" w:rsidRPr="00187839">
        <w:rPr>
          <w:rFonts w:cs="Times New Roman"/>
        </w:rPr>
        <w:t>409 U.S.</w:t>
      </w:r>
      <w:r w:rsidR="00947635">
        <w:rPr>
          <w:rFonts w:cs="Times New Roman"/>
        </w:rPr>
        <w:t xml:space="preserve"> at</w:t>
      </w:r>
      <w:r w:rsidR="00CC3F18" w:rsidRPr="00187839">
        <w:rPr>
          <w:rFonts w:cs="Times New Roman"/>
        </w:rPr>
        <w:t xml:space="preserve"> 66</w:t>
      </w:r>
      <w:r w:rsidR="00D13E79" w:rsidRPr="00187839">
        <w:rPr>
          <w:rFonts w:cs="Times New Roman"/>
        </w:rPr>
        <w:t>.</w:t>
      </w:r>
      <w:r w:rsidR="004F1494">
        <w:rPr>
          <w:rFonts w:cs="Times New Roman"/>
        </w:rPr>
        <w:t xml:space="preserve"> </w:t>
      </w:r>
      <w:r w:rsidR="004F1494" w:rsidRPr="000D028F">
        <w:rPr>
          <w:rFonts w:cs="Times New Roman"/>
          <w:i/>
          <w:highlight w:val="yellow"/>
        </w:rPr>
        <w:t xml:space="preserve">Id. </w:t>
      </w:r>
      <w:r w:rsidR="004F1494" w:rsidRPr="000D028F">
        <w:rPr>
          <w:rFonts w:cs="Times New Roman"/>
          <w:highlight w:val="yellow"/>
        </w:rPr>
        <w:t xml:space="preserve">at </w:t>
      </w:r>
      <w:r w:rsidR="000D028F" w:rsidRPr="000D028F">
        <w:rPr>
          <w:rFonts w:cs="Times New Roman"/>
          <w:highlight w:val="yellow"/>
        </w:rPr>
        <w:t>66.</w:t>
      </w:r>
    </w:p>
  </w:footnote>
  <w:footnote w:id="43">
    <w:p w14:paraId="443AB8AB" w14:textId="0D441EE8" w:rsidR="006A1206" w:rsidRPr="00240DAB" w:rsidRDefault="006A1206" w:rsidP="00230BA4">
      <w:pPr>
        <w:pStyle w:val="FootnoteText"/>
        <w:spacing w:line="240" w:lineRule="auto"/>
        <w:rPr>
          <w:rFonts w:cs="Times New Roman"/>
        </w:rPr>
      </w:pPr>
      <w:r w:rsidRPr="00187839">
        <w:rPr>
          <w:rStyle w:val="FootnoteReference"/>
          <w:rFonts w:cs="Times New Roman"/>
        </w:rPr>
        <w:footnoteRef/>
      </w:r>
      <w:r w:rsidR="005B0C5F" w:rsidRPr="00187839">
        <w:rPr>
          <w:rFonts w:cs="Times New Roman"/>
          <w:i/>
        </w:rPr>
        <w:t xml:space="preserve"> Benson</w:t>
      </w:r>
      <w:r w:rsidR="00947635">
        <w:rPr>
          <w:rFonts w:cs="Times New Roman"/>
        </w:rPr>
        <w:t xml:space="preserve"> at</w:t>
      </w:r>
      <w:r w:rsidR="00947635" w:rsidRPr="00187839">
        <w:rPr>
          <w:rFonts w:cs="Times New Roman"/>
        </w:rPr>
        <w:t xml:space="preserve"> </w:t>
      </w:r>
      <w:r w:rsidR="00D13E79" w:rsidRPr="00187839">
        <w:rPr>
          <w:rFonts w:cs="Times New Roman"/>
        </w:rPr>
        <w:t>66.</w:t>
      </w:r>
      <w:r w:rsidR="00240DAB">
        <w:rPr>
          <w:rFonts w:cs="Times New Roman"/>
        </w:rPr>
        <w:t xml:space="preserve"> </w:t>
      </w:r>
      <w:r w:rsidR="00240DAB" w:rsidRPr="00240DAB">
        <w:rPr>
          <w:rFonts w:cs="Times New Roman"/>
          <w:i/>
          <w:highlight w:val="yellow"/>
        </w:rPr>
        <w:t>Id.</w:t>
      </w:r>
    </w:p>
  </w:footnote>
  <w:footnote w:id="44">
    <w:p w14:paraId="2A0DBDF7" w14:textId="7BB8B474" w:rsidR="004A60BA" w:rsidRPr="004C36BB" w:rsidRDefault="004A60BA"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 xml:space="preserve">at </w:t>
      </w:r>
      <w:r w:rsidR="00BA2635">
        <w:rPr>
          <w:rFonts w:cs="Times New Roman"/>
        </w:rPr>
        <w:t>175</w:t>
      </w:r>
      <w:r w:rsidR="00947635">
        <w:rPr>
          <w:rFonts w:cs="Times New Roman"/>
        </w:rPr>
        <w:t>.</w:t>
      </w:r>
    </w:p>
  </w:footnote>
  <w:footnote w:id="45">
    <w:p w14:paraId="062B74F8" w14:textId="7424B5C7" w:rsidR="00CB0423" w:rsidRPr="00187839" w:rsidRDefault="00CB0423" w:rsidP="00230BA4">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sidRPr="00187839">
        <w:rPr>
          <w:rFonts w:cs="Times New Roman"/>
          <w:i/>
        </w:rPr>
        <w:t>Diehr</w:t>
      </w:r>
      <w:proofErr w:type="spellEnd"/>
      <w:r w:rsidR="00240DAB">
        <w:rPr>
          <w:rFonts w:cs="Times New Roman"/>
        </w:rPr>
        <w:t>,</w:t>
      </w:r>
      <w:r w:rsidR="00947635">
        <w:rPr>
          <w:rFonts w:cs="Times New Roman"/>
          <w:i/>
        </w:rPr>
        <w:t xml:space="preserve"> </w:t>
      </w:r>
      <w:r w:rsidR="00240DAB" w:rsidRPr="00187839">
        <w:rPr>
          <w:rFonts w:cs="Times New Roman"/>
        </w:rPr>
        <w:t xml:space="preserve">450 U.S. </w:t>
      </w:r>
      <w:r w:rsidR="00947635">
        <w:rPr>
          <w:rFonts w:cs="Times New Roman"/>
        </w:rPr>
        <w:t xml:space="preserve">at </w:t>
      </w:r>
      <w:r w:rsidR="004C36BB">
        <w:rPr>
          <w:rFonts w:cs="Times New Roman"/>
        </w:rPr>
        <w:t>185</w:t>
      </w:r>
      <w:r w:rsidR="00947635">
        <w:rPr>
          <w:rFonts w:cs="Times New Roman"/>
        </w:rPr>
        <w:t>.</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w:t>
      </w:r>
      <w:r w:rsidR="004C36BB" w:rsidRPr="004C36BB">
        <w:rPr>
          <w:rFonts w:cs="Times New Roman"/>
          <w:highlight w:val="yellow"/>
        </w:rPr>
        <w:t>8</w:t>
      </w:r>
      <w:r w:rsidR="004C36BB" w:rsidRPr="004C36BB">
        <w:rPr>
          <w:rFonts w:cs="Times New Roman"/>
          <w:highlight w:val="yellow"/>
        </w:rPr>
        <w:t>5.</w:t>
      </w:r>
    </w:p>
  </w:footnote>
  <w:footnote w:id="46">
    <w:p w14:paraId="6D92C732" w14:textId="41592A8D" w:rsidR="00B00EAA" w:rsidRPr="004C36BB" w:rsidRDefault="00B00EAA" w:rsidP="00230BA4">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00947635">
        <w:rPr>
          <w:rFonts w:cs="Times New Roman"/>
          <w:i/>
        </w:rPr>
        <w:t>Diehr</w:t>
      </w:r>
      <w:proofErr w:type="spellEnd"/>
      <w:r w:rsidR="00240DAB">
        <w:rPr>
          <w:rFonts w:cs="Times New Roman"/>
        </w:rPr>
        <w:t xml:space="preserve">, </w:t>
      </w:r>
      <w:r w:rsidR="00240DAB" w:rsidRPr="00187839">
        <w:rPr>
          <w:rFonts w:cs="Times New Roman"/>
        </w:rPr>
        <w:t>450 U.S.</w:t>
      </w:r>
      <w:r w:rsidR="00947635">
        <w:rPr>
          <w:rFonts w:cs="Times New Roman"/>
          <w:i/>
        </w:rPr>
        <w:t xml:space="preserve"> </w:t>
      </w:r>
      <w:r w:rsidR="00947635">
        <w:rPr>
          <w:rFonts w:cs="Times New Roman"/>
        </w:rPr>
        <w:t>at</w:t>
      </w:r>
      <w:r w:rsidR="00AA3CDB" w:rsidRPr="00187839">
        <w:rPr>
          <w:rFonts w:cs="Times New Roman"/>
        </w:rPr>
        <w:t xml:space="preserve"> 184 (noting several times that the </w:t>
      </w:r>
      <w:r w:rsidR="00A40585" w:rsidRPr="00187839">
        <w:rPr>
          <w:rFonts w:cs="Times New Roman"/>
        </w:rPr>
        <w:t>respondents</w:t>
      </w:r>
      <w:r w:rsidR="00AA3CDB" w:rsidRPr="00187839">
        <w:rPr>
          <w:rFonts w:cs="Times New Roman"/>
        </w:rPr>
        <w:t xml:space="preserve"> </w:t>
      </w:r>
      <w:proofErr w:type="gramStart"/>
      <w:r w:rsidR="00AA3CDB" w:rsidRPr="00187839">
        <w:rPr>
          <w:rFonts w:cs="Times New Roman"/>
        </w:rPr>
        <w:t>claims</w:t>
      </w:r>
      <w:proofErr w:type="gramEnd"/>
      <w:r w:rsidR="00AA3CDB" w:rsidRPr="00187839">
        <w:rPr>
          <w:rFonts w:cs="Times New Roman"/>
        </w:rPr>
        <w:t xml:space="preserve"> </w:t>
      </w:r>
      <w:r w:rsidR="00A40585" w:rsidRPr="00187839">
        <w:rPr>
          <w:rFonts w:cs="Times New Roman"/>
        </w:rPr>
        <w:t>involve transforming of raw rubber into a different state).</w:t>
      </w:r>
      <w:r w:rsidR="004C36BB">
        <w:rPr>
          <w:rFonts w:cs="Times New Roman"/>
        </w:rPr>
        <w:t xml:space="preserve"> </w:t>
      </w:r>
      <w:r w:rsidR="004C36BB" w:rsidRPr="004C36BB">
        <w:rPr>
          <w:rFonts w:cs="Times New Roman"/>
          <w:i/>
          <w:highlight w:val="yellow"/>
        </w:rPr>
        <w:t>Id.</w:t>
      </w:r>
      <w:r w:rsidR="004C36BB" w:rsidRPr="004C36BB">
        <w:rPr>
          <w:rFonts w:cs="Times New Roman"/>
          <w:highlight w:val="yellow"/>
        </w:rPr>
        <w:t xml:space="preserve"> at 1</w:t>
      </w:r>
      <w:r w:rsidR="004C36BB" w:rsidRPr="004C36BB">
        <w:rPr>
          <w:rFonts w:cs="Times New Roman"/>
          <w:highlight w:val="yellow"/>
        </w:rPr>
        <w:t>84</w:t>
      </w:r>
      <w:r w:rsidR="004C36BB" w:rsidRPr="004C36BB">
        <w:rPr>
          <w:rFonts w:cs="Times New Roman"/>
          <w:highlight w:val="yellow"/>
        </w:rPr>
        <w:t>.</w:t>
      </w:r>
    </w:p>
  </w:footnote>
  <w:footnote w:id="47">
    <w:p w14:paraId="4B0D5029" w14:textId="3856F218"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48">
    <w:p w14:paraId="58C92300" w14:textId="11C4A44C"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49">
    <w:p w14:paraId="3750A0F3" w14:textId="73D7BF7F"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50">
    <w:p w14:paraId="2B3B5DF9" w14:textId="368AE2A2"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51">
    <w:p w14:paraId="1F90EF2D" w14:textId="02DA9A36"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52">
    <w:p w14:paraId="16346366" w14:textId="739E482A"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53">
    <w:p w14:paraId="72D5EF8E" w14:textId="77777777"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54">
    <w:p w14:paraId="145420EF" w14:textId="7BB8904D"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xml:space="preserve">, </w:t>
      </w:r>
      <w:r w:rsidR="00B14AE5">
        <w:rPr>
          <w:rFonts w:cs="Times New Roman"/>
        </w:rPr>
        <w:t>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55">
    <w:p w14:paraId="7A803E86" w14:textId="278AFF6A"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56">
    <w:p w14:paraId="24EB8262" w14:textId="6A90BA71"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57">
    <w:p w14:paraId="29E48B4F" w14:textId="524812B6" w:rsidR="00B95561" w:rsidRPr="00B95561" w:rsidRDefault="00B95561" w:rsidP="00230BA4">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58">
    <w:p w14:paraId="60D6C012" w14:textId="7833426F" w:rsidR="000616D7" w:rsidRPr="00187839" w:rsidRDefault="000616D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59">
    <w:p w14:paraId="0F0535AD" w14:textId="77777777" w:rsidR="005E1F0C" w:rsidRPr="00187839" w:rsidRDefault="005E1F0C"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60">
    <w:p w14:paraId="1DED71D5" w14:textId="078776F4" w:rsidR="00FC20AE" w:rsidRPr="00B95561" w:rsidRDefault="00FC20AE" w:rsidP="00230BA4">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61">
    <w:p w14:paraId="0CBCB66B" w14:textId="0665951D" w:rsidR="008C2392" w:rsidRPr="00023059" w:rsidRDefault="008C2392" w:rsidP="00230BA4">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62">
    <w:p w14:paraId="1A3EB034" w14:textId="612BF954" w:rsidR="00636D7D" w:rsidRPr="00187839" w:rsidRDefault="00636D7D" w:rsidP="00230BA4">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63">
    <w:p w14:paraId="291E04C7" w14:textId="4A2555D4" w:rsidR="007510E6" w:rsidRPr="00CB3B6B" w:rsidRDefault="007510E6"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64">
    <w:p w14:paraId="35A21E89" w14:textId="538949BB" w:rsidR="00EC7338" w:rsidRPr="00187839" w:rsidRDefault="00EC7338"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65">
    <w:p w14:paraId="142E8C77" w14:textId="1596A7BE" w:rsidR="005E201C" w:rsidRPr="00187839" w:rsidRDefault="005E201C"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66">
    <w:p w14:paraId="74603882" w14:textId="50984569" w:rsidR="005E201C" w:rsidRPr="00187839" w:rsidRDefault="005E201C"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67">
    <w:p w14:paraId="2B254001" w14:textId="3CDB260B" w:rsidR="002C06B5" w:rsidRPr="00187839" w:rsidRDefault="002C06B5"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68">
    <w:p w14:paraId="702AB8BC" w14:textId="733B9017" w:rsidR="000A5E60" w:rsidRPr="00187839" w:rsidRDefault="000A5E60"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w:t>
      </w:r>
      <w:r w:rsidR="00390BDE" w:rsidRPr="00390BDE">
        <w:rPr>
          <w:rFonts w:cs="Times New Roman"/>
        </w:rPr>
        <w:t>, 5</w:t>
      </w:r>
      <w:r w:rsidR="00390BDE" w:rsidRPr="00187839">
        <w:rPr>
          <w:rFonts w:cs="Times New Roman"/>
        </w:rPr>
        <w:t xml:space="preserve">66 U.S. </w:t>
      </w:r>
      <w:r w:rsidR="00390BDE">
        <w:rPr>
          <w:rFonts w:cs="Times New Roman"/>
        </w:rPr>
        <w:t xml:space="preserve">at </w:t>
      </w:r>
      <w:r w:rsidR="00373198" w:rsidRPr="00187839">
        <w:rPr>
          <w:rFonts w:cs="Times New Roman"/>
        </w:rPr>
        <w:t>90</w:t>
      </w:r>
      <w:r w:rsidR="006C22D8" w:rsidRPr="00187839">
        <w:rPr>
          <w:rFonts w:cs="Times New Roman"/>
        </w:rPr>
        <w:t>.</w:t>
      </w:r>
    </w:p>
  </w:footnote>
  <w:footnote w:id="69">
    <w:p w14:paraId="289299A5" w14:textId="4FB147E4" w:rsidR="002A641A" w:rsidRDefault="002A641A" w:rsidP="00230BA4">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950C15" w:rsidRPr="00950C15">
        <w:rPr>
          <w:rFonts w:cs="Times New Roman"/>
        </w:rPr>
        <w:t>70</w:t>
      </w:r>
      <w:r w:rsidR="00A1784E" w:rsidRPr="00950C15">
        <w:rPr>
          <w:rFonts w:cs="Times New Roman"/>
        </w:rPr>
        <w:t>.</w:t>
      </w:r>
    </w:p>
  </w:footnote>
  <w:footnote w:id="70">
    <w:p w14:paraId="25C52C36" w14:textId="7FB27570" w:rsidR="00AE482F" w:rsidRPr="00950C15" w:rsidRDefault="00AE482F" w:rsidP="00230BA4">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71">
    <w:p w14:paraId="241CC07B" w14:textId="18F8D7AA" w:rsidR="00B673C7" w:rsidRPr="00950C15" w:rsidRDefault="00B673C7" w:rsidP="00230BA4">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w:t>
      </w:r>
      <w:r w:rsidR="00950C15" w:rsidRPr="00950C15">
        <w:rPr>
          <w:i/>
          <w:highlight w:val="yellow"/>
        </w:rPr>
        <w:t>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72">
    <w:p w14:paraId="7A8C10DB" w14:textId="618F4B7F" w:rsidR="0082773E" w:rsidRPr="00950C15" w:rsidRDefault="0082773E" w:rsidP="00230BA4">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Id.</w:t>
      </w:r>
      <w:r w:rsidR="00950C15" w:rsidRPr="00950C15">
        <w:rPr>
          <w:i/>
          <w:highlight w:val="yellow"/>
        </w:rPr>
        <w:t xml:space="preserve"> </w:t>
      </w:r>
      <w:r w:rsidR="00BC01DA" w:rsidRPr="00950C15">
        <w:rPr>
          <w:rFonts w:cs="Times New Roman"/>
          <w:highlight w:val="yellow"/>
        </w:rPr>
        <w:t xml:space="preserve">at 217-18. </w:t>
      </w:r>
    </w:p>
  </w:footnote>
  <w:footnote w:id="73">
    <w:p w14:paraId="6765E2C3" w14:textId="0CBA09B7" w:rsidR="000541EA" w:rsidRPr="000541EA" w:rsidRDefault="000541EA" w:rsidP="00230BA4">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Id.</w:t>
      </w:r>
      <w:r w:rsidR="00950C15" w:rsidRPr="00950C15">
        <w:rPr>
          <w:i/>
          <w:highlight w:val="yellow"/>
        </w:rPr>
        <w:t xml:space="preserve"> </w:t>
      </w:r>
      <w:r w:rsidRPr="00950C15">
        <w:rPr>
          <w:highlight w:val="yellow"/>
        </w:rPr>
        <w:t>at 218-21.</w:t>
      </w:r>
    </w:p>
  </w:footnote>
  <w:footnote w:id="74">
    <w:p w14:paraId="7AB9167D" w14:textId="68BD75FF" w:rsidR="000A1424" w:rsidRPr="00950C15" w:rsidRDefault="000A1424" w:rsidP="00230BA4">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at 222. </w:t>
      </w:r>
    </w:p>
  </w:footnote>
  <w:footnote w:id="75">
    <w:p w14:paraId="7F8C95D5" w14:textId="2FDD19D1" w:rsidR="00E115BE" w:rsidRPr="00EF4C2A" w:rsidRDefault="00E115BE" w:rsidP="00230BA4">
      <w:pPr>
        <w:pStyle w:val="FootnoteText"/>
        <w:spacing w:line="240" w:lineRule="auto"/>
        <w:rPr>
          <w:i/>
          <w:highlight w:val="yellow"/>
        </w:rPr>
      </w:pPr>
      <w:r w:rsidRPr="00950C15">
        <w:rPr>
          <w:rStyle w:val="FootnoteReference"/>
          <w:highlight w:val="yellow"/>
        </w:rPr>
        <w:footnoteRef/>
      </w:r>
      <w:r w:rsidRPr="00950C15">
        <w:rPr>
          <w:highlight w:val="yellow"/>
        </w:rPr>
        <w:t xml:space="preserve"> </w:t>
      </w:r>
      <w:r w:rsidRPr="00950C15">
        <w:rPr>
          <w:i/>
          <w:highlight w:val="yellow"/>
        </w:rPr>
        <w:t xml:space="preserve">Alice </w:t>
      </w:r>
      <w:r w:rsidRPr="00950C15">
        <w:rPr>
          <w:highlight w:val="yellow"/>
        </w:rPr>
        <w:t>at</w:t>
      </w:r>
      <w:r w:rsidR="000076D4" w:rsidRPr="00950C15">
        <w:rPr>
          <w:highlight w:val="yellow"/>
        </w:rPr>
        <w:t xml:space="preserve"> 225. </w:t>
      </w:r>
      <w:r w:rsidR="00EF4C2A">
        <w:rPr>
          <w:i/>
          <w:highlight w:val="yellow"/>
        </w:rPr>
        <w:t>Id. at 225.</w:t>
      </w:r>
    </w:p>
  </w:footnote>
  <w:footnote w:id="76">
    <w:p w14:paraId="3EE58FAA" w14:textId="2DD4066B" w:rsidR="00CC4805" w:rsidRPr="00EF4C2A" w:rsidRDefault="00CC4805" w:rsidP="00230BA4">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 xml:space="preserve">Alice </w:t>
      </w:r>
      <w:r w:rsidRPr="00950C15">
        <w:rPr>
          <w:highlight w:val="yellow"/>
        </w:rPr>
        <w:t>at 225</w:t>
      </w:r>
      <w:r w:rsidR="008F0384" w:rsidRPr="00950C15">
        <w:rPr>
          <w:highlight w:val="yellow"/>
        </w:rPr>
        <w:t>.</w:t>
      </w:r>
      <w:r w:rsidR="00EF4C2A">
        <w:t xml:space="preserve"> </w:t>
      </w:r>
      <w:r w:rsidR="00EF4C2A">
        <w:rPr>
          <w:i/>
        </w:rPr>
        <w:t>Id.</w:t>
      </w:r>
      <w:bookmarkStart w:id="34" w:name="_GoBack"/>
      <w:bookmarkEnd w:id="34"/>
    </w:p>
  </w:footnote>
  <w:footnote w:id="77">
    <w:p w14:paraId="275D55CF" w14:textId="45A96015" w:rsidR="00411BFE" w:rsidRPr="00023059" w:rsidRDefault="00411BFE" w:rsidP="00230BA4">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78">
    <w:p w14:paraId="22878AEA" w14:textId="2D1AD67A" w:rsidR="00411BFE" w:rsidRDefault="00411BFE" w:rsidP="00230BA4">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79">
    <w:p w14:paraId="58339ABD" w14:textId="54768A39" w:rsidR="00C46A75" w:rsidRDefault="00C46A75" w:rsidP="00230BA4">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80">
    <w:p w14:paraId="2434F65E" w14:textId="2D6DEA56" w:rsidR="005C44F9" w:rsidRPr="005C44F9" w:rsidRDefault="005C44F9" w:rsidP="00230BA4">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1">
    <w:p w14:paraId="7D193346" w14:textId="726126B4" w:rsidR="00E37CC8" w:rsidRDefault="00E37CC8" w:rsidP="00230BA4">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82">
    <w:p w14:paraId="77E297F2" w14:textId="1ED820BE" w:rsidR="002D4E38" w:rsidRPr="002D4E38" w:rsidRDefault="002D4E38" w:rsidP="00230BA4">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83">
    <w:p w14:paraId="3F5018DC" w14:textId="7A868F1C" w:rsidR="002D4E38" w:rsidRDefault="002D4E38" w:rsidP="00230BA4">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84">
    <w:p w14:paraId="6313583B" w14:textId="015BFC60" w:rsidR="00587D17" w:rsidRPr="00187839" w:rsidRDefault="00587D17"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Berkheimer</w:t>
      </w:r>
      <w:r w:rsidRPr="00187839">
        <w:rPr>
          <w:rFonts w:cs="Times New Roman"/>
        </w:rPr>
        <w:t xml:space="preserve"> </w:t>
      </w:r>
      <w:r w:rsidR="00E455E6">
        <w:rPr>
          <w:rFonts w:cs="Times New Roman"/>
        </w:rPr>
        <w:t>at</w:t>
      </w:r>
      <w:r w:rsidRPr="00187839">
        <w:rPr>
          <w:rFonts w:cs="Times New Roman"/>
        </w:rPr>
        <w:t xml:space="preserve"> 1360</w:t>
      </w:r>
      <w:r w:rsidR="00E455E6">
        <w:rPr>
          <w:rFonts w:cs="Times New Roman"/>
        </w:rPr>
        <w:t>.</w:t>
      </w:r>
    </w:p>
  </w:footnote>
  <w:footnote w:id="85">
    <w:p w14:paraId="6EDF8AC8" w14:textId="521CE464" w:rsidR="005754AD" w:rsidRPr="00187839" w:rsidRDefault="005754AD"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1362-63</w:t>
      </w:r>
      <w:r w:rsidR="00E455E6">
        <w:rPr>
          <w:rFonts w:cs="Times New Roman"/>
        </w:rPr>
        <w:t>.</w:t>
      </w:r>
    </w:p>
  </w:footnote>
  <w:footnote w:id="86">
    <w:p w14:paraId="36187232" w14:textId="75552111" w:rsidR="00126150" w:rsidRPr="00187839" w:rsidRDefault="00126150"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1364</w:t>
      </w:r>
      <w:r w:rsidR="00E455E6">
        <w:rPr>
          <w:rFonts w:cs="Times New Roman"/>
        </w:rPr>
        <w:t>.</w:t>
      </w:r>
    </w:p>
  </w:footnote>
  <w:footnote w:id="87">
    <w:p w14:paraId="0D32E69E" w14:textId="5DE281E2" w:rsidR="00CE34AE" w:rsidRPr="00187839" w:rsidRDefault="00CE34AE"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455E6" w:rsidRPr="00E455E6">
        <w:rPr>
          <w:rFonts w:cs="Times New Roman"/>
          <w:i/>
        </w:rPr>
        <w:t>Berkheimer</w:t>
      </w:r>
      <w:r w:rsidR="00E455E6" w:rsidRPr="00187839">
        <w:rPr>
          <w:rFonts w:cs="Times New Roman"/>
        </w:rPr>
        <w:t xml:space="preserve"> </w:t>
      </w:r>
      <w:r w:rsidR="00E455E6">
        <w:rPr>
          <w:rFonts w:cs="Times New Roman"/>
        </w:rPr>
        <w:t xml:space="preserve">at </w:t>
      </w:r>
      <w:r w:rsidRPr="00187839">
        <w:rPr>
          <w:rFonts w:cs="Times New Roman"/>
        </w:rPr>
        <w:t>1360</w:t>
      </w:r>
      <w:r w:rsidR="00E455E6">
        <w:rPr>
          <w:rFonts w:cs="Times New Roman"/>
        </w:rPr>
        <w:t>.</w:t>
      </w:r>
    </w:p>
  </w:footnote>
  <w:footnote w:id="88">
    <w:p w14:paraId="719CD912" w14:textId="22BC7B20" w:rsidR="00584203" w:rsidRPr="00187839" w:rsidRDefault="00584203"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89">
    <w:p w14:paraId="50AE4619" w14:textId="7DA07D8B" w:rsidR="00187839" w:rsidRPr="00187839" w:rsidRDefault="00187839" w:rsidP="00230BA4">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90">
    <w:p w14:paraId="7E2C7BF6" w14:textId="3C96D429" w:rsidR="00604ED8" w:rsidRDefault="00604ED8" w:rsidP="00230BA4">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91">
    <w:p w14:paraId="5BEF081B" w14:textId="1C0B628E" w:rsidR="00F52860" w:rsidRPr="00F52860" w:rsidRDefault="00F52860" w:rsidP="00230BA4">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92">
    <w:p w14:paraId="2980C8F7" w14:textId="427061AE" w:rsidR="008323E8" w:rsidRPr="00A73377" w:rsidRDefault="008323E8" w:rsidP="00230BA4">
      <w:pPr>
        <w:pStyle w:val="FootnoteText"/>
        <w:spacing w:line="240" w:lineRule="auto"/>
        <w:rPr>
          <w:highlight w:val="yellow"/>
        </w:rPr>
      </w:pPr>
      <w:r w:rsidRPr="00A73377">
        <w:rPr>
          <w:rStyle w:val="FootnoteReference"/>
          <w:highlight w:val="yellow"/>
        </w:rPr>
        <w:footnoteRef/>
      </w:r>
      <w:r w:rsidRPr="00A73377">
        <w:rPr>
          <w:highlight w:val="yellow"/>
        </w:rPr>
        <w:t xml:space="preserve"> </w:t>
      </w:r>
      <w:proofErr w:type="spellStart"/>
      <w:r w:rsidR="00C56BA3">
        <w:rPr>
          <w:i/>
        </w:rPr>
        <w:t>Bilski</w:t>
      </w:r>
      <w:proofErr w:type="spellEnd"/>
      <w:r w:rsidR="00C56BA3">
        <w:rPr>
          <w:i/>
        </w:rPr>
        <w:t xml:space="preserve"> v. </w:t>
      </w:r>
      <w:proofErr w:type="spellStart"/>
      <w:r w:rsidR="00C56BA3">
        <w:rPr>
          <w:i/>
        </w:rPr>
        <w:t>Kappos</w:t>
      </w:r>
      <w:proofErr w:type="spellEnd"/>
      <w:r w:rsidR="00C56BA3">
        <w:t>,</w:t>
      </w:r>
      <w:r w:rsidR="00C56BA3">
        <w:rPr>
          <w:i/>
        </w:rPr>
        <w:t xml:space="preserve"> </w:t>
      </w:r>
      <w:r w:rsidR="00C56BA3" w:rsidRPr="00187839">
        <w:rPr>
          <w:rFonts w:cs="Times New Roman"/>
        </w:rPr>
        <w:t>561 U.S.</w:t>
      </w:r>
      <w:r w:rsidR="00C56BA3">
        <w:rPr>
          <w:rFonts w:cs="Times New Roman"/>
        </w:rPr>
        <w:t xml:space="preserve"> </w:t>
      </w:r>
      <w:proofErr w:type="gramStart"/>
      <w:r w:rsidR="00C56BA3">
        <w:rPr>
          <w:rFonts w:cs="Times New Roman"/>
        </w:rPr>
        <w:t>at</w:t>
      </w:r>
      <w:r w:rsidR="00C56BA3" w:rsidRPr="00187839">
        <w:rPr>
          <w:rFonts w:cs="Times New Roman"/>
        </w:rPr>
        <w:t xml:space="preserve"> </w:t>
      </w:r>
      <w:r w:rsidR="00C56BA3">
        <w:rPr>
          <w:rFonts w:cs="Times New Roman"/>
        </w:rPr>
        <w:t xml:space="preserve"> XX.</w:t>
      </w:r>
      <w:proofErr w:type="gramEnd"/>
    </w:p>
  </w:footnote>
  <w:footnote w:id="93">
    <w:p w14:paraId="050B2101" w14:textId="611046DA" w:rsidR="008323E8" w:rsidRPr="00A73377" w:rsidRDefault="008323E8" w:rsidP="00230BA4">
      <w:pPr>
        <w:pStyle w:val="FootnoteText"/>
        <w:spacing w:line="240" w:lineRule="auto"/>
        <w:rPr>
          <w:highlight w:val="yellow"/>
        </w:rPr>
      </w:pPr>
      <w:r w:rsidRPr="00A73377">
        <w:rPr>
          <w:rStyle w:val="FootnoteReference"/>
          <w:highlight w:val="yellow"/>
        </w:rPr>
        <w:footnoteRef/>
      </w:r>
      <w:r w:rsidRPr="00A73377">
        <w:rPr>
          <w:highlight w:val="yellow"/>
        </w:rPr>
        <w:t xml:space="preserve"> </w:t>
      </w:r>
      <w:r w:rsidR="0091273A">
        <w:rPr>
          <w:i/>
        </w:rPr>
        <w:t>Alice</w:t>
      </w:r>
      <w:r w:rsidR="0091273A">
        <w:t xml:space="preserve">, </w:t>
      </w:r>
      <w:r w:rsidR="0091273A" w:rsidRPr="00950C15">
        <w:rPr>
          <w:rFonts w:cs="Times New Roman"/>
        </w:rPr>
        <w:t>573 U.S</w:t>
      </w:r>
      <w:r w:rsidR="0091273A">
        <w:t xml:space="preserve"> at</w:t>
      </w:r>
      <w:r w:rsidR="0091273A">
        <w:t xml:space="preserve"> XX</w:t>
      </w:r>
      <w:r w:rsidR="0091273A">
        <w:t>.</w:t>
      </w:r>
    </w:p>
  </w:footnote>
  <w:footnote w:id="94">
    <w:p w14:paraId="7A4F9739" w14:textId="34CF9AF6" w:rsidR="00F14BC2" w:rsidRDefault="00F14BC2" w:rsidP="00230BA4">
      <w:pPr>
        <w:pStyle w:val="FootnoteText"/>
        <w:spacing w:line="240" w:lineRule="auto"/>
      </w:pPr>
      <w:r w:rsidRPr="00A73377">
        <w:rPr>
          <w:rStyle w:val="FootnoteReference"/>
          <w:highlight w:val="yellow"/>
        </w:rPr>
        <w:footnoteRef/>
      </w:r>
      <w:r w:rsidRPr="00A73377">
        <w:rPr>
          <w:highlight w:val="yellow"/>
        </w:rPr>
        <w:t xml:space="preserve"> </w:t>
      </w:r>
      <w:r w:rsidR="0091273A" w:rsidRPr="00187839">
        <w:rPr>
          <w:rFonts w:cs="Times New Roman"/>
          <w:i/>
        </w:rPr>
        <w:t>Funk Bros.</w:t>
      </w:r>
      <w:r w:rsidR="0091273A">
        <w:rPr>
          <w:rFonts w:cs="Times New Roman"/>
        </w:rPr>
        <w:t>, 333 U.S.</w:t>
      </w:r>
      <w:r w:rsidR="0091273A" w:rsidRPr="00187839">
        <w:rPr>
          <w:rFonts w:cs="Times New Roman"/>
          <w:i/>
        </w:rPr>
        <w:t xml:space="preserve"> </w:t>
      </w:r>
      <w:r w:rsidR="0091273A">
        <w:rPr>
          <w:rFonts w:cs="Times New Roman"/>
        </w:rPr>
        <w:t xml:space="preserve">at </w:t>
      </w:r>
      <w:r w:rsidR="0091273A">
        <w:rPr>
          <w:rFonts w:cs="Times New Roman"/>
        </w:rPr>
        <w:t>XX.</w:t>
      </w:r>
    </w:p>
  </w:footnote>
  <w:footnote w:id="95">
    <w:p w14:paraId="60B854F7" w14:textId="2C001322" w:rsidR="00F14BC2" w:rsidRDefault="00F14BC2" w:rsidP="00230BA4">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96">
    <w:p w14:paraId="5B899C48" w14:textId="77267488" w:rsidR="00D97C8E" w:rsidRDefault="00D97C8E" w:rsidP="00230BA4">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97">
    <w:p w14:paraId="70752A5E" w14:textId="2C91AB93" w:rsidR="00442225" w:rsidRDefault="00442225" w:rsidP="00230BA4">
      <w:pPr>
        <w:pStyle w:val="FootnoteText"/>
        <w:spacing w:line="240" w:lineRule="auto"/>
      </w:pPr>
      <w:r>
        <w:rPr>
          <w:rStyle w:val="FootnoteReference"/>
        </w:rPr>
        <w:footnoteRef/>
      </w:r>
      <w:r>
        <w:t xml:space="preserve"> 35 U.S.C. § 101. </w:t>
      </w:r>
    </w:p>
  </w:footnote>
  <w:footnote w:id="98">
    <w:p w14:paraId="707688CC" w14:textId="0D6EB256" w:rsidR="00347ADB" w:rsidRPr="00347ADB" w:rsidRDefault="00347ADB" w:rsidP="00230BA4">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99">
    <w:p w14:paraId="0889E616" w14:textId="1D743667" w:rsidR="00A852D0" w:rsidRDefault="00A852D0" w:rsidP="00230BA4">
      <w:pPr>
        <w:pStyle w:val="FootnoteText"/>
        <w:spacing w:line="240" w:lineRule="auto"/>
      </w:pPr>
      <w:r>
        <w:rPr>
          <w:rStyle w:val="FootnoteReference"/>
        </w:rPr>
        <w:footnoteRef/>
      </w:r>
      <w:r>
        <w:t xml:space="preserve"> </w:t>
      </w:r>
      <w:r w:rsidRPr="00A852D0">
        <w:t xml:space="preserve">Joshua A. </w:t>
      </w:r>
      <w:proofErr w:type="spellStart"/>
      <w:r w:rsidRPr="00A852D0">
        <w:t>Kresh</w:t>
      </w:r>
      <w:proofErr w:type="spellEnd"/>
      <w:r w:rsidRPr="00A852D0">
        <w:t xml:space="preserve">, </w:t>
      </w:r>
      <w:r w:rsidRPr="00E1466B">
        <w:rPr>
          <w:i/>
        </w:rPr>
        <w:t xml:space="preserve">Patent Eligibility After Mayo: How Did We Get Here and Where Do We </w:t>
      </w:r>
      <w:proofErr w:type="gramStart"/>
      <w:r w:rsidRPr="00E1466B">
        <w:rPr>
          <w:i/>
        </w:rPr>
        <w:t>Go?</w:t>
      </w:r>
      <w:r w:rsidRPr="00A852D0">
        <w:t>,</w:t>
      </w:r>
      <w:proofErr w:type="gramEnd"/>
      <w:r w:rsidRPr="00A852D0">
        <w:t xml:space="preserve"> 22 Fed. Circuit B.J. 521, </w:t>
      </w:r>
      <w:r w:rsidR="00E1466B">
        <w:t>527</w:t>
      </w:r>
      <w:r w:rsidRPr="00A852D0">
        <w:t xml:space="preserve"> (2013)</w:t>
      </w:r>
      <w:r w:rsidR="00E1466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E7"/>
    <w:rsid w:val="00023059"/>
    <w:rsid w:val="0002502C"/>
    <w:rsid w:val="00026D1E"/>
    <w:rsid w:val="00031B0C"/>
    <w:rsid w:val="00031F83"/>
    <w:rsid w:val="000329E9"/>
    <w:rsid w:val="000331DA"/>
    <w:rsid w:val="00034080"/>
    <w:rsid w:val="00034919"/>
    <w:rsid w:val="000356D6"/>
    <w:rsid w:val="00040413"/>
    <w:rsid w:val="00041D04"/>
    <w:rsid w:val="000448B7"/>
    <w:rsid w:val="00046358"/>
    <w:rsid w:val="000509F7"/>
    <w:rsid w:val="00051CA6"/>
    <w:rsid w:val="00053AD9"/>
    <w:rsid w:val="000541EA"/>
    <w:rsid w:val="000616D7"/>
    <w:rsid w:val="00061D8B"/>
    <w:rsid w:val="00062B61"/>
    <w:rsid w:val="00062E03"/>
    <w:rsid w:val="000631AF"/>
    <w:rsid w:val="00064BE8"/>
    <w:rsid w:val="00064E6E"/>
    <w:rsid w:val="00065219"/>
    <w:rsid w:val="00066447"/>
    <w:rsid w:val="00067B22"/>
    <w:rsid w:val="00070121"/>
    <w:rsid w:val="00070156"/>
    <w:rsid w:val="00070CC5"/>
    <w:rsid w:val="00073D3A"/>
    <w:rsid w:val="00073D4B"/>
    <w:rsid w:val="00076925"/>
    <w:rsid w:val="0007770E"/>
    <w:rsid w:val="00077F59"/>
    <w:rsid w:val="000802E0"/>
    <w:rsid w:val="00082A2E"/>
    <w:rsid w:val="00082EA5"/>
    <w:rsid w:val="000833A5"/>
    <w:rsid w:val="00084666"/>
    <w:rsid w:val="0008492F"/>
    <w:rsid w:val="000861E7"/>
    <w:rsid w:val="00087434"/>
    <w:rsid w:val="00087E24"/>
    <w:rsid w:val="00090802"/>
    <w:rsid w:val="00090E03"/>
    <w:rsid w:val="00091CA1"/>
    <w:rsid w:val="00092B4F"/>
    <w:rsid w:val="00092B60"/>
    <w:rsid w:val="00094461"/>
    <w:rsid w:val="00094E18"/>
    <w:rsid w:val="0009596F"/>
    <w:rsid w:val="000965E2"/>
    <w:rsid w:val="0009798A"/>
    <w:rsid w:val="000A1424"/>
    <w:rsid w:val="000A2E03"/>
    <w:rsid w:val="000A3903"/>
    <w:rsid w:val="000A5E60"/>
    <w:rsid w:val="000A77BC"/>
    <w:rsid w:val="000B0A07"/>
    <w:rsid w:val="000B0A5E"/>
    <w:rsid w:val="000B0EF4"/>
    <w:rsid w:val="000B2689"/>
    <w:rsid w:val="000B4A18"/>
    <w:rsid w:val="000B4F42"/>
    <w:rsid w:val="000B6973"/>
    <w:rsid w:val="000B7D37"/>
    <w:rsid w:val="000C02DB"/>
    <w:rsid w:val="000C0C06"/>
    <w:rsid w:val="000C5123"/>
    <w:rsid w:val="000D028F"/>
    <w:rsid w:val="000D0BD7"/>
    <w:rsid w:val="000D1058"/>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5A33"/>
    <w:rsid w:val="000F73F4"/>
    <w:rsid w:val="000F75DA"/>
    <w:rsid w:val="001010E0"/>
    <w:rsid w:val="001038AB"/>
    <w:rsid w:val="00104DD9"/>
    <w:rsid w:val="00110EA6"/>
    <w:rsid w:val="001116C9"/>
    <w:rsid w:val="00111B21"/>
    <w:rsid w:val="00112247"/>
    <w:rsid w:val="00112FF9"/>
    <w:rsid w:val="00113F5A"/>
    <w:rsid w:val="001171A4"/>
    <w:rsid w:val="00120382"/>
    <w:rsid w:val="00120C9A"/>
    <w:rsid w:val="00122DA4"/>
    <w:rsid w:val="00122F16"/>
    <w:rsid w:val="00123047"/>
    <w:rsid w:val="00123215"/>
    <w:rsid w:val="00126150"/>
    <w:rsid w:val="00131839"/>
    <w:rsid w:val="00133D17"/>
    <w:rsid w:val="00135ED7"/>
    <w:rsid w:val="001360AE"/>
    <w:rsid w:val="00136FFE"/>
    <w:rsid w:val="00140E92"/>
    <w:rsid w:val="00140F7C"/>
    <w:rsid w:val="00141EBB"/>
    <w:rsid w:val="001450FC"/>
    <w:rsid w:val="00146381"/>
    <w:rsid w:val="00153B39"/>
    <w:rsid w:val="00157622"/>
    <w:rsid w:val="00162B75"/>
    <w:rsid w:val="00163030"/>
    <w:rsid w:val="0016342C"/>
    <w:rsid w:val="00164E50"/>
    <w:rsid w:val="001656EF"/>
    <w:rsid w:val="001676FC"/>
    <w:rsid w:val="00170B95"/>
    <w:rsid w:val="00170FF6"/>
    <w:rsid w:val="001715A5"/>
    <w:rsid w:val="00172C6D"/>
    <w:rsid w:val="00174EED"/>
    <w:rsid w:val="00175C04"/>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6389"/>
    <w:rsid w:val="00196BDC"/>
    <w:rsid w:val="00196DDB"/>
    <w:rsid w:val="001A0888"/>
    <w:rsid w:val="001A0930"/>
    <w:rsid w:val="001A1C86"/>
    <w:rsid w:val="001A1F27"/>
    <w:rsid w:val="001A4487"/>
    <w:rsid w:val="001A4BD8"/>
    <w:rsid w:val="001A6A55"/>
    <w:rsid w:val="001B08AB"/>
    <w:rsid w:val="001B2DE9"/>
    <w:rsid w:val="001B4C2A"/>
    <w:rsid w:val="001B5B5A"/>
    <w:rsid w:val="001C0177"/>
    <w:rsid w:val="001C0D01"/>
    <w:rsid w:val="001C2304"/>
    <w:rsid w:val="001C2B7B"/>
    <w:rsid w:val="001C3A3A"/>
    <w:rsid w:val="001C46F9"/>
    <w:rsid w:val="001C4709"/>
    <w:rsid w:val="001C4CA1"/>
    <w:rsid w:val="001C5401"/>
    <w:rsid w:val="001C56F6"/>
    <w:rsid w:val="001C5E6D"/>
    <w:rsid w:val="001C6B2C"/>
    <w:rsid w:val="001C76A5"/>
    <w:rsid w:val="001D0E9A"/>
    <w:rsid w:val="001D29A2"/>
    <w:rsid w:val="001D370D"/>
    <w:rsid w:val="001D6DB5"/>
    <w:rsid w:val="001D7F6D"/>
    <w:rsid w:val="001E0A7B"/>
    <w:rsid w:val="001E2F70"/>
    <w:rsid w:val="001E3E18"/>
    <w:rsid w:val="001E50F2"/>
    <w:rsid w:val="001E549F"/>
    <w:rsid w:val="001E5AC0"/>
    <w:rsid w:val="001F4D74"/>
    <w:rsid w:val="001F6FB0"/>
    <w:rsid w:val="001F747F"/>
    <w:rsid w:val="001F7B5F"/>
    <w:rsid w:val="00200F13"/>
    <w:rsid w:val="00201967"/>
    <w:rsid w:val="00203819"/>
    <w:rsid w:val="0020468E"/>
    <w:rsid w:val="002055CF"/>
    <w:rsid w:val="00207F86"/>
    <w:rsid w:val="002111E1"/>
    <w:rsid w:val="0021317A"/>
    <w:rsid w:val="00213224"/>
    <w:rsid w:val="002147BB"/>
    <w:rsid w:val="00214D5E"/>
    <w:rsid w:val="0021788A"/>
    <w:rsid w:val="00217F66"/>
    <w:rsid w:val="00221C85"/>
    <w:rsid w:val="00222719"/>
    <w:rsid w:val="0022412D"/>
    <w:rsid w:val="00225A66"/>
    <w:rsid w:val="00226141"/>
    <w:rsid w:val="00227DE9"/>
    <w:rsid w:val="00230A17"/>
    <w:rsid w:val="00230BA4"/>
    <w:rsid w:val="002317DA"/>
    <w:rsid w:val="0023186C"/>
    <w:rsid w:val="00231A30"/>
    <w:rsid w:val="0023270F"/>
    <w:rsid w:val="002327E7"/>
    <w:rsid w:val="00240DAB"/>
    <w:rsid w:val="00241DA8"/>
    <w:rsid w:val="00242D61"/>
    <w:rsid w:val="00244BD7"/>
    <w:rsid w:val="00244D65"/>
    <w:rsid w:val="00245402"/>
    <w:rsid w:val="00245CB1"/>
    <w:rsid w:val="002469DF"/>
    <w:rsid w:val="002525F7"/>
    <w:rsid w:val="0025339F"/>
    <w:rsid w:val="0025424C"/>
    <w:rsid w:val="00256FB0"/>
    <w:rsid w:val="00257080"/>
    <w:rsid w:val="00257366"/>
    <w:rsid w:val="00261537"/>
    <w:rsid w:val="002630F3"/>
    <w:rsid w:val="00267940"/>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42D8"/>
    <w:rsid w:val="002A4402"/>
    <w:rsid w:val="002A4D95"/>
    <w:rsid w:val="002A641A"/>
    <w:rsid w:val="002A6A9F"/>
    <w:rsid w:val="002B1E9D"/>
    <w:rsid w:val="002B3B73"/>
    <w:rsid w:val="002B4514"/>
    <w:rsid w:val="002B5D3E"/>
    <w:rsid w:val="002B6A3B"/>
    <w:rsid w:val="002C06B5"/>
    <w:rsid w:val="002C0C20"/>
    <w:rsid w:val="002C3089"/>
    <w:rsid w:val="002C5CAF"/>
    <w:rsid w:val="002C62BF"/>
    <w:rsid w:val="002C6913"/>
    <w:rsid w:val="002C6953"/>
    <w:rsid w:val="002C70DA"/>
    <w:rsid w:val="002D065B"/>
    <w:rsid w:val="002D251A"/>
    <w:rsid w:val="002D47F2"/>
    <w:rsid w:val="002D4E38"/>
    <w:rsid w:val="002E3F2B"/>
    <w:rsid w:val="002E51C8"/>
    <w:rsid w:val="002E5260"/>
    <w:rsid w:val="002E5558"/>
    <w:rsid w:val="002E57D9"/>
    <w:rsid w:val="002E6E91"/>
    <w:rsid w:val="002F15ED"/>
    <w:rsid w:val="002F17B1"/>
    <w:rsid w:val="002F1BC6"/>
    <w:rsid w:val="002F3386"/>
    <w:rsid w:val="002F5050"/>
    <w:rsid w:val="002F506B"/>
    <w:rsid w:val="00302D1B"/>
    <w:rsid w:val="00302FAA"/>
    <w:rsid w:val="00302FDE"/>
    <w:rsid w:val="00303B93"/>
    <w:rsid w:val="00306C3D"/>
    <w:rsid w:val="003102C8"/>
    <w:rsid w:val="00310BAD"/>
    <w:rsid w:val="00313A5A"/>
    <w:rsid w:val="00314C49"/>
    <w:rsid w:val="003152A7"/>
    <w:rsid w:val="00323B4E"/>
    <w:rsid w:val="00324040"/>
    <w:rsid w:val="0032486C"/>
    <w:rsid w:val="00325DC6"/>
    <w:rsid w:val="003306D2"/>
    <w:rsid w:val="003308BE"/>
    <w:rsid w:val="00330FED"/>
    <w:rsid w:val="003318B9"/>
    <w:rsid w:val="0033246D"/>
    <w:rsid w:val="00334DCB"/>
    <w:rsid w:val="00336F0C"/>
    <w:rsid w:val="003379BA"/>
    <w:rsid w:val="00340E88"/>
    <w:rsid w:val="0034159C"/>
    <w:rsid w:val="003415DE"/>
    <w:rsid w:val="0034193E"/>
    <w:rsid w:val="003422F1"/>
    <w:rsid w:val="00342D5C"/>
    <w:rsid w:val="00343CBD"/>
    <w:rsid w:val="00344420"/>
    <w:rsid w:val="00345ECE"/>
    <w:rsid w:val="00346002"/>
    <w:rsid w:val="003467EE"/>
    <w:rsid w:val="00347ADB"/>
    <w:rsid w:val="00350F95"/>
    <w:rsid w:val="00352790"/>
    <w:rsid w:val="00353370"/>
    <w:rsid w:val="00356F2D"/>
    <w:rsid w:val="00357835"/>
    <w:rsid w:val="00360528"/>
    <w:rsid w:val="003611C3"/>
    <w:rsid w:val="00361BEA"/>
    <w:rsid w:val="00363566"/>
    <w:rsid w:val="00363F14"/>
    <w:rsid w:val="0036481A"/>
    <w:rsid w:val="003668E5"/>
    <w:rsid w:val="00370E19"/>
    <w:rsid w:val="0037200C"/>
    <w:rsid w:val="00372774"/>
    <w:rsid w:val="00373198"/>
    <w:rsid w:val="00373D4C"/>
    <w:rsid w:val="0037415D"/>
    <w:rsid w:val="00375F49"/>
    <w:rsid w:val="00375F68"/>
    <w:rsid w:val="003766C1"/>
    <w:rsid w:val="00376CD5"/>
    <w:rsid w:val="00376EC9"/>
    <w:rsid w:val="0037776D"/>
    <w:rsid w:val="003779AD"/>
    <w:rsid w:val="00380995"/>
    <w:rsid w:val="00381387"/>
    <w:rsid w:val="00382076"/>
    <w:rsid w:val="00383463"/>
    <w:rsid w:val="003836FF"/>
    <w:rsid w:val="003838C7"/>
    <w:rsid w:val="00383A40"/>
    <w:rsid w:val="00384F9A"/>
    <w:rsid w:val="00386A3F"/>
    <w:rsid w:val="0038742F"/>
    <w:rsid w:val="003877B6"/>
    <w:rsid w:val="00390BDE"/>
    <w:rsid w:val="0039378A"/>
    <w:rsid w:val="00397240"/>
    <w:rsid w:val="0039771A"/>
    <w:rsid w:val="003A063B"/>
    <w:rsid w:val="003A128F"/>
    <w:rsid w:val="003A2E8F"/>
    <w:rsid w:val="003A3348"/>
    <w:rsid w:val="003A3E41"/>
    <w:rsid w:val="003A5D15"/>
    <w:rsid w:val="003A7530"/>
    <w:rsid w:val="003A7B15"/>
    <w:rsid w:val="003A7F0B"/>
    <w:rsid w:val="003B1A58"/>
    <w:rsid w:val="003B4234"/>
    <w:rsid w:val="003B65B8"/>
    <w:rsid w:val="003B6B86"/>
    <w:rsid w:val="003C0529"/>
    <w:rsid w:val="003C06E5"/>
    <w:rsid w:val="003C07EF"/>
    <w:rsid w:val="003C2C70"/>
    <w:rsid w:val="003C2D67"/>
    <w:rsid w:val="003C2F0E"/>
    <w:rsid w:val="003D041A"/>
    <w:rsid w:val="003D08A7"/>
    <w:rsid w:val="003D10C8"/>
    <w:rsid w:val="003D1442"/>
    <w:rsid w:val="003D296A"/>
    <w:rsid w:val="003D2F52"/>
    <w:rsid w:val="003D33E0"/>
    <w:rsid w:val="003E01F8"/>
    <w:rsid w:val="003E65F8"/>
    <w:rsid w:val="003E6D00"/>
    <w:rsid w:val="003F04C9"/>
    <w:rsid w:val="003F0B31"/>
    <w:rsid w:val="003F7C4C"/>
    <w:rsid w:val="003F7D16"/>
    <w:rsid w:val="003F7F77"/>
    <w:rsid w:val="0040031A"/>
    <w:rsid w:val="00400744"/>
    <w:rsid w:val="004024FF"/>
    <w:rsid w:val="00402FDD"/>
    <w:rsid w:val="00404539"/>
    <w:rsid w:val="00406A59"/>
    <w:rsid w:val="00406B30"/>
    <w:rsid w:val="004079BB"/>
    <w:rsid w:val="0041094E"/>
    <w:rsid w:val="00411AC4"/>
    <w:rsid w:val="00411BFE"/>
    <w:rsid w:val="00411F48"/>
    <w:rsid w:val="004132BB"/>
    <w:rsid w:val="00413848"/>
    <w:rsid w:val="00414ACD"/>
    <w:rsid w:val="00420A56"/>
    <w:rsid w:val="00421DA6"/>
    <w:rsid w:val="00422980"/>
    <w:rsid w:val="00423D71"/>
    <w:rsid w:val="004243C4"/>
    <w:rsid w:val="00424492"/>
    <w:rsid w:val="00424B66"/>
    <w:rsid w:val="00426AFE"/>
    <w:rsid w:val="00427B9A"/>
    <w:rsid w:val="00433FCA"/>
    <w:rsid w:val="00435482"/>
    <w:rsid w:val="00437BF1"/>
    <w:rsid w:val="00440340"/>
    <w:rsid w:val="00440A48"/>
    <w:rsid w:val="00441A76"/>
    <w:rsid w:val="00442225"/>
    <w:rsid w:val="0044354E"/>
    <w:rsid w:val="00443AA6"/>
    <w:rsid w:val="00445ED3"/>
    <w:rsid w:val="0044612D"/>
    <w:rsid w:val="004466D1"/>
    <w:rsid w:val="00446C63"/>
    <w:rsid w:val="00446D14"/>
    <w:rsid w:val="00447703"/>
    <w:rsid w:val="0044786A"/>
    <w:rsid w:val="00451E73"/>
    <w:rsid w:val="00452BD9"/>
    <w:rsid w:val="004577B1"/>
    <w:rsid w:val="004617D9"/>
    <w:rsid w:val="00461ACC"/>
    <w:rsid w:val="00463584"/>
    <w:rsid w:val="0046379B"/>
    <w:rsid w:val="00463D5B"/>
    <w:rsid w:val="00466EFC"/>
    <w:rsid w:val="004671D7"/>
    <w:rsid w:val="00471218"/>
    <w:rsid w:val="0047151A"/>
    <w:rsid w:val="00473573"/>
    <w:rsid w:val="00473EF6"/>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7308"/>
    <w:rsid w:val="00497377"/>
    <w:rsid w:val="00497E90"/>
    <w:rsid w:val="004A22C3"/>
    <w:rsid w:val="004A344F"/>
    <w:rsid w:val="004A53D9"/>
    <w:rsid w:val="004A60BA"/>
    <w:rsid w:val="004A658A"/>
    <w:rsid w:val="004A6DBA"/>
    <w:rsid w:val="004A6F0E"/>
    <w:rsid w:val="004B06B6"/>
    <w:rsid w:val="004B1643"/>
    <w:rsid w:val="004B1684"/>
    <w:rsid w:val="004B16D1"/>
    <w:rsid w:val="004B3E81"/>
    <w:rsid w:val="004B620C"/>
    <w:rsid w:val="004B639A"/>
    <w:rsid w:val="004C078D"/>
    <w:rsid w:val="004C12A5"/>
    <w:rsid w:val="004C36BB"/>
    <w:rsid w:val="004C37FD"/>
    <w:rsid w:val="004C419E"/>
    <w:rsid w:val="004C484F"/>
    <w:rsid w:val="004C5077"/>
    <w:rsid w:val="004C52DE"/>
    <w:rsid w:val="004C5EAF"/>
    <w:rsid w:val="004D040B"/>
    <w:rsid w:val="004D2B3B"/>
    <w:rsid w:val="004D3739"/>
    <w:rsid w:val="004D4182"/>
    <w:rsid w:val="004D47C1"/>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3560"/>
    <w:rsid w:val="00503CD0"/>
    <w:rsid w:val="00507D5D"/>
    <w:rsid w:val="00507E3E"/>
    <w:rsid w:val="00510902"/>
    <w:rsid w:val="00512487"/>
    <w:rsid w:val="005130ED"/>
    <w:rsid w:val="0051363C"/>
    <w:rsid w:val="00514E8A"/>
    <w:rsid w:val="0051688D"/>
    <w:rsid w:val="00517432"/>
    <w:rsid w:val="00517AAC"/>
    <w:rsid w:val="005222B1"/>
    <w:rsid w:val="00522CF2"/>
    <w:rsid w:val="00523272"/>
    <w:rsid w:val="0052477F"/>
    <w:rsid w:val="00525DD5"/>
    <w:rsid w:val="0052600B"/>
    <w:rsid w:val="005324E3"/>
    <w:rsid w:val="00535B8B"/>
    <w:rsid w:val="005364D3"/>
    <w:rsid w:val="00536FB3"/>
    <w:rsid w:val="0053736E"/>
    <w:rsid w:val="00537AE1"/>
    <w:rsid w:val="0054099B"/>
    <w:rsid w:val="00542317"/>
    <w:rsid w:val="005428C0"/>
    <w:rsid w:val="00543F69"/>
    <w:rsid w:val="0054793F"/>
    <w:rsid w:val="00547D34"/>
    <w:rsid w:val="00550C29"/>
    <w:rsid w:val="00551134"/>
    <w:rsid w:val="00551334"/>
    <w:rsid w:val="005519D0"/>
    <w:rsid w:val="00554C5D"/>
    <w:rsid w:val="00555023"/>
    <w:rsid w:val="005611DD"/>
    <w:rsid w:val="00561E1C"/>
    <w:rsid w:val="0056223A"/>
    <w:rsid w:val="0056239C"/>
    <w:rsid w:val="00562D19"/>
    <w:rsid w:val="00562F54"/>
    <w:rsid w:val="00564194"/>
    <w:rsid w:val="00566626"/>
    <w:rsid w:val="00567587"/>
    <w:rsid w:val="00572FF2"/>
    <w:rsid w:val="005734AA"/>
    <w:rsid w:val="00573C93"/>
    <w:rsid w:val="00574002"/>
    <w:rsid w:val="005754AD"/>
    <w:rsid w:val="0057575A"/>
    <w:rsid w:val="0057674F"/>
    <w:rsid w:val="00577D88"/>
    <w:rsid w:val="00577E41"/>
    <w:rsid w:val="00580835"/>
    <w:rsid w:val="00580842"/>
    <w:rsid w:val="00582167"/>
    <w:rsid w:val="005821BF"/>
    <w:rsid w:val="0058374D"/>
    <w:rsid w:val="00584203"/>
    <w:rsid w:val="005843FC"/>
    <w:rsid w:val="005844B9"/>
    <w:rsid w:val="0058489B"/>
    <w:rsid w:val="00587D17"/>
    <w:rsid w:val="005915DA"/>
    <w:rsid w:val="005932A3"/>
    <w:rsid w:val="00595676"/>
    <w:rsid w:val="00595B10"/>
    <w:rsid w:val="005960C9"/>
    <w:rsid w:val="0059726E"/>
    <w:rsid w:val="005A3FEF"/>
    <w:rsid w:val="005A549F"/>
    <w:rsid w:val="005A6A56"/>
    <w:rsid w:val="005A70E1"/>
    <w:rsid w:val="005B09BA"/>
    <w:rsid w:val="005B0C5F"/>
    <w:rsid w:val="005B0DFB"/>
    <w:rsid w:val="005B1E00"/>
    <w:rsid w:val="005B1FA8"/>
    <w:rsid w:val="005B6291"/>
    <w:rsid w:val="005C43D6"/>
    <w:rsid w:val="005C44F9"/>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BDD"/>
    <w:rsid w:val="005F4FE3"/>
    <w:rsid w:val="005F608E"/>
    <w:rsid w:val="005F70DB"/>
    <w:rsid w:val="00603275"/>
    <w:rsid w:val="00604ED8"/>
    <w:rsid w:val="00607841"/>
    <w:rsid w:val="006117DA"/>
    <w:rsid w:val="006120D1"/>
    <w:rsid w:val="00612B5F"/>
    <w:rsid w:val="0061584A"/>
    <w:rsid w:val="0062037E"/>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F48"/>
    <w:rsid w:val="00636C7D"/>
    <w:rsid w:val="00636D7D"/>
    <w:rsid w:val="0064307B"/>
    <w:rsid w:val="00643B3C"/>
    <w:rsid w:val="00644C0F"/>
    <w:rsid w:val="006450DC"/>
    <w:rsid w:val="00645C20"/>
    <w:rsid w:val="00652AAF"/>
    <w:rsid w:val="0065321B"/>
    <w:rsid w:val="00653704"/>
    <w:rsid w:val="0065491B"/>
    <w:rsid w:val="00656EFD"/>
    <w:rsid w:val="006574A9"/>
    <w:rsid w:val="00657F19"/>
    <w:rsid w:val="00660B5C"/>
    <w:rsid w:val="00661408"/>
    <w:rsid w:val="00661F75"/>
    <w:rsid w:val="006622BC"/>
    <w:rsid w:val="006630ED"/>
    <w:rsid w:val="006646AF"/>
    <w:rsid w:val="006647EB"/>
    <w:rsid w:val="006702D3"/>
    <w:rsid w:val="00677DE4"/>
    <w:rsid w:val="00681705"/>
    <w:rsid w:val="00681777"/>
    <w:rsid w:val="00681922"/>
    <w:rsid w:val="00683F90"/>
    <w:rsid w:val="00684E6B"/>
    <w:rsid w:val="00686150"/>
    <w:rsid w:val="0068652E"/>
    <w:rsid w:val="00686E49"/>
    <w:rsid w:val="00686FAE"/>
    <w:rsid w:val="00687A49"/>
    <w:rsid w:val="006915F4"/>
    <w:rsid w:val="0069281A"/>
    <w:rsid w:val="0069290B"/>
    <w:rsid w:val="00692CA8"/>
    <w:rsid w:val="00695531"/>
    <w:rsid w:val="006960B9"/>
    <w:rsid w:val="00697561"/>
    <w:rsid w:val="00697B76"/>
    <w:rsid w:val="006A0586"/>
    <w:rsid w:val="006A1206"/>
    <w:rsid w:val="006A1615"/>
    <w:rsid w:val="006A34C8"/>
    <w:rsid w:val="006B4078"/>
    <w:rsid w:val="006B431F"/>
    <w:rsid w:val="006B459F"/>
    <w:rsid w:val="006B4DC5"/>
    <w:rsid w:val="006B576D"/>
    <w:rsid w:val="006B6344"/>
    <w:rsid w:val="006B6357"/>
    <w:rsid w:val="006B65FA"/>
    <w:rsid w:val="006B6692"/>
    <w:rsid w:val="006B676D"/>
    <w:rsid w:val="006B76BC"/>
    <w:rsid w:val="006C0F0E"/>
    <w:rsid w:val="006C22D8"/>
    <w:rsid w:val="006C3006"/>
    <w:rsid w:val="006C590B"/>
    <w:rsid w:val="006C5E1E"/>
    <w:rsid w:val="006C7F34"/>
    <w:rsid w:val="006D36C1"/>
    <w:rsid w:val="006D43B5"/>
    <w:rsid w:val="006D4CC9"/>
    <w:rsid w:val="006D7948"/>
    <w:rsid w:val="006D7A73"/>
    <w:rsid w:val="006D7D42"/>
    <w:rsid w:val="006E0169"/>
    <w:rsid w:val="006E1D2A"/>
    <w:rsid w:val="006E37CF"/>
    <w:rsid w:val="006E7123"/>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1BD"/>
    <w:rsid w:val="00712C0F"/>
    <w:rsid w:val="00713A69"/>
    <w:rsid w:val="00713C65"/>
    <w:rsid w:val="00714ED2"/>
    <w:rsid w:val="007155DC"/>
    <w:rsid w:val="007161E7"/>
    <w:rsid w:val="00721928"/>
    <w:rsid w:val="00722617"/>
    <w:rsid w:val="0072333C"/>
    <w:rsid w:val="00723556"/>
    <w:rsid w:val="007257E0"/>
    <w:rsid w:val="00727014"/>
    <w:rsid w:val="00727965"/>
    <w:rsid w:val="00727DD8"/>
    <w:rsid w:val="00731346"/>
    <w:rsid w:val="007328A4"/>
    <w:rsid w:val="00733C03"/>
    <w:rsid w:val="0073414A"/>
    <w:rsid w:val="00735B5B"/>
    <w:rsid w:val="0073648C"/>
    <w:rsid w:val="00740706"/>
    <w:rsid w:val="00741836"/>
    <w:rsid w:val="00741DDF"/>
    <w:rsid w:val="00742634"/>
    <w:rsid w:val="007426D8"/>
    <w:rsid w:val="00743501"/>
    <w:rsid w:val="0074598A"/>
    <w:rsid w:val="0074685C"/>
    <w:rsid w:val="007470BF"/>
    <w:rsid w:val="00747BF0"/>
    <w:rsid w:val="007510E6"/>
    <w:rsid w:val="007531E8"/>
    <w:rsid w:val="0075378D"/>
    <w:rsid w:val="00753A33"/>
    <w:rsid w:val="007541BB"/>
    <w:rsid w:val="00764F51"/>
    <w:rsid w:val="00765DB7"/>
    <w:rsid w:val="0076671A"/>
    <w:rsid w:val="00771849"/>
    <w:rsid w:val="007743D8"/>
    <w:rsid w:val="007761E1"/>
    <w:rsid w:val="007766EA"/>
    <w:rsid w:val="0077794C"/>
    <w:rsid w:val="00785157"/>
    <w:rsid w:val="00785839"/>
    <w:rsid w:val="00786A71"/>
    <w:rsid w:val="00790B29"/>
    <w:rsid w:val="00791077"/>
    <w:rsid w:val="00791732"/>
    <w:rsid w:val="00791C94"/>
    <w:rsid w:val="00793456"/>
    <w:rsid w:val="0079558B"/>
    <w:rsid w:val="007960EE"/>
    <w:rsid w:val="007A0E51"/>
    <w:rsid w:val="007A32BB"/>
    <w:rsid w:val="007A406B"/>
    <w:rsid w:val="007A4CDE"/>
    <w:rsid w:val="007A55F9"/>
    <w:rsid w:val="007A7269"/>
    <w:rsid w:val="007B248F"/>
    <w:rsid w:val="007B3933"/>
    <w:rsid w:val="007B3E6D"/>
    <w:rsid w:val="007B4360"/>
    <w:rsid w:val="007B4988"/>
    <w:rsid w:val="007B5B12"/>
    <w:rsid w:val="007B5C08"/>
    <w:rsid w:val="007B694F"/>
    <w:rsid w:val="007B6A58"/>
    <w:rsid w:val="007B7789"/>
    <w:rsid w:val="007C47E1"/>
    <w:rsid w:val="007D197D"/>
    <w:rsid w:val="007D22FB"/>
    <w:rsid w:val="007D242C"/>
    <w:rsid w:val="007D24D4"/>
    <w:rsid w:val="007D39A4"/>
    <w:rsid w:val="007D65E9"/>
    <w:rsid w:val="007D662C"/>
    <w:rsid w:val="007E1601"/>
    <w:rsid w:val="007E1D95"/>
    <w:rsid w:val="007E2843"/>
    <w:rsid w:val="007E380E"/>
    <w:rsid w:val="007E4B5C"/>
    <w:rsid w:val="007E67D2"/>
    <w:rsid w:val="007E77B4"/>
    <w:rsid w:val="007F00B1"/>
    <w:rsid w:val="007F0C78"/>
    <w:rsid w:val="007F36CA"/>
    <w:rsid w:val="007F5570"/>
    <w:rsid w:val="007F66BB"/>
    <w:rsid w:val="0080145E"/>
    <w:rsid w:val="00803CE2"/>
    <w:rsid w:val="00806493"/>
    <w:rsid w:val="008071AA"/>
    <w:rsid w:val="00807F85"/>
    <w:rsid w:val="008106B8"/>
    <w:rsid w:val="008128ED"/>
    <w:rsid w:val="0081390E"/>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EC7"/>
    <w:rsid w:val="00840EC8"/>
    <w:rsid w:val="00841AA4"/>
    <w:rsid w:val="00843E07"/>
    <w:rsid w:val="00843F26"/>
    <w:rsid w:val="008452BB"/>
    <w:rsid w:val="008457BB"/>
    <w:rsid w:val="00845C08"/>
    <w:rsid w:val="0085239B"/>
    <w:rsid w:val="00853C21"/>
    <w:rsid w:val="00853FAB"/>
    <w:rsid w:val="0085740D"/>
    <w:rsid w:val="00860BCE"/>
    <w:rsid w:val="00862062"/>
    <w:rsid w:val="00863014"/>
    <w:rsid w:val="008640AB"/>
    <w:rsid w:val="008652D4"/>
    <w:rsid w:val="008654BB"/>
    <w:rsid w:val="0086575B"/>
    <w:rsid w:val="00866AC6"/>
    <w:rsid w:val="00867D1D"/>
    <w:rsid w:val="00871A6B"/>
    <w:rsid w:val="008722F6"/>
    <w:rsid w:val="00872B1B"/>
    <w:rsid w:val="0087320E"/>
    <w:rsid w:val="00873C64"/>
    <w:rsid w:val="00876066"/>
    <w:rsid w:val="00876AF9"/>
    <w:rsid w:val="00876C04"/>
    <w:rsid w:val="00876D8C"/>
    <w:rsid w:val="00877516"/>
    <w:rsid w:val="00880AC6"/>
    <w:rsid w:val="00882474"/>
    <w:rsid w:val="008836BC"/>
    <w:rsid w:val="00884029"/>
    <w:rsid w:val="0088460F"/>
    <w:rsid w:val="00884940"/>
    <w:rsid w:val="00885998"/>
    <w:rsid w:val="00886DD0"/>
    <w:rsid w:val="00891191"/>
    <w:rsid w:val="00894735"/>
    <w:rsid w:val="00895B69"/>
    <w:rsid w:val="00896241"/>
    <w:rsid w:val="0089657F"/>
    <w:rsid w:val="00896FE0"/>
    <w:rsid w:val="008A0C66"/>
    <w:rsid w:val="008A2A09"/>
    <w:rsid w:val="008A2A7F"/>
    <w:rsid w:val="008A6760"/>
    <w:rsid w:val="008A6BB5"/>
    <w:rsid w:val="008B1CED"/>
    <w:rsid w:val="008B215E"/>
    <w:rsid w:val="008B6215"/>
    <w:rsid w:val="008B79D1"/>
    <w:rsid w:val="008B7A00"/>
    <w:rsid w:val="008B7F4E"/>
    <w:rsid w:val="008C05D5"/>
    <w:rsid w:val="008C1838"/>
    <w:rsid w:val="008C2392"/>
    <w:rsid w:val="008C36BC"/>
    <w:rsid w:val="008C4375"/>
    <w:rsid w:val="008C446C"/>
    <w:rsid w:val="008C5C63"/>
    <w:rsid w:val="008D044F"/>
    <w:rsid w:val="008D0D02"/>
    <w:rsid w:val="008D30E1"/>
    <w:rsid w:val="008D456E"/>
    <w:rsid w:val="008D65CA"/>
    <w:rsid w:val="008D7161"/>
    <w:rsid w:val="008D726A"/>
    <w:rsid w:val="008D747E"/>
    <w:rsid w:val="008E0C0B"/>
    <w:rsid w:val="008E0FBA"/>
    <w:rsid w:val="008E3DE3"/>
    <w:rsid w:val="008E650B"/>
    <w:rsid w:val="008E73E8"/>
    <w:rsid w:val="008E7715"/>
    <w:rsid w:val="008E7835"/>
    <w:rsid w:val="008E7CDC"/>
    <w:rsid w:val="008E7F60"/>
    <w:rsid w:val="008F0384"/>
    <w:rsid w:val="008F090C"/>
    <w:rsid w:val="008F17AB"/>
    <w:rsid w:val="008F4123"/>
    <w:rsid w:val="008F44F7"/>
    <w:rsid w:val="008F5FB1"/>
    <w:rsid w:val="008F7343"/>
    <w:rsid w:val="009051DF"/>
    <w:rsid w:val="00905570"/>
    <w:rsid w:val="00906576"/>
    <w:rsid w:val="00907D02"/>
    <w:rsid w:val="00910952"/>
    <w:rsid w:val="0091273A"/>
    <w:rsid w:val="00914094"/>
    <w:rsid w:val="009145C0"/>
    <w:rsid w:val="009202F4"/>
    <w:rsid w:val="00921DF7"/>
    <w:rsid w:val="00921E21"/>
    <w:rsid w:val="0092426D"/>
    <w:rsid w:val="00925A89"/>
    <w:rsid w:val="00926925"/>
    <w:rsid w:val="0093009C"/>
    <w:rsid w:val="00930143"/>
    <w:rsid w:val="0093031F"/>
    <w:rsid w:val="00930967"/>
    <w:rsid w:val="00930A74"/>
    <w:rsid w:val="009314D7"/>
    <w:rsid w:val="00933EBD"/>
    <w:rsid w:val="00934DDF"/>
    <w:rsid w:val="0093534C"/>
    <w:rsid w:val="009365E3"/>
    <w:rsid w:val="00936A1D"/>
    <w:rsid w:val="00937682"/>
    <w:rsid w:val="0094033F"/>
    <w:rsid w:val="00941EFB"/>
    <w:rsid w:val="00942D09"/>
    <w:rsid w:val="009432A0"/>
    <w:rsid w:val="009461D0"/>
    <w:rsid w:val="00947401"/>
    <w:rsid w:val="00947635"/>
    <w:rsid w:val="00950C15"/>
    <w:rsid w:val="00952E09"/>
    <w:rsid w:val="00952FE8"/>
    <w:rsid w:val="00953DE5"/>
    <w:rsid w:val="009606B3"/>
    <w:rsid w:val="009607A6"/>
    <w:rsid w:val="00964480"/>
    <w:rsid w:val="009654AE"/>
    <w:rsid w:val="00965A40"/>
    <w:rsid w:val="00966E44"/>
    <w:rsid w:val="00967D01"/>
    <w:rsid w:val="0097093C"/>
    <w:rsid w:val="0097244C"/>
    <w:rsid w:val="009729B0"/>
    <w:rsid w:val="0097376F"/>
    <w:rsid w:val="009753D8"/>
    <w:rsid w:val="00975BA1"/>
    <w:rsid w:val="00976316"/>
    <w:rsid w:val="009771A8"/>
    <w:rsid w:val="00977877"/>
    <w:rsid w:val="009809BF"/>
    <w:rsid w:val="00981E8B"/>
    <w:rsid w:val="00982936"/>
    <w:rsid w:val="009833EE"/>
    <w:rsid w:val="00984683"/>
    <w:rsid w:val="00984962"/>
    <w:rsid w:val="009963E0"/>
    <w:rsid w:val="009974F1"/>
    <w:rsid w:val="00997E2D"/>
    <w:rsid w:val="009A200C"/>
    <w:rsid w:val="009A3272"/>
    <w:rsid w:val="009A3F1F"/>
    <w:rsid w:val="009A40CE"/>
    <w:rsid w:val="009A43A0"/>
    <w:rsid w:val="009A45F3"/>
    <w:rsid w:val="009A729B"/>
    <w:rsid w:val="009A7DEC"/>
    <w:rsid w:val="009B1884"/>
    <w:rsid w:val="009B2B47"/>
    <w:rsid w:val="009B3EDE"/>
    <w:rsid w:val="009B407A"/>
    <w:rsid w:val="009B58C5"/>
    <w:rsid w:val="009C1965"/>
    <w:rsid w:val="009C21B7"/>
    <w:rsid w:val="009C377C"/>
    <w:rsid w:val="009C3E9B"/>
    <w:rsid w:val="009C560A"/>
    <w:rsid w:val="009C5B36"/>
    <w:rsid w:val="009C672E"/>
    <w:rsid w:val="009C6D5B"/>
    <w:rsid w:val="009C710B"/>
    <w:rsid w:val="009C71E2"/>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23E9"/>
    <w:rsid w:val="00A02FE7"/>
    <w:rsid w:val="00A03E0F"/>
    <w:rsid w:val="00A055C3"/>
    <w:rsid w:val="00A07C3E"/>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C85"/>
    <w:rsid w:val="00A34E21"/>
    <w:rsid w:val="00A34E4C"/>
    <w:rsid w:val="00A35FB8"/>
    <w:rsid w:val="00A403F9"/>
    <w:rsid w:val="00A40585"/>
    <w:rsid w:val="00A424E3"/>
    <w:rsid w:val="00A42D6D"/>
    <w:rsid w:val="00A432A4"/>
    <w:rsid w:val="00A441D3"/>
    <w:rsid w:val="00A468FE"/>
    <w:rsid w:val="00A510E7"/>
    <w:rsid w:val="00A51885"/>
    <w:rsid w:val="00A52F44"/>
    <w:rsid w:val="00A55113"/>
    <w:rsid w:val="00A5604C"/>
    <w:rsid w:val="00A561E7"/>
    <w:rsid w:val="00A57DCE"/>
    <w:rsid w:val="00A60919"/>
    <w:rsid w:val="00A6263B"/>
    <w:rsid w:val="00A62F8F"/>
    <w:rsid w:val="00A644CA"/>
    <w:rsid w:val="00A66C8D"/>
    <w:rsid w:val="00A67416"/>
    <w:rsid w:val="00A67E45"/>
    <w:rsid w:val="00A7291A"/>
    <w:rsid w:val="00A731A1"/>
    <w:rsid w:val="00A73377"/>
    <w:rsid w:val="00A73966"/>
    <w:rsid w:val="00A74008"/>
    <w:rsid w:val="00A742AB"/>
    <w:rsid w:val="00A74846"/>
    <w:rsid w:val="00A766E6"/>
    <w:rsid w:val="00A80202"/>
    <w:rsid w:val="00A81947"/>
    <w:rsid w:val="00A82618"/>
    <w:rsid w:val="00A83E83"/>
    <w:rsid w:val="00A8414D"/>
    <w:rsid w:val="00A84B8F"/>
    <w:rsid w:val="00A852D0"/>
    <w:rsid w:val="00A864CA"/>
    <w:rsid w:val="00A90468"/>
    <w:rsid w:val="00A910A7"/>
    <w:rsid w:val="00A92CF2"/>
    <w:rsid w:val="00A93669"/>
    <w:rsid w:val="00A937F2"/>
    <w:rsid w:val="00A93F9B"/>
    <w:rsid w:val="00A940F8"/>
    <w:rsid w:val="00A94485"/>
    <w:rsid w:val="00A9495E"/>
    <w:rsid w:val="00A94A51"/>
    <w:rsid w:val="00A94E41"/>
    <w:rsid w:val="00A9598D"/>
    <w:rsid w:val="00AA091A"/>
    <w:rsid w:val="00AA22DA"/>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5392"/>
    <w:rsid w:val="00AC6BB4"/>
    <w:rsid w:val="00AC73DD"/>
    <w:rsid w:val="00AC7784"/>
    <w:rsid w:val="00AD1352"/>
    <w:rsid w:val="00AD1BAF"/>
    <w:rsid w:val="00AD268B"/>
    <w:rsid w:val="00AD41A5"/>
    <w:rsid w:val="00AD4814"/>
    <w:rsid w:val="00AD7E46"/>
    <w:rsid w:val="00AE20D5"/>
    <w:rsid w:val="00AE2C9B"/>
    <w:rsid w:val="00AE32C9"/>
    <w:rsid w:val="00AE47F9"/>
    <w:rsid w:val="00AE482F"/>
    <w:rsid w:val="00AE489E"/>
    <w:rsid w:val="00AE4DC3"/>
    <w:rsid w:val="00AE50E7"/>
    <w:rsid w:val="00AE6A6A"/>
    <w:rsid w:val="00AE7845"/>
    <w:rsid w:val="00AE7D84"/>
    <w:rsid w:val="00AF02BA"/>
    <w:rsid w:val="00AF250C"/>
    <w:rsid w:val="00AF29A6"/>
    <w:rsid w:val="00AF2DDB"/>
    <w:rsid w:val="00AF4D0E"/>
    <w:rsid w:val="00AF53C0"/>
    <w:rsid w:val="00AF5889"/>
    <w:rsid w:val="00AF6813"/>
    <w:rsid w:val="00AF743A"/>
    <w:rsid w:val="00B00D3E"/>
    <w:rsid w:val="00B00EAA"/>
    <w:rsid w:val="00B032EC"/>
    <w:rsid w:val="00B035E5"/>
    <w:rsid w:val="00B04025"/>
    <w:rsid w:val="00B04668"/>
    <w:rsid w:val="00B04C07"/>
    <w:rsid w:val="00B04C28"/>
    <w:rsid w:val="00B057A5"/>
    <w:rsid w:val="00B06714"/>
    <w:rsid w:val="00B07BAF"/>
    <w:rsid w:val="00B12E69"/>
    <w:rsid w:val="00B142F7"/>
    <w:rsid w:val="00B14411"/>
    <w:rsid w:val="00B149DE"/>
    <w:rsid w:val="00B14AE5"/>
    <w:rsid w:val="00B1523F"/>
    <w:rsid w:val="00B22C5C"/>
    <w:rsid w:val="00B25827"/>
    <w:rsid w:val="00B314E9"/>
    <w:rsid w:val="00B342AA"/>
    <w:rsid w:val="00B40183"/>
    <w:rsid w:val="00B40522"/>
    <w:rsid w:val="00B4096D"/>
    <w:rsid w:val="00B40A6D"/>
    <w:rsid w:val="00B41B4B"/>
    <w:rsid w:val="00B41F6A"/>
    <w:rsid w:val="00B427BB"/>
    <w:rsid w:val="00B44B11"/>
    <w:rsid w:val="00B44F75"/>
    <w:rsid w:val="00B45CA6"/>
    <w:rsid w:val="00B47073"/>
    <w:rsid w:val="00B52A5C"/>
    <w:rsid w:val="00B52C41"/>
    <w:rsid w:val="00B5337E"/>
    <w:rsid w:val="00B5386D"/>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6205"/>
    <w:rsid w:val="00B867A8"/>
    <w:rsid w:val="00B86E2C"/>
    <w:rsid w:val="00B92109"/>
    <w:rsid w:val="00B92E47"/>
    <w:rsid w:val="00B95561"/>
    <w:rsid w:val="00B973FB"/>
    <w:rsid w:val="00B975DE"/>
    <w:rsid w:val="00B9770F"/>
    <w:rsid w:val="00BA01D7"/>
    <w:rsid w:val="00BA1FC1"/>
    <w:rsid w:val="00BA2635"/>
    <w:rsid w:val="00BA30AA"/>
    <w:rsid w:val="00BA3E2B"/>
    <w:rsid w:val="00BA6326"/>
    <w:rsid w:val="00BB3A78"/>
    <w:rsid w:val="00BB54D0"/>
    <w:rsid w:val="00BB59C6"/>
    <w:rsid w:val="00BB5CE6"/>
    <w:rsid w:val="00BB6547"/>
    <w:rsid w:val="00BB79C7"/>
    <w:rsid w:val="00BC01DA"/>
    <w:rsid w:val="00BC06F0"/>
    <w:rsid w:val="00BC43A5"/>
    <w:rsid w:val="00BC6226"/>
    <w:rsid w:val="00BC6375"/>
    <w:rsid w:val="00BC7A58"/>
    <w:rsid w:val="00BD0188"/>
    <w:rsid w:val="00BD0C9A"/>
    <w:rsid w:val="00BD41BD"/>
    <w:rsid w:val="00BD5475"/>
    <w:rsid w:val="00BD6B48"/>
    <w:rsid w:val="00BE147F"/>
    <w:rsid w:val="00BE1A3F"/>
    <w:rsid w:val="00BE2A90"/>
    <w:rsid w:val="00BF09FB"/>
    <w:rsid w:val="00BF0CFC"/>
    <w:rsid w:val="00BF2962"/>
    <w:rsid w:val="00BF4A72"/>
    <w:rsid w:val="00BF5DE2"/>
    <w:rsid w:val="00BF6F7B"/>
    <w:rsid w:val="00C01118"/>
    <w:rsid w:val="00C02C23"/>
    <w:rsid w:val="00C02FBB"/>
    <w:rsid w:val="00C045B5"/>
    <w:rsid w:val="00C05727"/>
    <w:rsid w:val="00C06903"/>
    <w:rsid w:val="00C0752F"/>
    <w:rsid w:val="00C07E72"/>
    <w:rsid w:val="00C106F1"/>
    <w:rsid w:val="00C1236E"/>
    <w:rsid w:val="00C17D4D"/>
    <w:rsid w:val="00C17F96"/>
    <w:rsid w:val="00C20965"/>
    <w:rsid w:val="00C21B08"/>
    <w:rsid w:val="00C21E18"/>
    <w:rsid w:val="00C2331F"/>
    <w:rsid w:val="00C2340A"/>
    <w:rsid w:val="00C2476D"/>
    <w:rsid w:val="00C25556"/>
    <w:rsid w:val="00C25ADA"/>
    <w:rsid w:val="00C25E59"/>
    <w:rsid w:val="00C273C3"/>
    <w:rsid w:val="00C30DA6"/>
    <w:rsid w:val="00C30F99"/>
    <w:rsid w:val="00C31118"/>
    <w:rsid w:val="00C34535"/>
    <w:rsid w:val="00C34E05"/>
    <w:rsid w:val="00C37682"/>
    <w:rsid w:val="00C401B5"/>
    <w:rsid w:val="00C423AB"/>
    <w:rsid w:val="00C43B63"/>
    <w:rsid w:val="00C448AA"/>
    <w:rsid w:val="00C45F64"/>
    <w:rsid w:val="00C46A75"/>
    <w:rsid w:val="00C506A8"/>
    <w:rsid w:val="00C53AFD"/>
    <w:rsid w:val="00C55EEA"/>
    <w:rsid w:val="00C56BA3"/>
    <w:rsid w:val="00C576ED"/>
    <w:rsid w:val="00C61570"/>
    <w:rsid w:val="00C63C49"/>
    <w:rsid w:val="00C703EB"/>
    <w:rsid w:val="00C71B70"/>
    <w:rsid w:val="00C722B1"/>
    <w:rsid w:val="00C73145"/>
    <w:rsid w:val="00C7501A"/>
    <w:rsid w:val="00C7759C"/>
    <w:rsid w:val="00C80CED"/>
    <w:rsid w:val="00C837DD"/>
    <w:rsid w:val="00C87660"/>
    <w:rsid w:val="00C90866"/>
    <w:rsid w:val="00C90DFB"/>
    <w:rsid w:val="00C926EC"/>
    <w:rsid w:val="00C96A91"/>
    <w:rsid w:val="00CA1160"/>
    <w:rsid w:val="00CA3ED0"/>
    <w:rsid w:val="00CA5A6D"/>
    <w:rsid w:val="00CA6EE7"/>
    <w:rsid w:val="00CA6EF2"/>
    <w:rsid w:val="00CA7671"/>
    <w:rsid w:val="00CB03D8"/>
    <w:rsid w:val="00CB0423"/>
    <w:rsid w:val="00CB3B6B"/>
    <w:rsid w:val="00CB4B9A"/>
    <w:rsid w:val="00CB5F3F"/>
    <w:rsid w:val="00CB60D7"/>
    <w:rsid w:val="00CB753F"/>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6F3C"/>
    <w:rsid w:val="00D11C59"/>
    <w:rsid w:val="00D13E79"/>
    <w:rsid w:val="00D14959"/>
    <w:rsid w:val="00D14BDC"/>
    <w:rsid w:val="00D14C5A"/>
    <w:rsid w:val="00D14F80"/>
    <w:rsid w:val="00D1550A"/>
    <w:rsid w:val="00D16540"/>
    <w:rsid w:val="00D214D6"/>
    <w:rsid w:val="00D23B0D"/>
    <w:rsid w:val="00D2540C"/>
    <w:rsid w:val="00D27B93"/>
    <w:rsid w:val="00D30006"/>
    <w:rsid w:val="00D3265A"/>
    <w:rsid w:val="00D3455C"/>
    <w:rsid w:val="00D36EAF"/>
    <w:rsid w:val="00D40CC4"/>
    <w:rsid w:val="00D40F26"/>
    <w:rsid w:val="00D43FB6"/>
    <w:rsid w:val="00D4549A"/>
    <w:rsid w:val="00D45590"/>
    <w:rsid w:val="00D52680"/>
    <w:rsid w:val="00D53451"/>
    <w:rsid w:val="00D56B8F"/>
    <w:rsid w:val="00D61922"/>
    <w:rsid w:val="00D6258F"/>
    <w:rsid w:val="00D6569A"/>
    <w:rsid w:val="00D73A64"/>
    <w:rsid w:val="00D74905"/>
    <w:rsid w:val="00D74D3E"/>
    <w:rsid w:val="00D774CF"/>
    <w:rsid w:val="00D8277F"/>
    <w:rsid w:val="00D83BBB"/>
    <w:rsid w:val="00D83BD3"/>
    <w:rsid w:val="00D84083"/>
    <w:rsid w:val="00D87DB9"/>
    <w:rsid w:val="00D91558"/>
    <w:rsid w:val="00D91BB7"/>
    <w:rsid w:val="00D922AF"/>
    <w:rsid w:val="00D94406"/>
    <w:rsid w:val="00D94863"/>
    <w:rsid w:val="00D94D8F"/>
    <w:rsid w:val="00D95814"/>
    <w:rsid w:val="00D95DF3"/>
    <w:rsid w:val="00D970EA"/>
    <w:rsid w:val="00D97708"/>
    <w:rsid w:val="00D97C8E"/>
    <w:rsid w:val="00DA1BB6"/>
    <w:rsid w:val="00DA2916"/>
    <w:rsid w:val="00DA394E"/>
    <w:rsid w:val="00DA646A"/>
    <w:rsid w:val="00DA6632"/>
    <w:rsid w:val="00DA6660"/>
    <w:rsid w:val="00DA69AE"/>
    <w:rsid w:val="00DA770A"/>
    <w:rsid w:val="00DA7D1E"/>
    <w:rsid w:val="00DB0D21"/>
    <w:rsid w:val="00DB28D3"/>
    <w:rsid w:val="00DB2AE3"/>
    <w:rsid w:val="00DB3A7C"/>
    <w:rsid w:val="00DB4D5C"/>
    <w:rsid w:val="00DB4E76"/>
    <w:rsid w:val="00DB6783"/>
    <w:rsid w:val="00DB6FFB"/>
    <w:rsid w:val="00DC00C4"/>
    <w:rsid w:val="00DC1FB0"/>
    <w:rsid w:val="00DC3FEE"/>
    <w:rsid w:val="00DC4439"/>
    <w:rsid w:val="00DC52B8"/>
    <w:rsid w:val="00DD25FD"/>
    <w:rsid w:val="00DD342B"/>
    <w:rsid w:val="00DD44D8"/>
    <w:rsid w:val="00DD44EB"/>
    <w:rsid w:val="00DD477E"/>
    <w:rsid w:val="00DD4D90"/>
    <w:rsid w:val="00DD5D16"/>
    <w:rsid w:val="00DE19EC"/>
    <w:rsid w:val="00DE2270"/>
    <w:rsid w:val="00DE5720"/>
    <w:rsid w:val="00DE599B"/>
    <w:rsid w:val="00DE5BBB"/>
    <w:rsid w:val="00DE7CC2"/>
    <w:rsid w:val="00DF0887"/>
    <w:rsid w:val="00DF0AA5"/>
    <w:rsid w:val="00DF3953"/>
    <w:rsid w:val="00DF4947"/>
    <w:rsid w:val="00DF4EB9"/>
    <w:rsid w:val="00E01265"/>
    <w:rsid w:val="00E02FE0"/>
    <w:rsid w:val="00E0360B"/>
    <w:rsid w:val="00E07FB0"/>
    <w:rsid w:val="00E115BE"/>
    <w:rsid w:val="00E1233A"/>
    <w:rsid w:val="00E125B8"/>
    <w:rsid w:val="00E13050"/>
    <w:rsid w:val="00E145D5"/>
    <w:rsid w:val="00E1466B"/>
    <w:rsid w:val="00E152D6"/>
    <w:rsid w:val="00E15D4A"/>
    <w:rsid w:val="00E17689"/>
    <w:rsid w:val="00E20144"/>
    <w:rsid w:val="00E23289"/>
    <w:rsid w:val="00E23E4B"/>
    <w:rsid w:val="00E25E5D"/>
    <w:rsid w:val="00E25ED1"/>
    <w:rsid w:val="00E2793F"/>
    <w:rsid w:val="00E34D15"/>
    <w:rsid w:val="00E35A23"/>
    <w:rsid w:val="00E36390"/>
    <w:rsid w:val="00E36E3A"/>
    <w:rsid w:val="00E37CC8"/>
    <w:rsid w:val="00E40600"/>
    <w:rsid w:val="00E410D5"/>
    <w:rsid w:val="00E41548"/>
    <w:rsid w:val="00E43E6B"/>
    <w:rsid w:val="00E44BC2"/>
    <w:rsid w:val="00E44E50"/>
    <w:rsid w:val="00E44EC1"/>
    <w:rsid w:val="00E455E6"/>
    <w:rsid w:val="00E51F91"/>
    <w:rsid w:val="00E52A65"/>
    <w:rsid w:val="00E538C3"/>
    <w:rsid w:val="00E54E33"/>
    <w:rsid w:val="00E562D6"/>
    <w:rsid w:val="00E5670D"/>
    <w:rsid w:val="00E61737"/>
    <w:rsid w:val="00E67AD2"/>
    <w:rsid w:val="00E70ACB"/>
    <w:rsid w:val="00E7135B"/>
    <w:rsid w:val="00E7626B"/>
    <w:rsid w:val="00E76F58"/>
    <w:rsid w:val="00E8145C"/>
    <w:rsid w:val="00E81CCE"/>
    <w:rsid w:val="00E82053"/>
    <w:rsid w:val="00E84753"/>
    <w:rsid w:val="00E849C1"/>
    <w:rsid w:val="00E864FB"/>
    <w:rsid w:val="00E866F1"/>
    <w:rsid w:val="00E90B27"/>
    <w:rsid w:val="00E913FD"/>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C269B"/>
    <w:rsid w:val="00EC36E3"/>
    <w:rsid w:val="00EC49B6"/>
    <w:rsid w:val="00EC5F51"/>
    <w:rsid w:val="00EC7338"/>
    <w:rsid w:val="00EC7603"/>
    <w:rsid w:val="00ED1443"/>
    <w:rsid w:val="00ED1D19"/>
    <w:rsid w:val="00ED38A7"/>
    <w:rsid w:val="00ED3CA2"/>
    <w:rsid w:val="00ED47EB"/>
    <w:rsid w:val="00ED6A7A"/>
    <w:rsid w:val="00EE08DA"/>
    <w:rsid w:val="00EE149C"/>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78EF"/>
    <w:rsid w:val="00F002AD"/>
    <w:rsid w:val="00F02181"/>
    <w:rsid w:val="00F03766"/>
    <w:rsid w:val="00F04A3B"/>
    <w:rsid w:val="00F07F6D"/>
    <w:rsid w:val="00F1125C"/>
    <w:rsid w:val="00F11409"/>
    <w:rsid w:val="00F11EAE"/>
    <w:rsid w:val="00F13485"/>
    <w:rsid w:val="00F146AA"/>
    <w:rsid w:val="00F147BD"/>
    <w:rsid w:val="00F14BC2"/>
    <w:rsid w:val="00F1612A"/>
    <w:rsid w:val="00F17CC8"/>
    <w:rsid w:val="00F2022D"/>
    <w:rsid w:val="00F20C04"/>
    <w:rsid w:val="00F22376"/>
    <w:rsid w:val="00F230D0"/>
    <w:rsid w:val="00F245E7"/>
    <w:rsid w:val="00F31E2F"/>
    <w:rsid w:val="00F323D9"/>
    <w:rsid w:val="00F3286C"/>
    <w:rsid w:val="00F342D0"/>
    <w:rsid w:val="00F3500C"/>
    <w:rsid w:val="00F35AC6"/>
    <w:rsid w:val="00F40816"/>
    <w:rsid w:val="00F40A20"/>
    <w:rsid w:val="00F46462"/>
    <w:rsid w:val="00F47184"/>
    <w:rsid w:val="00F47A26"/>
    <w:rsid w:val="00F50833"/>
    <w:rsid w:val="00F5159A"/>
    <w:rsid w:val="00F51B1F"/>
    <w:rsid w:val="00F52860"/>
    <w:rsid w:val="00F53385"/>
    <w:rsid w:val="00F53BC5"/>
    <w:rsid w:val="00F57C8F"/>
    <w:rsid w:val="00F600C8"/>
    <w:rsid w:val="00F61CC1"/>
    <w:rsid w:val="00F62AD9"/>
    <w:rsid w:val="00F63071"/>
    <w:rsid w:val="00F637B4"/>
    <w:rsid w:val="00F6495F"/>
    <w:rsid w:val="00F6567C"/>
    <w:rsid w:val="00F66592"/>
    <w:rsid w:val="00F66766"/>
    <w:rsid w:val="00F66E0D"/>
    <w:rsid w:val="00F66EB7"/>
    <w:rsid w:val="00F676D4"/>
    <w:rsid w:val="00F701C5"/>
    <w:rsid w:val="00F70AAE"/>
    <w:rsid w:val="00F716BA"/>
    <w:rsid w:val="00F71BB4"/>
    <w:rsid w:val="00F73A9A"/>
    <w:rsid w:val="00F7436C"/>
    <w:rsid w:val="00F7683F"/>
    <w:rsid w:val="00F772E3"/>
    <w:rsid w:val="00F77903"/>
    <w:rsid w:val="00F77BB2"/>
    <w:rsid w:val="00F80349"/>
    <w:rsid w:val="00F8042C"/>
    <w:rsid w:val="00F81E05"/>
    <w:rsid w:val="00F8340D"/>
    <w:rsid w:val="00F844EB"/>
    <w:rsid w:val="00F84B82"/>
    <w:rsid w:val="00F85524"/>
    <w:rsid w:val="00F856AA"/>
    <w:rsid w:val="00F85E04"/>
    <w:rsid w:val="00F9017E"/>
    <w:rsid w:val="00F908D4"/>
    <w:rsid w:val="00F922AD"/>
    <w:rsid w:val="00F93212"/>
    <w:rsid w:val="00F93DD1"/>
    <w:rsid w:val="00F96B5B"/>
    <w:rsid w:val="00F97A80"/>
    <w:rsid w:val="00F97DD5"/>
    <w:rsid w:val="00FA0E19"/>
    <w:rsid w:val="00FA104C"/>
    <w:rsid w:val="00FA1AC5"/>
    <w:rsid w:val="00FA3E98"/>
    <w:rsid w:val="00FA791C"/>
    <w:rsid w:val="00FB1089"/>
    <w:rsid w:val="00FB2539"/>
    <w:rsid w:val="00FB343A"/>
    <w:rsid w:val="00FB5B5C"/>
    <w:rsid w:val="00FC189C"/>
    <w:rsid w:val="00FC20AE"/>
    <w:rsid w:val="00FD04BF"/>
    <w:rsid w:val="00FD1B9B"/>
    <w:rsid w:val="00FD26EF"/>
    <w:rsid w:val="00FD2CB6"/>
    <w:rsid w:val="00FD33E3"/>
    <w:rsid w:val="00FD6593"/>
    <w:rsid w:val="00FD73DE"/>
    <w:rsid w:val="00FE1841"/>
    <w:rsid w:val="00FE1A45"/>
    <w:rsid w:val="00FE2EA9"/>
    <w:rsid w:val="00FE44F1"/>
    <w:rsid w:val="00FE5782"/>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FF3B-6B3C-49D7-9803-D6432E12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19</Pages>
  <Words>4435</Words>
  <Characters>23640</Characters>
  <Application>Microsoft Office Word</Application>
  <DocSecurity>0</DocSecurity>
  <Lines>328</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924</cp:revision>
  <dcterms:created xsi:type="dcterms:W3CDTF">2019-01-10T13:54:00Z</dcterms:created>
  <dcterms:modified xsi:type="dcterms:W3CDTF">2019-01-19T22:37:00Z</dcterms:modified>
</cp:coreProperties>
</file>