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04231E3E" w:rsidR="008E7715"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524BECFD" w14:textId="0E2D2222" w:rsidR="00B9015B" w:rsidRDefault="00B9015B" w:rsidP="00B9015B">
      <w:r>
        <w:t>Abstract</w:t>
      </w:r>
    </w:p>
    <w:p w14:paraId="7483364F" w14:textId="5DC65B67" w:rsidR="00B9015B" w:rsidRPr="00B94CF2" w:rsidRDefault="00B9015B" w:rsidP="00B9015B">
      <w:r>
        <w:tab/>
      </w:r>
      <w:r w:rsidR="000A4181">
        <w:t xml:space="preserve">In post </w:t>
      </w:r>
      <w:r w:rsidR="000A4181">
        <w:rPr>
          <w:i/>
        </w:rPr>
        <w:t>Alice Corp. Pty. Ltd v. CLS Int’l.</w:t>
      </w:r>
      <w:r w:rsidR="004C7FE3">
        <w:t xml:space="preserve"> </w:t>
      </w:r>
      <w:r w:rsidR="006D74C3">
        <w:t xml:space="preserve">world, there is massive uncertainty in the patent system. </w:t>
      </w:r>
      <w:r w:rsidR="00FA0922">
        <w:t xml:space="preserve">The new </w:t>
      </w:r>
      <w:r w:rsidR="00FA0922">
        <w:rPr>
          <w:i/>
        </w:rPr>
        <w:t xml:space="preserve">Mayo/Alice </w:t>
      </w:r>
      <w:r w:rsidR="00FA0922">
        <w:t xml:space="preserve">framework is faulty, as it </w:t>
      </w:r>
      <w:r w:rsidR="006C4FC2">
        <w:t xml:space="preserve">conflates </w:t>
      </w:r>
      <w:r w:rsidR="008843BC">
        <w:t xml:space="preserve">the </w:t>
      </w:r>
      <w:r w:rsidR="006C4FC2">
        <w:t xml:space="preserve">§ 101 judicial exceptions, </w:t>
      </w:r>
      <w:r w:rsidR="008843BC">
        <w:t xml:space="preserve">primarily abstract ideas with novelty and obviousness. The framework also has massively </w:t>
      </w:r>
      <w:r w:rsidR="007F3759">
        <w:t xml:space="preserve">increased </w:t>
      </w:r>
      <w:r w:rsidR="00412B41">
        <w:t xml:space="preserve">invalidations </w:t>
      </w:r>
      <w:r w:rsidR="007F3759">
        <w:t xml:space="preserve">under § 101 </w:t>
      </w:r>
      <w:r w:rsidR="00412B41">
        <w:t>from the Federal Circuit</w:t>
      </w:r>
      <w:r w:rsidR="007F3759">
        <w:t xml:space="preserve">. After </w:t>
      </w:r>
      <w:r w:rsidR="009C587D">
        <w:t xml:space="preserve">the </w:t>
      </w:r>
      <w:r w:rsidR="009C587D">
        <w:rPr>
          <w:i/>
        </w:rPr>
        <w:t>Berkheimer v. HP, Inc.</w:t>
      </w:r>
      <w:r w:rsidR="00D979B2">
        <w:t xml:space="preserve">, decision, the United States Patent and Trademark Office released the Berkheimer Memorandum, </w:t>
      </w:r>
      <w:r w:rsidR="00C506A1">
        <w:t xml:space="preserve">which limited patent examiner rejections under § 101. </w:t>
      </w:r>
      <w:r w:rsidR="00E857CC">
        <w:t xml:space="preserve">This Memorandum may help counteract </w:t>
      </w:r>
      <w:r w:rsidR="00E857CC">
        <w:rPr>
          <w:i/>
        </w:rPr>
        <w:t>Mayo/Alice</w:t>
      </w:r>
      <w:r w:rsidR="00E857CC">
        <w:t>, however</w:t>
      </w:r>
      <w:r w:rsidR="000957CC">
        <w:t xml:space="preserve"> </w:t>
      </w:r>
      <w:r w:rsidR="00F41F45">
        <w:t xml:space="preserve">this is the wrong solution. The </w:t>
      </w:r>
      <w:r w:rsidR="005F5FDE">
        <w:t>memorandum</w:t>
      </w:r>
      <w:r w:rsidR="00F41F45">
        <w:t xml:space="preserve"> does not change the Court’s test and so may </w:t>
      </w:r>
      <w:r w:rsidR="005F5FDE">
        <w:t>aggravate</w:t>
      </w:r>
      <w:r w:rsidR="00F41F45">
        <w:t xml:space="preserve"> the amount of invalidations </w:t>
      </w:r>
      <w:r w:rsidR="00B94CF2">
        <w:t xml:space="preserve">because more patents </w:t>
      </w:r>
      <w:r w:rsidR="00E53D57">
        <w:t xml:space="preserve">may be </w:t>
      </w:r>
      <w:r w:rsidR="00B94CF2">
        <w:t xml:space="preserve">granted that do not conform to the </w:t>
      </w:r>
      <w:r w:rsidR="00B94CF2">
        <w:rPr>
          <w:i/>
        </w:rPr>
        <w:t xml:space="preserve">Mayo/Alice </w:t>
      </w:r>
      <w:r w:rsidR="00B94CF2">
        <w:t>standard.</w:t>
      </w:r>
      <w:r w:rsidR="00E53D57">
        <w:t xml:space="preserve"> Instead, the Court should rely on patentability</w:t>
      </w:r>
      <w:r w:rsidR="00C244C2">
        <w:t xml:space="preserve"> requirements of </w:t>
      </w:r>
      <w:r w:rsidR="00E53D57">
        <w:t>§</w:t>
      </w:r>
      <w:r w:rsidR="00C244C2">
        <w:t>§</w:t>
      </w:r>
      <w:r w:rsidR="00E53D57">
        <w:t xml:space="preserve"> 102, 103, and 112 </w:t>
      </w:r>
      <w:r w:rsidR="00C244C2">
        <w:t xml:space="preserve">(novelty, non-obviousness, and </w:t>
      </w:r>
      <w:r w:rsidR="00BD5FE8">
        <w:t>definite</w:t>
      </w:r>
      <w:r w:rsidR="00C244C2">
        <w:t xml:space="preserve">), and ask the question if </w:t>
      </w:r>
      <w:r w:rsidR="00BD5FE8">
        <w:t xml:space="preserve">an invention would block as basic scientific tool. </w:t>
      </w:r>
      <w:bookmarkStart w:id="1" w:name="_GoBack"/>
      <w:bookmarkEnd w:id="1"/>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2"/>
      <w:r w:rsidR="000356D6" w:rsidRPr="00A74008">
        <w:rPr>
          <w:rFonts w:cs="Times New Roman"/>
          <w:color w:val="auto"/>
        </w:rPr>
        <w:t>.</w:t>
      </w:r>
      <w:commentRangeStart w:id="3"/>
      <w:r w:rsidR="00AE7D84" w:rsidRPr="00A74008">
        <w:rPr>
          <w:rStyle w:val="FootnoteReference"/>
          <w:rFonts w:cs="Times New Roman"/>
          <w:color w:val="auto"/>
        </w:rPr>
        <w:footnoteReference w:id="3"/>
      </w:r>
      <w:commentRangeEnd w:id="2"/>
      <w:r w:rsidR="00F637B4" w:rsidRPr="00A74008">
        <w:rPr>
          <w:rStyle w:val="CommentReference"/>
          <w:rFonts w:cs="Times New Roman"/>
          <w:color w:val="auto"/>
        </w:rPr>
        <w:commentReference w:id="2"/>
      </w:r>
      <w:r w:rsidR="000356D6" w:rsidRPr="00A74008">
        <w:rPr>
          <w:rFonts w:cs="Times New Roman"/>
          <w:color w:val="auto"/>
        </w:rPr>
        <w:t xml:space="preserve"> </w:t>
      </w:r>
      <w:commentRangeEnd w:id="3"/>
      <w:r w:rsidR="00A910A7" w:rsidRPr="00A74008">
        <w:rPr>
          <w:rStyle w:val="CommentReference"/>
          <w:rFonts w:cs="Times New Roman"/>
          <w:color w:val="auto"/>
        </w:rPr>
        <w:commentReference w:id="3"/>
      </w:r>
      <w:r w:rsidRPr="00A74008">
        <w:rPr>
          <w:rFonts w:cs="Times New Roman"/>
          <w:color w:val="auto"/>
        </w:rPr>
        <w:t>Today</w:t>
      </w:r>
      <w:r w:rsidR="00CC35F4" w:rsidRPr="00A74008">
        <w:rPr>
          <w:rFonts w:cs="Times New Roman"/>
          <w:color w:val="auto"/>
        </w:rPr>
        <w:t xml:space="preserve">, </w:t>
      </w:r>
      <w:r w:rsidRPr="00A74008">
        <w:rPr>
          <w:rFonts w:cs="Times New Roman"/>
          <w:color w:val="auto"/>
        </w:rPr>
        <w:t xml:space="preserve">patent law is </w:t>
      </w:r>
      <w:r w:rsidRPr="00A74008">
        <w:rPr>
          <w:rFonts w:cs="Times New Roman"/>
          <w:color w:val="auto"/>
        </w:rPr>
        <w:lastRenderedPageBreak/>
        <w:t>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4"/>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4"/>
      <w:r w:rsidR="00F637B4" w:rsidRPr="00A74008">
        <w:rPr>
          <w:rStyle w:val="CommentReference"/>
          <w:rFonts w:cs="Times New Roman"/>
          <w:color w:val="auto"/>
        </w:rPr>
        <w:commentReference w:id="4"/>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5"/>
      <w:r w:rsidR="00BD0188" w:rsidRPr="00A74008">
        <w:rPr>
          <w:rFonts w:cs="Times New Roman"/>
          <w:color w:val="auto"/>
        </w:rPr>
        <w:t xml:space="preserve">Circuit used the two-step framework </w:t>
      </w:r>
      <w:r w:rsidR="00BD0188" w:rsidRPr="00A74008">
        <w:rPr>
          <w:rFonts w:cs="Times New Roman"/>
          <w:color w:val="auto"/>
        </w:rPr>
        <w:lastRenderedPageBreak/>
        <w:t>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5"/>
      <w:r w:rsidR="00BD0188" w:rsidRPr="00A74008">
        <w:rPr>
          <w:rStyle w:val="CommentReference"/>
          <w:rFonts w:cs="Times New Roman"/>
          <w:color w:val="auto"/>
        </w:rPr>
        <w:commentReference w:id="5"/>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6"/>
      <w:r w:rsidR="001F4D74" w:rsidRPr="00A74008">
        <w:rPr>
          <w:rFonts w:cs="Times New Roman"/>
          <w:color w:val="auto"/>
        </w:rPr>
        <w:t>decision</w:t>
      </w:r>
      <w:commentRangeEnd w:id="6"/>
      <w:r w:rsidR="006A0586" w:rsidRPr="00A74008">
        <w:rPr>
          <w:rStyle w:val="CommentReference"/>
          <w:rFonts w:cs="Times New Roman"/>
          <w:color w:val="auto"/>
        </w:rPr>
        <w:commentReference w:id="6"/>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severely limited how patent examiners reject patent applications for 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7"/>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7"/>
      <w:r w:rsidR="006A0586" w:rsidRPr="00A74008">
        <w:rPr>
          <w:rStyle w:val="CommentReference"/>
          <w:rFonts w:cs="Times New Roman"/>
          <w:color w:val="auto"/>
        </w:rPr>
        <w:commentReference w:id="7"/>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8"/>
      <w:r w:rsidR="00FE7E7C" w:rsidRPr="00A74008">
        <w:rPr>
          <w:rFonts w:cs="Times New Roman"/>
          <w:color w:val="auto"/>
        </w:rPr>
        <w:t>patents</w:t>
      </w:r>
      <w:commentRangeEnd w:id="8"/>
      <w:r w:rsidR="00C06903" w:rsidRPr="00A74008">
        <w:rPr>
          <w:rStyle w:val="CommentReference"/>
          <w:rFonts w:cs="Times New Roman"/>
          <w:color w:val="auto"/>
        </w:rPr>
        <w:commentReference w:id="8"/>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93C346F"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w:t>
      </w:r>
      <w:r w:rsidR="003D296A" w:rsidRPr="00A74008">
        <w:rPr>
          <w:rFonts w:cs="Times New Roman"/>
          <w:color w:val="auto"/>
        </w:rPr>
        <w:lastRenderedPageBreak/>
        <w:t xml:space="preserve">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r w:rsidR="00B02282">
        <w:rPr>
          <w:rFonts w:cs="Times New Roman"/>
          <w:color w:val="auto"/>
        </w:rPr>
        <w:t>unimpeded</w:t>
      </w:r>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9"/>
      <w:commentRangeStart w:id="10"/>
      <w:r w:rsidR="008F5FB1" w:rsidRPr="00A74008">
        <w:rPr>
          <w:rFonts w:cs="Times New Roman"/>
          <w:color w:val="auto"/>
        </w:rPr>
        <w:t>.</w:t>
      </w:r>
      <w:r w:rsidR="00DB2AE3" w:rsidRPr="00A74008">
        <w:rPr>
          <w:rFonts w:cs="Times New Roman"/>
          <w:color w:val="auto"/>
        </w:rPr>
        <w:t xml:space="preserve"> </w:t>
      </w:r>
      <w:commentRangeEnd w:id="9"/>
      <w:r w:rsidR="00DC52B8" w:rsidRPr="00A74008">
        <w:rPr>
          <w:rStyle w:val="CommentReference"/>
          <w:rFonts w:cs="Times New Roman"/>
          <w:color w:val="auto"/>
        </w:rPr>
        <w:commentReference w:id="9"/>
      </w:r>
      <w:commentRangeEnd w:id="10"/>
      <w:r w:rsidR="006A0586" w:rsidRPr="00A74008">
        <w:rPr>
          <w:rStyle w:val="CommentReference"/>
          <w:rFonts w:cs="Times New Roman"/>
          <w:color w:val="auto"/>
        </w:rPr>
        <w:commentReference w:id="10"/>
      </w:r>
    </w:p>
    <w:p w14:paraId="64828A07" w14:textId="4A19C66D" w:rsidR="00D83BBB" w:rsidRPr="00A74008" w:rsidRDefault="008E7715" w:rsidP="001B4C2A">
      <w:pPr>
        <w:pStyle w:val="Heading1"/>
        <w:rPr>
          <w:rFonts w:cs="Times New Roman"/>
          <w:color w:val="auto"/>
        </w:rPr>
      </w:pPr>
      <w:commentRangeStart w:id="11"/>
      <w:r w:rsidRPr="00A74008">
        <w:rPr>
          <w:rFonts w:cs="Times New Roman"/>
          <w:color w:val="auto"/>
        </w:rPr>
        <w:t>BACKGROUND</w:t>
      </w:r>
      <w:commentRangeEnd w:id="11"/>
      <w:r w:rsidR="002111E1" w:rsidRPr="00A74008">
        <w:rPr>
          <w:rStyle w:val="CommentReference"/>
          <w:rFonts w:eastAsiaTheme="minorHAnsi" w:cs="Times New Roman"/>
          <w:color w:val="auto"/>
        </w:rPr>
        <w:commentReference w:id="11"/>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2"/>
      <w:r w:rsidR="00B746B7" w:rsidRPr="00A74008">
        <w:rPr>
          <w:rFonts w:cs="Times New Roman"/>
          <w:color w:val="auto"/>
        </w:rPr>
        <w:t xml:space="preserve">obtained </w:t>
      </w:r>
      <w:commentRangeEnd w:id="12"/>
      <w:r w:rsidR="006A0586" w:rsidRPr="00A74008">
        <w:rPr>
          <w:rStyle w:val="CommentReference"/>
          <w:rFonts w:cs="Times New Roman"/>
          <w:color w:val="auto"/>
        </w:rPr>
        <w:commentReference w:id="12"/>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 xml:space="preserve">necessitates that a person of ordinary skill in the art be able to make and use the claimed </w:t>
      </w:r>
      <w:r w:rsidR="00AF29A6" w:rsidRPr="00A74008">
        <w:rPr>
          <w:rFonts w:cs="Times New Roman"/>
          <w:color w:val="auto"/>
        </w:rPr>
        <w:lastRenderedPageBreak/>
        <w:t>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5EAD01B"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often conflated by courts when patent validity is considered.</w:t>
      </w:r>
      <w:commentRangeStart w:id="13"/>
      <w:r w:rsidR="00C25E59" w:rsidRPr="00A74008">
        <w:rPr>
          <w:rStyle w:val="FootnoteReference"/>
          <w:rFonts w:cs="Times New Roman"/>
          <w:color w:val="auto"/>
        </w:rPr>
        <w:footnoteReference w:id="22"/>
      </w:r>
      <w:commentRangeEnd w:id="13"/>
      <w:r w:rsidR="00A34E4C">
        <w:rPr>
          <w:rStyle w:val="CommentReference"/>
        </w:rPr>
        <w:commentReference w:id="13"/>
      </w:r>
      <w:r w:rsidR="008A0C66" w:rsidRPr="00A74008">
        <w:rPr>
          <w:rFonts w:cs="Times New Roman"/>
          <w:color w:val="auto"/>
        </w:rPr>
        <w:t xml:space="preserve"> </w:t>
      </w:r>
      <w:r w:rsidR="00FD6ECF">
        <w:rPr>
          <w:rFonts w:cs="Times New Roman"/>
          <w:color w:val="auto"/>
        </w:rPr>
        <w:t xml:space="preserve">Recent cases focus on </w:t>
      </w:r>
      <w:r w:rsidR="000E7A0B">
        <w:rPr>
          <w:rFonts w:cs="Times New Roman"/>
          <w:color w:val="auto"/>
        </w:rPr>
        <w:t xml:space="preserve">whether a claim is a </w:t>
      </w:r>
      <w:r w:rsidR="00FD6ECF">
        <w:rPr>
          <w:rFonts w:cs="Times New Roman"/>
          <w:color w:val="auto"/>
        </w:rPr>
        <w:t xml:space="preserve">well-understood, </w:t>
      </w:r>
      <w:r w:rsidR="007510F5">
        <w:rPr>
          <w:rFonts w:cs="Times New Roman"/>
          <w:color w:val="auto"/>
        </w:rPr>
        <w:t>routine</w:t>
      </w:r>
      <w:r w:rsidR="00663718">
        <w:rPr>
          <w:rFonts w:cs="Times New Roman"/>
          <w:color w:val="auto"/>
        </w:rPr>
        <w:t>, conventional activity to</w:t>
      </w:r>
      <w:r w:rsidR="007C770A">
        <w:rPr>
          <w:rFonts w:cs="Times New Roman"/>
          <w:color w:val="auto"/>
        </w:rPr>
        <w:t xml:space="preserve"> determine if it is</w:t>
      </w:r>
      <w:r w:rsidR="00464C79">
        <w:rPr>
          <w:rFonts w:cs="Times New Roman"/>
          <w:color w:val="auto"/>
        </w:rPr>
        <w:t xml:space="preserve"> an abstract idea</w:t>
      </w:r>
      <w:r w:rsidR="00663718">
        <w:rPr>
          <w:rFonts w:cs="Times New Roman"/>
          <w:color w:val="auto"/>
        </w:rPr>
        <w:t>.</w:t>
      </w:r>
      <w:r w:rsidR="00464C79">
        <w:rPr>
          <w:rStyle w:val="FootnoteReference"/>
          <w:rFonts w:cs="Times New Roman"/>
          <w:color w:val="auto"/>
        </w:rPr>
        <w:footnoteReference w:id="23"/>
      </w:r>
      <w:r w:rsidR="00464C79">
        <w:rPr>
          <w:rFonts w:cs="Times New Roman"/>
          <w:color w:val="auto"/>
        </w:rPr>
        <w:t xml:space="preserve"> These terms describe a lack of novelty, </w:t>
      </w:r>
      <w:r w:rsidR="00410531">
        <w:rPr>
          <w:rFonts w:cs="Times New Roman"/>
          <w:color w:val="auto"/>
        </w:rPr>
        <w:t>not</w:t>
      </w:r>
      <w:r w:rsidR="00464C79">
        <w:rPr>
          <w:rFonts w:cs="Times New Roman"/>
          <w:color w:val="auto"/>
        </w:rPr>
        <w:t xml:space="preserve"> than abstraction</w:t>
      </w:r>
      <w:r w:rsidR="00410531">
        <w:rPr>
          <w:rFonts w:cs="Times New Roman"/>
          <w:color w:val="auto"/>
        </w:rPr>
        <w:t>, and yet these exact questions determine if the claim</w:t>
      </w:r>
      <w:r w:rsidR="00554723">
        <w:rPr>
          <w:rFonts w:cs="Times New Roman"/>
          <w:color w:val="auto"/>
        </w:rPr>
        <w:t xml:space="preserve"> is invalid under </w:t>
      </w:r>
      <w:r w:rsidR="00554723">
        <w:t>§ 101</w:t>
      </w:r>
      <w:r w:rsidR="007510F5">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4BE7C6A4" w:rsidR="00896241"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4"/>
      </w:r>
      <w:r w:rsidRPr="00A74008">
        <w:rPr>
          <w:rFonts w:cs="Times New Roman"/>
          <w:color w:val="auto"/>
        </w:rPr>
        <w:t xml:space="preserve"> These three exceptions prevent monopolies on foundational laws and concepts that many technologies may depend on, insuring that the limited monopoly provided for by law does not </w:t>
      </w:r>
      <w:r w:rsidRPr="00A74008">
        <w:rPr>
          <w:rFonts w:cs="Times New Roman"/>
          <w:color w:val="auto"/>
        </w:rPr>
        <w:lastRenderedPageBreak/>
        <w:t>hinder innovation.</w:t>
      </w:r>
      <w:r w:rsidRPr="00A74008">
        <w:rPr>
          <w:rStyle w:val="FootnoteReference"/>
          <w:rFonts w:cs="Times New Roman"/>
          <w:color w:val="auto"/>
        </w:rPr>
        <w:footnoteReference w:id="25"/>
      </w:r>
      <w:r w:rsidRPr="00A74008">
        <w:rPr>
          <w:rFonts w:cs="Times New Roman"/>
          <w:color w:val="auto"/>
        </w:rPr>
        <w:t xml:space="preserve"> However, </w:t>
      </w:r>
      <w:r w:rsidR="00105425">
        <w:rPr>
          <w:rFonts w:cs="Times New Roman"/>
          <w:color w:val="auto"/>
        </w:rPr>
        <w:t xml:space="preserve">broadly </w:t>
      </w:r>
      <w:r w:rsidR="00105425" w:rsidRPr="00A74008">
        <w:rPr>
          <w:rFonts w:cs="Times New Roman"/>
          <w:color w:val="auto"/>
        </w:rPr>
        <w:t>interpreting</w:t>
      </w:r>
      <w:r w:rsidRPr="00A74008">
        <w:rPr>
          <w:rFonts w:cs="Times New Roman"/>
          <w:color w:val="auto"/>
        </w:rPr>
        <w:t xml:space="preserve"> these exceptions would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6"/>
      </w:r>
      <w:r w:rsidRPr="00A74008">
        <w:rPr>
          <w:rFonts w:cs="Times New Roman"/>
          <w:color w:val="auto"/>
        </w:rPr>
        <w:t xml:space="preserve"> </w:t>
      </w:r>
    </w:p>
    <w:p w14:paraId="771EFE10" w14:textId="50CD379D" w:rsidR="00500681" w:rsidRPr="006D4134" w:rsidRDefault="00FC7E2A" w:rsidP="00926A09">
      <w:pPr>
        <w:ind w:firstLine="720"/>
        <w:rPr>
          <w:rFonts w:cs="Times New Roman"/>
          <w:color w:val="auto"/>
        </w:rPr>
      </w:pPr>
      <w:r w:rsidRPr="006D4134">
        <w:rPr>
          <w:rFonts w:cs="Times New Roman"/>
          <w:color w:val="auto"/>
        </w:rPr>
        <w:t xml:space="preserve">In addition to implying the judicial exceptions of </w:t>
      </w:r>
      <w:r w:rsidR="007C30DA" w:rsidRPr="006D4134">
        <w:rPr>
          <w:rFonts w:cs="Times New Roman"/>
          <w:color w:val="auto"/>
        </w:rPr>
        <w:t xml:space="preserve">law of nature, </w:t>
      </w:r>
      <w:r w:rsidR="00A578A4" w:rsidRPr="006D4134">
        <w:rPr>
          <w:rFonts w:cs="Times New Roman"/>
          <w:color w:val="auto"/>
        </w:rPr>
        <w:t>natural phenomena</w:t>
      </w:r>
      <w:r w:rsidR="007C30DA" w:rsidRPr="006D4134">
        <w:rPr>
          <w:rFonts w:cs="Times New Roman"/>
          <w:color w:val="auto"/>
        </w:rPr>
        <w:t xml:space="preserve"> and abstract ideas, </w:t>
      </w:r>
      <w:r w:rsidR="004959B5" w:rsidRPr="006D4134">
        <w:rPr>
          <w:rFonts w:cs="Times New Roman"/>
          <w:color w:val="auto"/>
        </w:rPr>
        <w:t xml:space="preserve">§ 101 also </w:t>
      </w:r>
      <w:r w:rsidR="004305E1" w:rsidRPr="006D4134">
        <w:rPr>
          <w:rFonts w:cs="Times New Roman"/>
          <w:color w:val="auto"/>
        </w:rPr>
        <w:t xml:space="preserve">requires an invention to be “useful”. </w:t>
      </w:r>
      <w:r w:rsidR="00BB0440" w:rsidRPr="006D4134">
        <w:rPr>
          <w:rFonts w:cs="Times New Roman"/>
          <w:color w:val="auto"/>
        </w:rPr>
        <w:t xml:space="preserve">The utility requirement </w:t>
      </w:r>
      <w:r w:rsidR="003A745F" w:rsidRPr="006D4134">
        <w:rPr>
          <w:rFonts w:cs="Times New Roman"/>
          <w:color w:val="auto"/>
        </w:rPr>
        <w:t xml:space="preserve">helps protect limited administrative </w:t>
      </w:r>
      <w:r w:rsidR="001F7996" w:rsidRPr="006D4134">
        <w:rPr>
          <w:rFonts w:cs="Times New Roman"/>
          <w:color w:val="auto"/>
        </w:rPr>
        <w:t>resources from patent applications that do on promote the progress of the “useful arts”.</w:t>
      </w:r>
      <w:r w:rsidR="001F7996" w:rsidRPr="006D4134">
        <w:rPr>
          <w:rStyle w:val="FootnoteReference"/>
          <w:rFonts w:cs="Times New Roman"/>
          <w:color w:val="auto"/>
        </w:rPr>
        <w:footnoteReference w:id="27"/>
      </w:r>
      <w:r w:rsidR="00713F27" w:rsidRPr="006D4134">
        <w:rPr>
          <w:rFonts w:cs="Times New Roman"/>
          <w:color w:val="auto"/>
        </w:rPr>
        <w:t xml:space="preserve"> It also ensures</w:t>
      </w:r>
      <w:r w:rsidR="00D12906" w:rsidRPr="006D4134">
        <w:rPr>
          <w:rFonts w:cs="Times New Roman"/>
          <w:color w:val="auto"/>
        </w:rPr>
        <w:t xml:space="preserve"> inventors have put in enough work. The patent system incentivizes technology, and </w:t>
      </w:r>
      <w:r w:rsidR="00087165" w:rsidRPr="006D4134">
        <w:rPr>
          <w:rFonts w:cs="Times New Roman"/>
          <w:color w:val="auto"/>
        </w:rPr>
        <w:t>if an invention</w:t>
      </w:r>
      <w:r w:rsidR="007C30DA" w:rsidRPr="006D4134">
        <w:rPr>
          <w:rFonts w:cs="Times New Roman"/>
          <w:color w:val="auto"/>
        </w:rPr>
        <w:t xml:space="preserve"> has no purpose, it is of no interest to the people of the United States.</w:t>
      </w:r>
      <w:r w:rsidR="007C30DA" w:rsidRPr="006D4134">
        <w:rPr>
          <w:rStyle w:val="FootnoteReference"/>
          <w:rFonts w:cs="Times New Roman"/>
          <w:color w:val="auto"/>
        </w:rPr>
        <w:footnoteReference w:id="28"/>
      </w:r>
      <w:r w:rsidR="00087165" w:rsidRPr="006D4134">
        <w:rPr>
          <w:rFonts w:cs="Times New Roman"/>
          <w:color w:val="auto"/>
        </w:rPr>
        <w:t xml:space="preserve"> </w:t>
      </w:r>
      <w:r w:rsidR="00585998" w:rsidRPr="006D4134">
        <w:rPr>
          <w:rFonts w:cs="Times New Roman"/>
          <w:color w:val="auto"/>
        </w:rPr>
        <w:t xml:space="preserve">For example, in </w:t>
      </w:r>
      <w:r w:rsidR="00585998" w:rsidRPr="006D4134">
        <w:rPr>
          <w:rFonts w:cs="Times New Roman"/>
          <w:i/>
          <w:color w:val="auto"/>
        </w:rPr>
        <w:t>In re Fisher</w:t>
      </w:r>
      <w:r w:rsidR="00585998" w:rsidRPr="006D4134">
        <w:rPr>
          <w:rFonts w:cs="Times New Roman"/>
          <w:color w:val="auto"/>
        </w:rPr>
        <w:t xml:space="preserve">, </w:t>
      </w:r>
      <w:r w:rsidR="00122A51" w:rsidRPr="006D4134">
        <w:rPr>
          <w:rFonts w:cs="Times New Roman"/>
          <w:color w:val="auto"/>
        </w:rPr>
        <w:t>the Federal Circuit</w:t>
      </w:r>
      <w:r w:rsidR="00EF6BC6" w:rsidRPr="006D4134">
        <w:rPr>
          <w:rFonts w:cs="Times New Roman"/>
          <w:color w:val="auto"/>
        </w:rPr>
        <w:t xml:space="preserve"> ruled that a patent </w:t>
      </w:r>
      <w:r w:rsidR="00847645" w:rsidRPr="006D4134">
        <w:rPr>
          <w:rFonts w:cs="Times New Roman"/>
          <w:color w:val="auto"/>
        </w:rPr>
        <w:t>need only disclose a single specific and substantial utility.</w:t>
      </w:r>
      <w:r w:rsidR="00847645" w:rsidRPr="006D4134">
        <w:rPr>
          <w:rStyle w:val="FootnoteReference"/>
          <w:rFonts w:cs="Times New Roman"/>
          <w:color w:val="auto"/>
        </w:rPr>
        <w:footnoteReference w:id="29"/>
      </w:r>
      <w:r w:rsidR="0090702D" w:rsidRPr="006D4134">
        <w:rPr>
          <w:rFonts w:cs="Times New Roman"/>
          <w:color w:val="auto"/>
        </w:rPr>
        <w:t xml:space="preserve"> The patent in question regarded “expressed sequence tags” for identifying nucleic </w:t>
      </w:r>
      <w:r w:rsidR="00B856EE" w:rsidRPr="006D4134">
        <w:rPr>
          <w:rFonts w:cs="Times New Roman"/>
          <w:color w:val="auto"/>
        </w:rPr>
        <w:t>acid</w:t>
      </w:r>
      <w:r w:rsidR="0090702D" w:rsidRPr="006D4134">
        <w:rPr>
          <w:rFonts w:cs="Times New Roman"/>
          <w:color w:val="auto"/>
        </w:rPr>
        <w:t xml:space="preserve"> sequences in ma</w:t>
      </w:r>
      <w:r w:rsidR="00B856EE" w:rsidRPr="006D4134">
        <w:rPr>
          <w:rFonts w:cs="Times New Roman"/>
          <w:color w:val="auto"/>
        </w:rPr>
        <w:t>ize genes.</w:t>
      </w:r>
      <w:r w:rsidR="00B856EE" w:rsidRPr="006D4134">
        <w:rPr>
          <w:rStyle w:val="FootnoteReference"/>
          <w:rFonts w:cs="Times New Roman"/>
          <w:color w:val="auto"/>
        </w:rPr>
        <w:footnoteReference w:id="30"/>
      </w:r>
      <w:r w:rsidR="0090702D" w:rsidRPr="006D4134">
        <w:rPr>
          <w:rFonts w:cs="Times New Roman"/>
          <w:color w:val="auto"/>
        </w:rPr>
        <w:t xml:space="preserve"> Fisher</w:t>
      </w:r>
      <w:r w:rsidR="00452D9E" w:rsidRPr="006D4134">
        <w:rPr>
          <w:rFonts w:cs="Times New Roman"/>
          <w:color w:val="auto"/>
        </w:rPr>
        <w:t>’s provided uses were so general as to be meaningless</w:t>
      </w:r>
      <w:r w:rsidR="00926A09" w:rsidRPr="006D4134">
        <w:rPr>
          <w:rFonts w:cs="Times New Roman"/>
          <w:color w:val="auto"/>
        </w:rPr>
        <w:t>.</w:t>
      </w:r>
      <w:r w:rsidR="00926A09" w:rsidRPr="006D4134">
        <w:rPr>
          <w:rStyle w:val="FootnoteReference"/>
          <w:rFonts w:cs="Times New Roman"/>
          <w:color w:val="auto"/>
        </w:rPr>
        <w:footnoteReference w:id="31"/>
      </w:r>
      <w:r w:rsidR="00926A09" w:rsidRPr="006D4134">
        <w:rPr>
          <w:rFonts w:cs="Times New Roman"/>
          <w:color w:val="auto"/>
        </w:rPr>
        <w:t xml:space="preserve"> </w:t>
      </w:r>
      <w:r w:rsidR="00500681" w:rsidRPr="006D4134">
        <w:rPr>
          <w:rFonts w:cs="Times New Roman"/>
          <w:color w:val="auto"/>
        </w:rPr>
        <w:t xml:space="preserve">Most inventions have a use or a purpose, and so utility </w:t>
      </w:r>
      <w:r w:rsidR="00D957A2" w:rsidRPr="006D4134">
        <w:rPr>
          <w:rFonts w:cs="Times New Roman"/>
          <w:color w:val="auto"/>
        </w:rPr>
        <w:t>litigation</w:t>
      </w:r>
      <w:r w:rsidR="00C87C05" w:rsidRPr="006D4134">
        <w:rPr>
          <w:rFonts w:cs="Times New Roman"/>
          <w:color w:val="auto"/>
        </w:rPr>
        <w:t xml:space="preserve"> is less common </w:t>
      </w:r>
      <w:r w:rsidR="00A918B6" w:rsidRPr="006D4134">
        <w:rPr>
          <w:rFonts w:cs="Times New Roman"/>
          <w:color w:val="auto"/>
        </w:rPr>
        <w:t xml:space="preserve">when compared </w:t>
      </w:r>
      <w:r w:rsidR="006D4134" w:rsidRPr="006D4134">
        <w:rPr>
          <w:rFonts w:cs="Times New Roman"/>
          <w:color w:val="auto"/>
        </w:rPr>
        <w:t>to litigation regarding</w:t>
      </w:r>
      <w:r w:rsidR="00A918B6" w:rsidRPr="006D4134">
        <w:rPr>
          <w:rFonts w:cs="Times New Roman"/>
          <w:color w:val="auto"/>
        </w:rPr>
        <w:t xml:space="preserve"> the judicial exceptions.</w:t>
      </w:r>
    </w:p>
    <w:p w14:paraId="0A180F82" w14:textId="3DB4E7B2" w:rsidR="009A43A0" w:rsidRPr="00A74008" w:rsidRDefault="00A578A4" w:rsidP="001B4C2A">
      <w:pPr>
        <w:ind w:firstLine="720"/>
        <w:rPr>
          <w:rFonts w:cs="Times New Roman"/>
          <w:color w:val="auto"/>
        </w:rPr>
      </w:pPr>
      <w:r>
        <w:rPr>
          <w:rFonts w:cs="Times New Roman"/>
          <w:color w:val="auto"/>
        </w:rPr>
        <w:t>Laws of nature</w:t>
      </w:r>
      <w:r w:rsidR="00A918B6">
        <w:rPr>
          <w:rFonts w:cs="Times New Roman"/>
          <w:color w:val="auto"/>
        </w:rPr>
        <w:t xml:space="preserve">, </w:t>
      </w:r>
      <w:r>
        <w:rPr>
          <w:rFonts w:cs="Times New Roman"/>
          <w:color w:val="auto"/>
        </w:rPr>
        <w:t>natural phenomena, and abstract ideas</w:t>
      </w:r>
      <w:r w:rsidR="009C560A" w:rsidRPr="00A74008">
        <w:rPr>
          <w:rFonts w:cs="Times New Roman"/>
          <w:color w:val="auto"/>
        </w:rPr>
        <w:t xml:space="preserve">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32"/>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33"/>
      </w:r>
      <w:r w:rsidR="00067B22" w:rsidRPr="00A74008">
        <w:rPr>
          <w:rFonts w:cs="Times New Roman"/>
          <w:color w:val="auto"/>
        </w:rPr>
        <w:t xml:space="preserve"> </w:t>
      </w:r>
      <w:r w:rsidR="00F77903" w:rsidRPr="00A74008">
        <w:rPr>
          <w:rFonts w:cs="Times New Roman"/>
          <w:color w:val="auto"/>
        </w:rPr>
        <w:t xml:space="preserve">The </w:t>
      </w:r>
      <w:r w:rsidR="00F77903" w:rsidRPr="00A74008">
        <w:rPr>
          <w:rFonts w:cs="Times New Roman"/>
          <w:color w:val="auto"/>
        </w:rPr>
        <w:lastRenderedPageBreak/>
        <w:t xml:space="preserve">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34"/>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35"/>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4"/>
      <w:r w:rsidR="00A2692B" w:rsidRPr="00A74008">
        <w:rPr>
          <w:rFonts w:cs="Times New Roman"/>
          <w:color w:val="auto"/>
        </w:rPr>
        <w:t>ineligible</w:t>
      </w:r>
      <w:r w:rsidR="003C07EF" w:rsidRPr="00A74008">
        <w:rPr>
          <w:rFonts w:cs="Times New Roman"/>
          <w:color w:val="auto"/>
        </w:rPr>
        <w:t xml:space="preserve"> </w:t>
      </w:r>
      <w:commentRangeEnd w:id="14"/>
      <w:r w:rsidR="00EA11AA" w:rsidRPr="00A74008">
        <w:rPr>
          <w:rStyle w:val="CommentReference"/>
          <w:rFonts w:cs="Times New Roman"/>
          <w:color w:val="auto"/>
        </w:rPr>
        <w:commentReference w:id="14"/>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6"/>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7"/>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8"/>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9"/>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40"/>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lastRenderedPageBreak/>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41"/>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42"/>
      </w:r>
      <w:r w:rsidRPr="00A74008">
        <w:rPr>
          <w:rFonts w:cs="Times New Roman"/>
          <w:color w:val="auto"/>
        </w:rPr>
        <w:t xml:space="preserve"> Patents are not ineligible merely because they rely on a law of nature or algorithm</w:t>
      </w:r>
      <w:commentRangeStart w:id="15"/>
      <w:r w:rsidRPr="00A74008">
        <w:rPr>
          <w:rFonts w:cs="Times New Roman"/>
          <w:color w:val="auto"/>
        </w:rPr>
        <w:t>.</w:t>
      </w:r>
      <w:r w:rsidRPr="00A74008">
        <w:rPr>
          <w:rStyle w:val="FootnoteReference"/>
          <w:rFonts w:cs="Times New Roman"/>
          <w:color w:val="auto"/>
        </w:rPr>
        <w:footnoteReference w:id="43"/>
      </w:r>
      <w:commentRangeEnd w:id="15"/>
      <w:r w:rsidRPr="00A74008">
        <w:rPr>
          <w:rStyle w:val="CommentReference"/>
          <w:rFonts w:cs="Times New Roman"/>
          <w:color w:val="auto"/>
        </w:rPr>
        <w:commentReference w:id="15"/>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44"/>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45"/>
      </w:r>
      <w:r w:rsidRPr="00A74008">
        <w:rPr>
          <w:rFonts w:cs="Times New Roman"/>
          <w:color w:val="auto"/>
        </w:rPr>
        <w:t xml:space="preserve"> They must have an inventive concept outside of the patent ineligible idea</w:t>
      </w:r>
      <w:commentRangeStart w:id="16"/>
      <w:r w:rsidRPr="00A74008">
        <w:rPr>
          <w:rFonts w:cs="Times New Roman"/>
          <w:color w:val="auto"/>
        </w:rPr>
        <w:t>.</w:t>
      </w:r>
      <w:r w:rsidRPr="00A74008">
        <w:rPr>
          <w:rStyle w:val="FootnoteReference"/>
          <w:rFonts w:cs="Times New Roman"/>
          <w:color w:val="auto"/>
        </w:rPr>
        <w:footnoteReference w:id="46"/>
      </w:r>
      <w:commentRangeEnd w:id="16"/>
      <w:r w:rsidRPr="00A74008">
        <w:rPr>
          <w:rStyle w:val="CommentReference"/>
          <w:rFonts w:cs="Times New Roman"/>
          <w:color w:val="auto"/>
        </w:rPr>
        <w:commentReference w:id="16"/>
      </w:r>
      <w:r w:rsidRPr="00A74008">
        <w:rPr>
          <w:rFonts w:cs="Times New Roman"/>
          <w:color w:val="auto"/>
        </w:rPr>
        <w:t xml:space="preserve"> </w:t>
      </w:r>
    </w:p>
    <w:p w14:paraId="7D0FED32" w14:textId="51241C92" w:rsidR="00D23B0D"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6159CCCE" w14:textId="77777777" w:rsidR="00590EFF" w:rsidRPr="00A74008" w:rsidRDefault="00590EFF" w:rsidP="00590EFF">
      <w:pPr>
        <w:ind w:firstLine="720"/>
        <w:rPr>
          <w:rFonts w:cs="Times New Roman"/>
          <w:color w:val="auto"/>
        </w:rPr>
      </w:pPr>
      <w:r w:rsidRPr="00A74008">
        <w:rPr>
          <w:rFonts w:cs="Times New Roman"/>
          <w:color w:val="auto"/>
        </w:rPr>
        <w:t xml:space="preserve">In 1972, before the rise of the digital age, the Supreme Court heard arguments for </w:t>
      </w:r>
      <w:r w:rsidRPr="00A74008">
        <w:rPr>
          <w:rFonts w:cs="Times New Roman"/>
          <w:i/>
          <w:color w:val="auto"/>
        </w:rPr>
        <w:t>Gottschalk v. Benson</w:t>
      </w:r>
      <w:r w:rsidRPr="00A74008">
        <w:rPr>
          <w:rFonts w:cs="Times New Roman"/>
          <w:color w:val="auto"/>
        </w:rPr>
        <w:t xml:space="preserve"> regarding a method for converting binary coded decimal to pure binary. In binary </w:t>
      </w:r>
      <w:commentRangeStart w:id="17"/>
      <w:r w:rsidRPr="00A74008">
        <w:rPr>
          <w:rFonts w:cs="Times New Roman"/>
          <w:color w:val="auto"/>
        </w:rPr>
        <w:t xml:space="preserve">coded </w:t>
      </w:r>
      <w:commentRangeEnd w:id="17"/>
      <w:r w:rsidRPr="00A74008">
        <w:rPr>
          <w:rStyle w:val="CommentReference"/>
          <w:rFonts w:cs="Times New Roman"/>
          <w:color w:val="auto"/>
        </w:rPr>
        <w:commentReference w:id="17"/>
      </w:r>
      <w:r w:rsidRPr="00A74008">
        <w:rPr>
          <w:rFonts w:cs="Times New Roman"/>
          <w:color w:val="auto"/>
        </w:rPr>
        <w:t>decimal (BCD) each digit of a number is represented by a four-digit binary segment e.g. 534 would be represented as 0101-0011-0100, where 0101, 0011, and 0100 are the numbers 5, 3, and 4 respectively in pure binary; in pure binary 534 would be represented as 1000010110.</w:t>
      </w:r>
      <w:r w:rsidRPr="00A74008">
        <w:rPr>
          <w:rStyle w:val="FootnoteReference"/>
          <w:rFonts w:cs="Times New Roman"/>
          <w:color w:val="auto"/>
        </w:rPr>
        <w:footnoteReference w:id="47"/>
      </w:r>
      <w:r w:rsidRPr="00A74008">
        <w:rPr>
          <w:rFonts w:cs="Times New Roman"/>
          <w:color w:val="auto"/>
        </w:rPr>
        <w:t xml:space="preserve"> With no definition of abstract ideas, the Court compared the claims with previous </w:t>
      </w:r>
      <w:r w:rsidRPr="00A74008">
        <w:rPr>
          <w:rFonts w:cs="Times New Roman"/>
          <w:color w:val="auto"/>
        </w:rPr>
        <w:lastRenderedPageBreak/>
        <w:t>cases and facts.</w:t>
      </w:r>
      <w:r w:rsidRPr="00A74008">
        <w:rPr>
          <w:rStyle w:val="FootnoteReference"/>
          <w:rFonts w:cs="Times New Roman"/>
          <w:color w:val="auto"/>
        </w:rPr>
        <w:footnoteReference w:id="48"/>
      </w:r>
      <w:r w:rsidRPr="00A74008">
        <w:rPr>
          <w:rFonts w:cs="Times New Roman"/>
          <w:color w:val="auto"/>
        </w:rPr>
        <w:t xml:space="preserve"> However, at the time the patentability of computer programs was still in debate, and the patent was held invalid because it has no practical exception outside of a digital computer.</w:t>
      </w:r>
      <w:r w:rsidRPr="00A74008">
        <w:rPr>
          <w:rStyle w:val="FootnoteReference"/>
          <w:rFonts w:cs="Times New Roman"/>
          <w:color w:val="auto"/>
        </w:rPr>
        <w:footnoteReference w:id="49"/>
      </w:r>
      <w:r w:rsidRPr="00A74008">
        <w:rPr>
          <w:rFonts w:cs="Times New Roman"/>
          <w:color w:val="auto"/>
        </w:rPr>
        <w:t xml:space="preserve"> Clearly the Court did not understand </w:t>
      </w:r>
      <w:commentRangeStart w:id="18"/>
      <w:r w:rsidRPr="00A74008">
        <w:rPr>
          <w:rFonts w:cs="Times New Roman"/>
          <w:color w:val="auto"/>
        </w:rPr>
        <w:t xml:space="preserve">the </w:t>
      </w:r>
      <w:commentRangeEnd w:id="18"/>
      <w:r w:rsidRPr="00A74008">
        <w:rPr>
          <w:rStyle w:val="CommentReference"/>
          <w:rFonts w:cs="Times New Roman"/>
          <w:color w:val="auto"/>
        </w:rPr>
        <w:commentReference w:id="18"/>
      </w:r>
      <w:r w:rsidRPr="00A74008">
        <w:rPr>
          <w:rFonts w:cs="Times New Roman"/>
          <w:color w:val="auto"/>
        </w:rPr>
        <w:t xml:space="preserve">importance digital (the more advanced counter-part to analog) computers would play in the future, and </w:t>
      </w:r>
      <w:commentRangeStart w:id="19"/>
      <w:r w:rsidRPr="00A74008">
        <w:rPr>
          <w:rFonts w:cs="Times New Roman"/>
          <w:color w:val="auto"/>
        </w:rPr>
        <w:t>so</w:t>
      </w:r>
      <w:commentRangeEnd w:id="19"/>
      <w:r w:rsidRPr="00A74008">
        <w:rPr>
          <w:rStyle w:val="CommentReference"/>
          <w:rFonts w:cs="Times New Roman"/>
          <w:color w:val="auto"/>
        </w:rPr>
        <w:commentReference w:id="19"/>
      </w:r>
      <w:r w:rsidRPr="00A74008">
        <w:rPr>
          <w:rFonts w:cs="Times New Roman"/>
          <w:color w:val="auto"/>
        </w:rPr>
        <w:t xml:space="preserve"> they dismissed the patent for having no use outside of computers</w:t>
      </w:r>
      <w:commentRangeStart w:id="20"/>
      <w:commentRangeEnd w:id="20"/>
      <w:r w:rsidRPr="00A74008">
        <w:rPr>
          <w:rStyle w:val="CommentReference"/>
          <w:rFonts w:cs="Times New Roman"/>
          <w:color w:val="auto"/>
        </w:rPr>
        <w:commentReference w:id="20"/>
      </w:r>
      <w:r w:rsidRPr="00A74008">
        <w:rPr>
          <w:rFonts w:cs="Times New Roman"/>
          <w:color w:val="auto"/>
        </w:rPr>
        <w:t>. Although the claims described hardware components executing this algorithm</w:t>
      </w:r>
      <w:commentRangeStart w:id="21"/>
      <w:commentRangeEnd w:id="21"/>
      <w:r w:rsidRPr="00A74008">
        <w:rPr>
          <w:rStyle w:val="CommentReference"/>
          <w:rFonts w:cs="Times New Roman"/>
          <w:color w:val="auto"/>
        </w:rPr>
        <w:commentReference w:id="21"/>
      </w:r>
      <w:r w:rsidRPr="00A74008">
        <w:rPr>
          <w:rFonts w:cs="Times New Roman"/>
          <w:color w:val="auto"/>
        </w:rPr>
        <w:t xml:space="preserve">, it was not enough to meet the Court’s requirements for patentability. </w:t>
      </w:r>
    </w:p>
    <w:p w14:paraId="4D12DB91" w14:textId="1491D3C5" w:rsidR="00590EFF" w:rsidRDefault="00590EFF" w:rsidP="00590EFF">
      <w:pPr>
        <w:ind w:firstLine="720"/>
        <w:rPr>
          <w:rFonts w:cs="Times New Roman"/>
          <w:color w:val="auto"/>
        </w:rPr>
      </w:pPr>
      <w:r w:rsidRPr="00A74008">
        <w:rPr>
          <w:rFonts w:cs="Times New Roman"/>
          <w:color w:val="auto"/>
        </w:rPr>
        <w:t xml:space="preserve">In 1980 the Supreme Court considered claims for a process for curing synthetic rubber in </w:t>
      </w:r>
      <w:r w:rsidRPr="00A74008">
        <w:rPr>
          <w:rFonts w:cs="Times New Roman"/>
          <w:i/>
          <w:color w:val="auto"/>
        </w:rPr>
        <w:t xml:space="preserve">Diamond v. </w:t>
      </w:r>
      <w:proofErr w:type="spellStart"/>
      <w:r w:rsidRPr="00A74008">
        <w:rPr>
          <w:rFonts w:cs="Times New Roman"/>
          <w:i/>
          <w:color w:val="auto"/>
        </w:rPr>
        <w:t>Diehr</w:t>
      </w:r>
      <w:proofErr w:type="spellEnd"/>
      <w:r w:rsidRPr="00A74008">
        <w:rPr>
          <w:rFonts w:cs="Times New Roman"/>
          <w:color w:val="auto"/>
        </w:rPr>
        <w:t>. This process relied heavily on a formula known as the Arrhenius equation. By continually taking temperature measurements, a digital computer would use the formula to provide an accurate cure time.</w:t>
      </w:r>
      <w:r w:rsidRPr="00A74008">
        <w:rPr>
          <w:rStyle w:val="FootnoteReference"/>
          <w:rFonts w:cs="Times New Roman"/>
          <w:color w:val="auto"/>
        </w:rPr>
        <w:footnoteReference w:id="50"/>
      </w:r>
      <w:r w:rsidRPr="00A74008">
        <w:rPr>
          <w:rFonts w:cs="Times New Roman"/>
          <w:color w:val="auto"/>
        </w:rPr>
        <w:t xml:space="preserve"> Here the Supreme Court upheld the patent, stating the claims must be </w:t>
      </w:r>
      <w:proofErr w:type="gramStart"/>
      <w:r w:rsidRPr="00A74008">
        <w:rPr>
          <w:rFonts w:cs="Times New Roman"/>
          <w:color w:val="auto"/>
        </w:rPr>
        <w:t>considered as a whole, and</w:t>
      </w:r>
      <w:proofErr w:type="gramEnd"/>
      <w:r w:rsidRPr="00A74008">
        <w:rPr>
          <w:rFonts w:cs="Times New Roman"/>
          <w:color w:val="auto"/>
        </w:rPr>
        <w:t xml:space="preserve"> that use of a mathematical formula did not disqualify a patent. </w:t>
      </w:r>
      <w:commentRangeStart w:id="22"/>
      <w:r w:rsidRPr="00A74008">
        <w:rPr>
          <w:rFonts w:cs="Times New Roman"/>
          <w:color w:val="auto"/>
        </w:rPr>
        <w:t xml:space="preserve">This decision seemly reversed </w:t>
      </w:r>
      <w:commentRangeStart w:id="23"/>
      <w:r w:rsidRPr="00A74008">
        <w:rPr>
          <w:rFonts w:cs="Times New Roman"/>
          <w:i/>
          <w:color w:val="auto"/>
        </w:rPr>
        <w:t>Benson</w:t>
      </w:r>
      <w:commentRangeEnd w:id="23"/>
      <w:r w:rsidRPr="00A74008">
        <w:rPr>
          <w:rStyle w:val="CommentReference"/>
          <w:rFonts w:cs="Times New Roman"/>
          <w:color w:val="auto"/>
        </w:rPr>
        <w:commentReference w:id="23"/>
      </w:r>
      <w:commentRangeEnd w:id="22"/>
      <w:r w:rsidRPr="00A74008">
        <w:rPr>
          <w:rStyle w:val="CommentReference"/>
          <w:rFonts w:cs="Times New Roman"/>
          <w:color w:val="auto"/>
        </w:rPr>
        <w:commentReference w:id="22"/>
      </w:r>
      <w:r w:rsidRPr="00A74008">
        <w:rPr>
          <w:rFonts w:cs="Times New Roman"/>
          <w:color w:val="auto"/>
        </w:rPr>
        <w:t xml:space="preserve">, but the Supreme Court, distinguished it from </w:t>
      </w:r>
      <w:r w:rsidRPr="00A74008">
        <w:rPr>
          <w:rFonts w:cs="Times New Roman"/>
          <w:i/>
          <w:color w:val="auto"/>
        </w:rPr>
        <w:t>Benson</w:t>
      </w:r>
      <w:r w:rsidRPr="00A74008">
        <w:rPr>
          <w:rFonts w:cs="Times New Roman"/>
          <w:color w:val="auto"/>
        </w:rPr>
        <w:t xml:space="preserve">, characterizing the </w:t>
      </w:r>
      <w:proofErr w:type="spellStart"/>
      <w:r w:rsidRPr="00A74008">
        <w:rPr>
          <w:rFonts w:cs="Times New Roman"/>
          <w:i/>
          <w:color w:val="auto"/>
        </w:rPr>
        <w:t>Diehr</w:t>
      </w:r>
      <w:proofErr w:type="spellEnd"/>
      <w:r w:rsidRPr="00A74008">
        <w:rPr>
          <w:rFonts w:cs="Times New Roman"/>
          <w:i/>
          <w:color w:val="auto"/>
        </w:rPr>
        <w:t xml:space="preserve"> </w:t>
      </w:r>
      <w:r w:rsidRPr="00A74008">
        <w:rPr>
          <w:rFonts w:cs="Times New Roman"/>
          <w:color w:val="auto"/>
        </w:rPr>
        <w:t xml:space="preserve">claims as a method for curing rubber, rather than a math formula. The court emphasized examining the </w:t>
      </w:r>
      <w:proofErr w:type="gramStart"/>
      <w:r w:rsidRPr="00A74008">
        <w:rPr>
          <w:rFonts w:cs="Times New Roman"/>
          <w:color w:val="auto"/>
        </w:rPr>
        <w:t>claims as a whole, rather</w:t>
      </w:r>
      <w:proofErr w:type="gramEnd"/>
      <w:r w:rsidRPr="00A74008">
        <w:rPr>
          <w:rFonts w:cs="Times New Roman"/>
          <w:color w:val="auto"/>
        </w:rPr>
        <w:t xml:space="preserve"> than individually. Upon examination, the Court found that the additional steps integrated the equation into a process and therefore </w:t>
      </w:r>
      <w:commentRangeStart w:id="24"/>
      <w:commentRangeEnd w:id="24"/>
      <w:r w:rsidRPr="00A74008">
        <w:rPr>
          <w:rStyle w:val="CommentReference"/>
          <w:rFonts w:cs="Times New Roman"/>
          <w:color w:val="auto"/>
        </w:rPr>
        <w:commentReference w:id="24"/>
      </w:r>
      <w:r w:rsidRPr="00A74008">
        <w:rPr>
          <w:rFonts w:cs="Times New Roman"/>
          <w:color w:val="auto"/>
        </w:rPr>
        <w:t>patentable. The patent did not seek to protect the formula, but rather the process of how the formula was used.</w:t>
      </w:r>
      <w:r w:rsidRPr="00A74008">
        <w:rPr>
          <w:rStyle w:val="FootnoteReference"/>
          <w:rFonts w:cs="Times New Roman"/>
          <w:color w:val="auto"/>
        </w:rPr>
        <w:footnoteReference w:id="51"/>
      </w:r>
      <w:r w:rsidRPr="00A74008">
        <w:rPr>
          <w:rFonts w:cs="Times New Roman"/>
          <w:color w:val="auto"/>
        </w:rPr>
        <w:t xml:space="preserve"> Despite similar dependencies on mathematical formula, two different outcomes occurred. This suggests</w:t>
      </w:r>
      <w:commentRangeStart w:id="25"/>
      <w:r w:rsidRPr="00A74008">
        <w:rPr>
          <w:rFonts w:cs="Times New Roman"/>
          <w:color w:val="auto"/>
        </w:rPr>
        <w:t xml:space="preserve"> that physical transformation is required for patent eligibility</w:t>
      </w:r>
      <w:commentRangeEnd w:id="25"/>
      <w:r w:rsidRPr="00A74008">
        <w:rPr>
          <w:rStyle w:val="CommentReference"/>
          <w:rFonts w:cs="Times New Roman"/>
          <w:color w:val="auto"/>
        </w:rPr>
        <w:commentReference w:id="25"/>
      </w:r>
      <w:r w:rsidRPr="00A74008">
        <w:rPr>
          <w:rStyle w:val="FootnoteReference"/>
          <w:rFonts w:cs="Times New Roman"/>
          <w:color w:val="auto"/>
        </w:rPr>
        <w:footnoteReference w:id="52"/>
      </w:r>
      <w:r w:rsidRPr="00A74008">
        <w:rPr>
          <w:rFonts w:cs="Times New Roman"/>
          <w:color w:val="auto"/>
        </w:rPr>
        <w:t xml:space="preserve"> and how an invention is described and labelled is critical to patent survival.</w:t>
      </w:r>
    </w:p>
    <w:p w14:paraId="79186390" w14:textId="77777777" w:rsidR="000925C3" w:rsidRPr="00DF3A1A" w:rsidRDefault="000925C3" w:rsidP="000925C3">
      <w:pPr>
        <w:ind w:firstLine="720"/>
        <w:rPr>
          <w:rFonts w:cs="Times New Roman"/>
          <w:i/>
          <w:color w:val="FF0000"/>
          <w:szCs w:val="24"/>
        </w:rPr>
      </w:pPr>
      <w:r w:rsidRPr="00E85688">
        <w:rPr>
          <w:i/>
        </w:rPr>
        <w:lastRenderedPageBreak/>
        <w:t xml:space="preserve">Arrhythmia Research Technology Inc. v. </w:t>
      </w:r>
      <w:proofErr w:type="spellStart"/>
      <w:r w:rsidRPr="00E85688">
        <w:rPr>
          <w:i/>
        </w:rPr>
        <w:t>Corazonix</w:t>
      </w:r>
      <w:proofErr w:type="spellEnd"/>
      <w:r w:rsidRPr="00E85688">
        <w:rPr>
          <w:i/>
        </w:rPr>
        <w:t xml:space="preserve"> Corp.</w:t>
      </w:r>
      <w:r>
        <w:t>, the patent at issue claim concerned analysis of electrocardiographic signals to determine characteristics of the heart.</w:t>
      </w:r>
      <w:r>
        <w:rPr>
          <w:rStyle w:val="FootnoteReference"/>
        </w:rPr>
        <w:footnoteReference w:id="53"/>
      </w:r>
      <w:r>
        <w:t xml:space="preserve"> The electrocardiographic signals are processed with a variety of mathematical filters and functions.</w:t>
      </w:r>
      <w:r>
        <w:rPr>
          <w:rStyle w:val="FootnoteReference"/>
        </w:rPr>
        <w:footnoteReference w:id="54"/>
      </w:r>
      <w:r>
        <w:t xml:space="preserve"> </w:t>
      </w:r>
      <w:r w:rsidRPr="00DF3A1A">
        <w:t>Arrhythmia Research</w:t>
      </w:r>
      <w:r>
        <w:t xml:space="preserve"> stressed</w:t>
      </w:r>
      <w:r>
        <w:rPr>
          <w:i/>
        </w:rPr>
        <w:t xml:space="preserve"> </w:t>
      </w:r>
      <w:r>
        <w:t>its patent did not preempt the mathematical formulas, only the technological environment.</w:t>
      </w:r>
      <w:r>
        <w:rPr>
          <w:rStyle w:val="FootnoteReference"/>
        </w:rPr>
        <w:footnoteReference w:id="55"/>
      </w:r>
      <w:r>
        <w:t xml:space="preserve"> This clear stance helped the Federal Circuit decide in </w:t>
      </w:r>
      <w:r w:rsidRPr="00DF3A1A">
        <w:t>Arrhythmia Research</w:t>
      </w:r>
      <w:r>
        <w:t>’s favor, holding its patents valid.</w:t>
      </w:r>
      <w:r>
        <w:rPr>
          <w:rStyle w:val="FootnoteReference"/>
        </w:rPr>
        <w:footnoteReference w:id="56"/>
      </w:r>
      <w:r>
        <w:t xml:space="preserve"> </w:t>
      </w:r>
    </w:p>
    <w:p w14:paraId="5345660F" w14:textId="0D1F99E1" w:rsidR="00EF78EF" w:rsidRPr="00C85B0E" w:rsidRDefault="00BA3637" w:rsidP="001B4C2A">
      <w:pPr>
        <w:ind w:firstLine="720"/>
        <w:rPr>
          <w:rFonts w:cs="Times New Roman"/>
          <w:szCs w:val="24"/>
        </w:rPr>
      </w:pPr>
      <w:r w:rsidRPr="00C85B0E">
        <w:rPr>
          <w:rFonts w:cs="Times New Roman"/>
          <w:szCs w:val="24"/>
        </w:rPr>
        <w:t xml:space="preserve">In </w:t>
      </w:r>
      <w:r w:rsidRPr="00C85B0E">
        <w:rPr>
          <w:rFonts w:cs="Times New Roman"/>
          <w:i/>
          <w:szCs w:val="24"/>
        </w:rPr>
        <w:t xml:space="preserve">In re </w:t>
      </w:r>
      <w:proofErr w:type="spellStart"/>
      <w:r w:rsidRPr="00C85B0E">
        <w:rPr>
          <w:rFonts w:cs="Times New Roman"/>
          <w:i/>
          <w:szCs w:val="24"/>
        </w:rPr>
        <w:t>Alappat</w:t>
      </w:r>
      <w:proofErr w:type="spellEnd"/>
      <w:r w:rsidRPr="00C85B0E">
        <w:rPr>
          <w:rFonts w:cs="Times New Roman"/>
          <w:szCs w:val="24"/>
        </w:rPr>
        <w:t xml:space="preserve">, </w:t>
      </w:r>
      <w:r w:rsidR="001067A1" w:rsidRPr="00C85B0E">
        <w:rPr>
          <w:rFonts w:cs="Times New Roman"/>
          <w:szCs w:val="24"/>
        </w:rPr>
        <w:t>the claimed invention</w:t>
      </w:r>
      <w:r w:rsidR="00754BC0" w:rsidRPr="00C85B0E">
        <w:rPr>
          <w:rFonts w:cs="Times New Roman"/>
          <w:szCs w:val="24"/>
        </w:rPr>
        <w:t xml:space="preserve"> was a means for creating a smooth waveform display on a digital oscilloscope.</w:t>
      </w:r>
      <w:r w:rsidR="00754BC0" w:rsidRPr="00C85B0E">
        <w:rPr>
          <w:rStyle w:val="FootnoteReference"/>
          <w:rFonts w:cs="Times New Roman"/>
          <w:szCs w:val="24"/>
        </w:rPr>
        <w:footnoteReference w:id="57"/>
      </w:r>
      <w:r w:rsidR="00754BC0" w:rsidRPr="00C85B0E">
        <w:rPr>
          <w:rFonts w:cs="Times New Roman"/>
          <w:szCs w:val="24"/>
        </w:rPr>
        <w:t xml:space="preserve"> </w:t>
      </w:r>
      <w:r w:rsidR="00FD6DF8" w:rsidRPr="00C85B0E">
        <w:rPr>
          <w:rFonts w:cs="Times New Roman"/>
          <w:szCs w:val="24"/>
        </w:rPr>
        <w:t xml:space="preserve">An oscilloscope is a tool for measuring and displaying </w:t>
      </w:r>
      <w:r w:rsidR="00460633" w:rsidRPr="00C85B0E">
        <w:rPr>
          <w:rFonts w:cs="Times New Roman"/>
          <w:szCs w:val="24"/>
        </w:rPr>
        <w:t>electric signals.</w:t>
      </w:r>
      <w:r w:rsidR="00460633" w:rsidRPr="00C85B0E">
        <w:rPr>
          <w:rStyle w:val="FootnoteReference"/>
          <w:rFonts w:cs="Times New Roman"/>
          <w:szCs w:val="24"/>
        </w:rPr>
        <w:footnoteReference w:id="58"/>
      </w:r>
      <w:r w:rsidR="00460633" w:rsidRPr="00C85B0E">
        <w:rPr>
          <w:rFonts w:cs="Times New Roman"/>
          <w:szCs w:val="24"/>
        </w:rPr>
        <w:t xml:space="preserve"> </w:t>
      </w:r>
      <w:r w:rsidR="00DA2C5D" w:rsidRPr="00C85B0E">
        <w:rPr>
          <w:rFonts w:cs="Times New Roman"/>
          <w:szCs w:val="24"/>
        </w:rPr>
        <w:t xml:space="preserve">The displays have a finite number of </w:t>
      </w:r>
      <w:r w:rsidR="001A22FD" w:rsidRPr="00C85B0E">
        <w:rPr>
          <w:rFonts w:cs="Times New Roman"/>
          <w:szCs w:val="24"/>
        </w:rPr>
        <w:t>pixels</w:t>
      </w:r>
      <w:r w:rsidR="00DA2C5D" w:rsidRPr="00C85B0E">
        <w:rPr>
          <w:rFonts w:cs="Times New Roman"/>
          <w:szCs w:val="24"/>
        </w:rPr>
        <w:t xml:space="preserve">, and so </w:t>
      </w:r>
      <w:r w:rsidR="00BA5799" w:rsidRPr="00C85B0E">
        <w:rPr>
          <w:rFonts w:cs="Times New Roman"/>
          <w:szCs w:val="24"/>
        </w:rPr>
        <w:t xml:space="preserve">waveforms can </w:t>
      </w:r>
      <w:r w:rsidR="00EF7D93" w:rsidRPr="00C85B0E">
        <w:rPr>
          <w:rFonts w:cs="Times New Roman"/>
          <w:szCs w:val="24"/>
        </w:rPr>
        <w:t>appear</w:t>
      </w:r>
      <w:r w:rsidR="00BA5799" w:rsidRPr="00C85B0E">
        <w:rPr>
          <w:rFonts w:cs="Times New Roman"/>
          <w:szCs w:val="24"/>
        </w:rPr>
        <w:t xml:space="preserve"> jagged or discontinuous. To overcome </w:t>
      </w:r>
      <w:r w:rsidR="00EF7D93" w:rsidRPr="00C85B0E">
        <w:rPr>
          <w:rFonts w:cs="Times New Roman"/>
          <w:szCs w:val="24"/>
        </w:rPr>
        <w:t xml:space="preserve">the </w:t>
      </w:r>
      <w:r w:rsidR="001A22FD" w:rsidRPr="00C85B0E">
        <w:rPr>
          <w:rFonts w:cs="Times New Roman"/>
          <w:szCs w:val="24"/>
        </w:rPr>
        <w:t>appearance of discontinuity</w:t>
      </w:r>
      <w:r w:rsidR="00BA5799" w:rsidRPr="00C85B0E">
        <w:rPr>
          <w:rFonts w:cs="Times New Roman"/>
          <w:szCs w:val="24"/>
        </w:rPr>
        <w:t xml:space="preserve">, the invention </w:t>
      </w:r>
      <w:r w:rsidR="001A22FD" w:rsidRPr="00C85B0E">
        <w:rPr>
          <w:rFonts w:cs="Times New Roman"/>
          <w:szCs w:val="24"/>
        </w:rPr>
        <w:t>uses</w:t>
      </w:r>
      <w:r w:rsidR="00BA5799" w:rsidRPr="00C85B0E">
        <w:rPr>
          <w:rFonts w:cs="Times New Roman"/>
          <w:szCs w:val="24"/>
        </w:rPr>
        <w:t xml:space="preserve"> an anti-aliasing system </w:t>
      </w:r>
      <w:r w:rsidR="009D0A4C" w:rsidRPr="00C85B0E">
        <w:rPr>
          <w:rFonts w:cs="Times New Roman"/>
          <w:szCs w:val="24"/>
        </w:rPr>
        <w:t xml:space="preserve">in which </w:t>
      </w:r>
      <w:r w:rsidR="001A22FD" w:rsidRPr="00C85B0E">
        <w:rPr>
          <w:rFonts w:cs="Times New Roman"/>
          <w:szCs w:val="24"/>
        </w:rPr>
        <w:t>the intensity of pixel illumination is dependent on the distance from the center of the waveform</w:t>
      </w:r>
      <w:r w:rsidR="007A6610" w:rsidRPr="00C85B0E">
        <w:rPr>
          <w:rFonts w:cs="Times New Roman"/>
          <w:szCs w:val="24"/>
        </w:rPr>
        <w:t>.</w:t>
      </w:r>
      <w:r w:rsidR="00685946" w:rsidRPr="00C85B0E">
        <w:rPr>
          <w:rFonts w:cs="Times New Roman"/>
          <w:szCs w:val="24"/>
        </w:rPr>
        <w:t xml:space="preserve"> This anti-aliasing depend</w:t>
      </w:r>
      <w:r w:rsidR="000C7260" w:rsidRPr="00C85B0E">
        <w:rPr>
          <w:rFonts w:cs="Times New Roman"/>
          <w:szCs w:val="24"/>
        </w:rPr>
        <w:t xml:space="preserve">ed </w:t>
      </w:r>
      <w:r w:rsidR="00685946" w:rsidRPr="00C85B0E">
        <w:rPr>
          <w:rFonts w:cs="Times New Roman"/>
          <w:szCs w:val="24"/>
        </w:rPr>
        <w:t xml:space="preserve">on a series of </w:t>
      </w:r>
      <w:r w:rsidR="000C7260" w:rsidRPr="00C85B0E">
        <w:rPr>
          <w:rFonts w:cs="Times New Roman"/>
          <w:szCs w:val="24"/>
        </w:rPr>
        <w:t xml:space="preserve">mathematical </w:t>
      </w:r>
      <w:r w:rsidR="0010549A" w:rsidRPr="00C85B0E">
        <w:rPr>
          <w:rFonts w:cs="Times New Roman"/>
          <w:szCs w:val="24"/>
        </w:rPr>
        <w:t>calculations,</w:t>
      </w:r>
      <w:r w:rsidR="000C7260" w:rsidRPr="00C85B0E">
        <w:rPr>
          <w:rFonts w:cs="Times New Roman"/>
          <w:szCs w:val="24"/>
        </w:rPr>
        <w:t xml:space="preserve"> but</w:t>
      </w:r>
      <w:r w:rsidR="00B402ED" w:rsidRPr="00C85B0E">
        <w:rPr>
          <w:rFonts w:cs="Times New Roman"/>
          <w:szCs w:val="24"/>
        </w:rPr>
        <w:t xml:space="preserve"> the</w:t>
      </w:r>
      <w:r w:rsidR="000C7260" w:rsidRPr="00C85B0E">
        <w:rPr>
          <w:rFonts w:cs="Times New Roman"/>
          <w:szCs w:val="24"/>
        </w:rPr>
        <w:t xml:space="preserve"> patent was held to be valid because it produced </w:t>
      </w:r>
      <w:commentRangeStart w:id="26"/>
      <w:r w:rsidR="000C7260" w:rsidRPr="00C85B0E">
        <w:rPr>
          <w:rFonts w:cs="Times New Roman"/>
          <w:szCs w:val="24"/>
        </w:rPr>
        <w:t>“a useful, concrete and tangible result</w:t>
      </w:r>
      <w:r w:rsidR="00687688" w:rsidRPr="00C85B0E">
        <w:rPr>
          <w:rFonts w:cs="Times New Roman"/>
          <w:szCs w:val="24"/>
        </w:rPr>
        <w:t>.</w:t>
      </w:r>
      <w:commentRangeEnd w:id="26"/>
      <w:r w:rsidR="00C85B0E" w:rsidRPr="00C85B0E">
        <w:rPr>
          <w:rStyle w:val="CommentReference"/>
        </w:rPr>
        <w:commentReference w:id="26"/>
      </w:r>
      <w:r w:rsidR="000C7260" w:rsidRPr="00C85B0E">
        <w:rPr>
          <w:rFonts w:cs="Times New Roman"/>
          <w:szCs w:val="24"/>
        </w:rPr>
        <w:t>”</w:t>
      </w:r>
      <w:r w:rsidR="000C7260" w:rsidRPr="00C85B0E">
        <w:rPr>
          <w:rStyle w:val="FootnoteReference"/>
          <w:rFonts w:cs="Times New Roman"/>
          <w:szCs w:val="24"/>
        </w:rPr>
        <w:footnoteReference w:id="59"/>
      </w:r>
      <w:r w:rsidR="00216E3A" w:rsidRPr="00C85B0E">
        <w:rPr>
          <w:rFonts w:cs="Times New Roman"/>
          <w:szCs w:val="24"/>
        </w:rPr>
        <w:t xml:space="preserve"> The patent’s claims were sufficiently narrow</w:t>
      </w:r>
      <w:r w:rsidR="00E464F6" w:rsidRPr="00C85B0E">
        <w:rPr>
          <w:rFonts w:cs="Times New Roman"/>
          <w:szCs w:val="24"/>
        </w:rPr>
        <w:t xml:space="preserve"> that the claims did not </w:t>
      </w:r>
      <w:r w:rsidR="00A33295" w:rsidRPr="00C85B0E">
        <w:rPr>
          <w:rFonts w:cs="Times New Roman"/>
          <w:szCs w:val="24"/>
        </w:rPr>
        <w:t xml:space="preserve">monopolize a scientific block. </w:t>
      </w:r>
      <w:r w:rsidR="00FC0633" w:rsidRPr="00C85B0E">
        <w:rPr>
          <w:rFonts w:cs="Times New Roman"/>
          <w:szCs w:val="24"/>
        </w:rPr>
        <w:t xml:space="preserve">However, the standard is still unclear. </w:t>
      </w:r>
      <w:proofErr w:type="spellStart"/>
      <w:r w:rsidR="00FC0633" w:rsidRPr="00C85B0E">
        <w:rPr>
          <w:rFonts w:cs="Times New Roman"/>
          <w:i/>
          <w:szCs w:val="24"/>
        </w:rPr>
        <w:t>Diehr</w:t>
      </w:r>
      <w:proofErr w:type="spellEnd"/>
      <w:r w:rsidR="00FC0633" w:rsidRPr="00C85B0E">
        <w:rPr>
          <w:rFonts w:cs="Times New Roman"/>
          <w:szCs w:val="24"/>
        </w:rPr>
        <w:t xml:space="preserve"> states that l</w:t>
      </w:r>
      <w:r w:rsidR="00FC0633" w:rsidRPr="00C85B0E">
        <w:rPr>
          <w:rFonts w:cs="Times New Roman"/>
        </w:rPr>
        <w:t xml:space="preserve">imiting formulas to a </w:t>
      </w:r>
      <w:proofErr w:type="gramStart"/>
      <w:r w:rsidR="00FC0633" w:rsidRPr="00C85B0E">
        <w:rPr>
          <w:rFonts w:cs="Times New Roman"/>
        </w:rPr>
        <w:t>particular technological</w:t>
      </w:r>
      <w:proofErr w:type="gramEnd"/>
      <w:r w:rsidR="00FC0633" w:rsidRPr="00C85B0E">
        <w:rPr>
          <w:rFonts w:cs="Times New Roman"/>
        </w:rPr>
        <w:t xml:space="preserve"> environment will not make them patentable.</w:t>
      </w:r>
      <w:r w:rsidR="00FC0633" w:rsidRPr="00C85B0E">
        <w:rPr>
          <w:rStyle w:val="FootnoteReference"/>
          <w:rFonts w:cs="Times New Roman"/>
        </w:rPr>
        <w:footnoteReference w:id="60"/>
      </w:r>
      <w:r w:rsidR="00FC0633" w:rsidRPr="00C85B0E">
        <w:rPr>
          <w:rFonts w:cs="Times New Roman"/>
        </w:rPr>
        <w:t xml:space="preserve"> </w:t>
      </w:r>
      <w:r w:rsidR="00126432" w:rsidRPr="00C85B0E">
        <w:rPr>
          <w:rFonts w:cs="Times New Roman"/>
          <w:i/>
        </w:rPr>
        <w:t xml:space="preserve">In re </w:t>
      </w:r>
      <w:proofErr w:type="spellStart"/>
      <w:r w:rsidR="00126432" w:rsidRPr="00C85B0E">
        <w:rPr>
          <w:rFonts w:cs="Times New Roman"/>
          <w:i/>
        </w:rPr>
        <w:t>Alappat</w:t>
      </w:r>
      <w:proofErr w:type="spellEnd"/>
      <w:r w:rsidR="00126432" w:rsidRPr="00C85B0E">
        <w:rPr>
          <w:rFonts w:cs="Times New Roman"/>
          <w:i/>
        </w:rPr>
        <w:t xml:space="preserve"> </w:t>
      </w:r>
      <w:r w:rsidR="004A4EEB">
        <w:rPr>
          <w:rFonts w:cs="Times New Roman"/>
        </w:rPr>
        <w:t>does exactly that</w:t>
      </w:r>
      <w:r w:rsidR="00F61CC0" w:rsidRPr="00C85B0E">
        <w:rPr>
          <w:rFonts w:cs="Times New Roman"/>
        </w:rPr>
        <w:t xml:space="preserve">, and it was held patentable. The standards used by the Courts are anything but </w:t>
      </w:r>
      <w:r w:rsidR="0010549A" w:rsidRPr="00C85B0E">
        <w:rPr>
          <w:rFonts w:cs="Times New Roman"/>
        </w:rPr>
        <w:t>clear and</w:t>
      </w:r>
      <w:r w:rsidR="00F61CC0" w:rsidRPr="00C85B0E">
        <w:rPr>
          <w:rFonts w:cs="Times New Roman"/>
        </w:rPr>
        <w:t xml:space="preserve"> </w:t>
      </w:r>
      <w:r w:rsidR="0010549A" w:rsidRPr="00C85B0E">
        <w:rPr>
          <w:rFonts w:cs="Times New Roman"/>
        </w:rPr>
        <w:t xml:space="preserve">leave the question of how much is required to be patentable uncertain. </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29A14B0C" w:rsidR="00EA6F4B" w:rsidRPr="005D5D0A" w:rsidRDefault="00546A3E" w:rsidP="004734AD">
      <w:pPr>
        <w:ind w:firstLine="720"/>
        <w:rPr>
          <w:rFonts w:cs="Times New Roman"/>
        </w:rPr>
      </w:pPr>
      <w:r w:rsidRPr="005D5D0A">
        <w:rPr>
          <w:rFonts w:cs="Times New Roman"/>
          <w:i/>
        </w:rPr>
        <w:t>State Street Bank &amp; Trust Co. v. Signature Financial Group, Inc.</w:t>
      </w:r>
      <w:r w:rsidRPr="005D5D0A">
        <w:rPr>
          <w:rFonts w:cs="Times New Roman"/>
        </w:rPr>
        <w:t xml:space="preserve">, reaffirmed the </w:t>
      </w:r>
      <w:r w:rsidR="003E5EEC" w:rsidRPr="005D5D0A">
        <w:rPr>
          <w:rFonts w:cs="Times New Roman"/>
        </w:rPr>
        <w:t xml:space="preserve">standard of “useful, concrete, and tangible result” set forth in </w:t>
      </w:r>
      <w:r w:rsidR="003E5EEC" w:rsidRPr="005D5D0A">
        <w:rPr>
          <w:rFonts w:cs="Times New Roman"/>
          <w:i/>
        </w:rPr>
        <w:t xml:space="preserve">In re </w:t>
      </w:r>
      <w:proofErr w:type="spellStart"/>
      <w:r w:rsidR="003E5EEC" w:rsidRPr="005D5D0A">
        <w:rPr>
          <w:rFonts w:cs="Times New Roman"/>
          <w:i/>
        </w:rPr>
        <w:t>Alappat</w:t>
      </w:r>
      <w:proofErr w:type="spellEnd"/>
      <w:r w:rsidR="003E5EEC" w:rsidRPr="005D5D0A">
        <w:rPr>
          <w:rFonts w:cs="Times New Roman"/>
        </w:rPr>
        <w:t>.</w:t>
      </w:r>
      <w:r w:rsidR="003E5EEC" w:rsidRPr="005D5D0A">
        <w:rPr>
          <w:rStyle w:val="FootnoteReference"/>
          <w:rFonts w:cs="Times New Roman"/>
        </w:rPr>
        <w:footnoteReference w:id="61"/>
      </w:r>
      <w:r w:rsidR="00367E97" w:rsidRPr="005D5D0A">
        <w:rPr>
          <w:rFonts w:cs="Times New Roman"/>
        </w:rPr>
        <w:t xml:space="preserve"> </w:t>
      </w:r>
      <w:r w:rsidR="00DD4F57" w:rsidRPr="005D5D0A">
        <w:rPr>
          <w:rFonts w:cs="Times New Roman"/>
          <w:i/>
        </w:rPr>
        <w:t xml:space="preserve">State Street </w:t>
      </w:r>
      <w:r w:rsidR="00DD4F57" w:rsidRPr="005D5D0A">
        <w:rPr>
          <w:rFonts w:cs="Times New Roman"/>
        </w:rPr>
        <w:t xml:space="preserve">reasoned </w:t>
      </w:r>
      <w:r w:rsidR="006148D6" w:rsidRPr="005D5D0A">
        <w:rPr>
          <w:rFonts w:cs="Times New Roman"/>
        </w:rPr>
        <w:t>“</w:t>
      </w:r>
      <w:r w:rsidR="006F421D" w:rsidRPr="005D5D0A">
        <w:rPr>
          <w:rFonts w:cs="Times New Roman"/>
        </w:rPr>
        <w:t>u</w:t>
      </w:r>
      <w:r w:rsidR="006148D6" w:rsidRPr="005D5D0A">
        <w:rPr>
          <w:rFonts w:cs="Times New Roman"/>
        </w:rPr>
        <w:t>npatentable mathematical algorithms are identifiable by showing they are merely abstract ideas constituting disembodied concepts or truths that are not ‘useful.’”.</w:t>
      </w:r>
      <w:r w:rsidR="006148D6" w:rsidRPr="005D5D0A">
        <w:rPr>
          <w:rStyle w:val="FootnoteReference"/>
          <w:rFonts w:cs="Times New Roman"/>
        </w:rPr>
        <w:footnoteReference w:id="62"/>
      </w:r>
      <w:r w:rsidR="006B66FA" w:rsidRPr="005D5D0A">
        <w:rPr>
          <w:rFonts w:cs="Times New Roman"/>
        </w:rPr>
        <w:t xml:space="preserve"> </w:t>
      </w:r>
      <w:r w:rsidR="004B2387" w:rsidRPr="005D5D0A">
        <w:rPr>
          <w:rFonts w:cs="Times New Roman"/>
        </w:rPr>
        <w:t xml:space="preserve">Although difficult to imagine a formula without a use, the court clarified </w:t>
      </w:r>
      <w:r w:rsidR="00346B25" w:rsidRPr="005D5D0A">
        <w:rPr>
          <w:rFonts w:cs="Times New Roman"/>
        </w:rPr>
        <w:t>this means that for an algorithm to be patentable it must be applied in a useful way.</w:t>
      </w:r>
      <w:r w:rsidR="00346B25" w:rsidRPr="005D5D0A">
        <w:rPr>
          <w:rStyle w:val="FootnoteReference"/>
          <w:rFonts w:cs="Times New Roman"/>
        </w:rPr>
        <w:footnoteReference w:id="63"/>
      </w:r>
      <w:r w:rsidR="00346B25" w:rsidRPr="005D5D0A">
        <w:rPr>
          <w:rFonts w:cs="Times New Roman"/>
        </w:rPr>
        <w:t xml:space="preserve"> </w:t>
      </w:r>
      <w:r w:rsidR="005D5D0A" w:rsidRPr="005D5D0A">
        <w:rPr>
          <w:rFonts w:cs="Times New Roman"/>
          <w:color w:val="FF0000"/>
        </w:rPr>
        <w:t>[What is concrete, what is tangible? Find other examples of this test at work!].</w:t>
      </w:r>
      <w:r w:rsidR="005D5D0A">
        <w:rPr>
          <w:rFonts w:cs="Times New Roman"/>
        </w:rPr>
        <w:t xml:space="preserve"> </w:t>
      </w:r>
      <w:r w:rsidR="00195460" w:rsidRPr="005D5D0A">
        <w:rPr>
          <w:rFonts w:cs="Times New Roman"/>
        </w:rPr>
        <w:t xml:space="preserve">In </w:t>
      </w:r>
      <w:r w:rsidR="00195460" w:rsidRPr="005D5D0A">
        <w:rPr>
          <w:rFonts w:cs="Times New Roman"/>
          <w:i/>
        </w:rPr>
        <w:t>Arr</w:t>
      </w:r>
      <w:r w:rsidR="00AE0DBD" w:rsidRPr="005D5D0A">
        <w:rPr>
          <w:rFonts w:cs="Times New Roman"/>
          <w:i/>
        </w:rPr>
        <w:t>hythmia</w:t>
      </w:r>
      <w:r w:rsidR="00AE0DBD" w:rsidRPr="005D5D0A">
        <w:rPr>
          <w:rFonts w:cs="Times New Roman"/>
        </w:rPr>
        <w:t xml:space="preserve">, the Court </w:t>
      </w:r>
      <w:r w:rsidR="009C100D" w:rsidRPr="005D5D0A">
        <w:rPr>
          <w:rFonts w:cs="Times New Roman"/>
        </w:rPr>
        <w:t xml:space="preserve">ruled that the mathematical formula was </w:t>
      </w:r>
      <w:r w:rsidR="000F7D6C" w:rsidRPr="005D5D0A">
        <w:rPr>
          <w:rFonts w:cs="Times New Roman"/>
        </w:rPr>
        <w:t xml:space="preserve">a </w:t>
      </w:r>
      <w:r w:rsidR="009C100D" w:rsidRPr="005D5D0A">
        <w:rPr>
          <w:rFonts w:cs="Times New Roman"/>
        </w:rPr>
        <w:t>patentable</w:t>
      </w:r>
      <w:r w:rsidR="005D5D0A" w:rsidRPr="005D5D0A">
        <w:rPr>
          <w:rFonts w:cs="Times New Roman"/>
        </w:rPr>
        <w:t>,</w:t>
      </w:r>
      <w:r w:rsidR="00611ADF" w:rsidRPr="005D5D0A">
        <w:rPr>
          <w:rFonts w:cs="Times New Roman"/>
        </w:rPr>
        <w:t xml:space="preserve"> </w:t>
      </w:r>
      <w:r w:rsidR="00DC4C24" w:rsidRPr="005D5D0A">
        <w:rPr>
          <w:rFonts w:cs="Times New Roman"/>
        </w:rPr>
        <w:t>practical application of an abstract idea,</w:t>
      </w:r>
      <w:r w:rsidR="00611ADF" w:rsidRPr="005D5D0A">
        <w:rPr>
          <w:rFonts w:cs="Times New Roman"/>
        </w:rPr>
        <w:t xml:space="preserve"> because</w:t>
      </w:r>
      <w:r w:rsidR="00DC4C24" w:rsidRPr="005D5D0A">
        <w:rPr>
          <w:rFonts w:cs="Times New Roman"/>
        </w:rPr>
        <w:t xml:space="preserve"> corresponded </w:t>
      </w:r>
      <w:r w:rsidR="001D7A2D" w:rsidRPr="005D5D0A">
        <w:rPr>
          <w:rFonts w:cs="Times New Roman"/>
        </w:rPr>
        <w:t xml:space="preserve">the condition of a patient’s heart, </w:t>
      </w:r>
      <w:r w:rsidR="00DC4C24" w:rsidRPr="005D5D0A">
        <w:rPr>
          <w:rFonts w:cs="Times New Roman"/>
        </w:rPr>
        <w:t>a useful, concrete,</w:t>
      </w:r>
      <w:r w:rsidR="00AE0DBD" w:rsidRPr="005D5D0A">
        <w:rPr>
          <w:rFonts w:cs="Times New Roman"/>
          <w:i/>
        </w:rPr>
        <w:t xml:space="preserve"> </w:t>
      </w:r>
      <w:r w:rsidR="00611ADF" w:rsidRPr="005D5D0A">
        <w:rPr>
          <w:rFonts w:cs="Times New Roman"/>
        </w:rPr>
        <w:t>tangible thin</w:t>
      </w:r>
      <w:r w:rsidR="001D7A2D" w:rsidRPr="005D5D0A">
        <w:rPr>
          <w:rFonts w:cs="Times New Roman"/>
        </w:rPr>
        <w:t xml:space="preserve">g. </w:t>
      </w:r>
      <w:r w:rsidR="005F04B6" w:rsidRPr="005D5D0A">
        <w:rPr>
          <w:rFonts w:cs="Times New Roman"/>
        </w:rPr>
        <w:t xml:space="preserve">This broad test emphasized the </w:t>
      </w:r>
      <w:r w:rsidR="00FC7C9D" w:rsidRPr="005D5D0A">
        <w:rPr>
          <w:rFonts w:cs="Times New Roman"/>
        </w:rPr>
        <w:t xml:space="preserve">need for </w:t>
      </w:r>
      <w:r w:rsidR="005F04B6" w:rsidRPr="005D5D0A">
        <w:rPr>
          <w:rFonts w:cs="Times New Roman"/>
        </w:rPr>
        <w:t xml:space="preserve">attachment to the physical </w:t>
      </w:r>
      <w:r w:rsidR="00FC7C9D" w:rsidRPr="005D5D0A">
        <w:rPr>
          <w:rFonts w:cs="Times New Roman"/>
        </w:rPr>
        <w:t xml:space="preserve">world seen in </w:t>
      </w:r>
      <w:proofErr w:type="spellStart"/>
      <w:r w:rsidR="004D3169" w:rsidRPr="005D5D0A">
        <w:rPr>
          <w:rFonts w:cs="Times New Roman"/>
          <w:i/>
        </w:rPr>
        <w:t>Diehr</w:t>
      </w:r>
      <w:proofErr w:type="spellEnd"/>
      <w:r w:rsidR="004D3169" w:rsidRPr="005D5D0A">
        <w:rPr>
          <w:rFonts w:cs="Times New Roman"/>
          <w:i/>
        </w:rPr>
        <w:t xml:space="preserve"> </w:t>
      </w:r>
      <w:r w:rsidR="004D3169" w:rsidRPr="005D5D0A">
        <w:rPr>
          <w:rFonts w:cs="Times New Roman"/>
        </w:rPr>
        <w:t xml:space="preserve">and </w:t>
      </w:r>
      <w:r w:rsidR="004D3169" w:rsidRPr="005D5D0A">
        <w:rPr>
          <w:rFonts w:cs="Times New Roman"/>
          <w:i/>
        </w:rPr>
        <w:t>Benson</w:t>
      </w:r>
      <w:r w:rsidR="004D3169" w:rsidRPr="005D5D0A">
        <w:rPr>
          <w:rFonts w:cs="Times New Roman"/>
        </w:rPr>
        <w:t>.</w:t>
      </w:r>
      <w:r w:rsidR="004D3169" w:rsidRPr="005D5D0A">
        <w:rPr>
          <w:rFonts w:cs="Times New Roman"/>
          <w:i/>
        </w:rPr>
        <w:t xml:space="preserve"> </w:t>
      </w:r>
      <w:r w:rsidR="00367E97" w:rsidRPr="005D5D0A">
        <w:rPr>
          <w:rFonts w:cs="Times New Roman"/>
        </w:rPr>
        <w:t>Eventually</w:t>
      </w:r>
      <w:r w:rsidR="00937297" w:rsidRPr="005D5D0A">
        <w:rPr>
          <w:rFonts w:cs="Times New Roman"/>
        </w:rPr>
        <w:t xml:space="preserve"> </w:t>
      </w:r>
      <w:proofErr w:type="gramStart"/>
      <w:r w:rsidR="00937297" w:rsidRPr="005D5D0A">
        <w:rPr>
          <w:rFonts w:cs="Times New Roman"/>
        </w:rPr>
        <w:t>this test would be replace</w:t>
      </w:r>
      <w:r w:rsidR="000737ED" w:rsidRPr="005D5D0A">
        <w:rPr>
          <w:rFonts w:cs="Times New Roman"/>
        </w:rPr>
        <w:t>d by</w:t>
      </w:r>
      <w:r w:rsidR="00937297" w:rsidRPr="005D5D0A">
        <w:rPr>
          <w:rFonts w:cs="Times New Roman"/>
        </w:rPr>
        <w:t xml:space="preserve"> </w:t>
      </w:r>
      <w:r w:rsidR="003467A4" w:rsidRPr="005D5D0A">
        <w:rPr>
          <w:rFonts w:cs="Times New Roman"/>
        </w:rPr>
        <w:t>the machine-or-transformation test</w:t>
      </w:r>
      <w:proofErr w:type="gramEnd"/>
      <w:r w:rsidR="003467A4" w:rsidRPr="005D5D0A">
        <w:rPr>
          <w:rFonts w:cs="Times New Roman"/>
        </w:rPr>
        <w:t>.</w:t>
      </w:r>
      <w:r w:rsidR="003467A4" w:rsidRPr="005D5D0A">
        <w:rPr>
          <w:rStyle w:val="FootnoteReference"/>
          <w:rFonts w:cs="Times New Roman"/>
        </w:rPr>
        <w:footnoteReference w:id="64"/>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65"/>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66"/>
      </w:r>
      <w:r w:rsidRPr="00A74008">
        <w:rPr>
          <w:rFonts w:cs="Times New Roman"/>
          <w:color w:val="auto"/>
        </w:rPr>
        <w:t xml:space="preserve">, required an applicant to show the claim </w:t>
      </w:r>
      <w:commentRangeStart w:id="27"/>
      <w:r w:rsidRPr="00A74008">
        <w:rPr>
          <w:rFonts w:cs="Times New Roman"/>
          <w:color w:val="auto"/>
        </w:rPr>
        <w:t>was tied to a machine</w:t>
      </w:r>
      <w:commentRangeEnd w:id="27"/>
      <w:r w:rsidRPr="00A74008">
        <w:rPr>
          <w:rStyle w:val="CommentReference"/>
          <w:rFonts w:cs="Times New Roman"/>
          <w:color w:val="auto"/>
        </w:rPr>
        <w:commentReference w:id="27"/>
      </w:r>
      <w:r w:rsidRPr="00A74008">
        <w:rPr>
          <w:rFonts w:cs="Times New Roman"/>
          <w:color w:val="auto"/>
        </w:rPr>
        <w:t>, or that it transformed an article.</w:t>
      </w:r>
      <w:r w:rsidRPr="00A74008">
        <w:rPr>
          <w:rStyle w:val="FootnoteReference"/>
          <w:rFonts w:cs="Times New Roman"/>
          <w:color w:val="auto"/>
        </w:rPr>
        <w:footnoteReference w:id="67"/>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w:t>
      </w:r>
      <w:r w:rsidRPr="00A74008">
        <w:rPr>
          <w:rFonts w:cs="Times New Roman"/>
          <w:color w:val="auto"/>
        </w:rPr>
        <w:lastRenderedPageBreak/>
        <w:t>eligible if it transforms “particular article into a different state or thing”.</w:t>
      </w:r>
      <w:r w:rsidRPr="00A74008">
        <w:rPr>
          <w:rStyle w:val="FootnoteReference"/>
          <w:rFonts w:cs="Times New Roman"/>
          <w:color w:val="auto"/>
        </w:rPr>
        <w:footnoteReference w:id="68"/>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69"/>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70"/>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71"/>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particular machine, but in the same opinion the Court notes that </w:t>
      </w:r>
      <w:r w:rsidR="00F8348F">
        <w:rPr>
          <w:rFonts w:cs="Times New Roman"/>
          <w:color w:val="auto"/>
        </w:rPr>
        <w:t>ineligibility under § 101 “cannot 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72"/>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73"/>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74"/>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w:t>
      </w:r>
      <w:r w:rsidRPr="00A74008">
        <w:rPr>
          <w:rFonts w:cs="Times New Roman"/>
          <w:color w:val="auto"/>
        </w:rPr>
        <w:lastRenderedPageBreak/>
        <w:t>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75"/>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76"/>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77"/>
      </w:r>
      <w:r w:rsidRPr="00A74008">
        <w:rPr>
          <w:rFonts w:cs="Times New Roman"/>
          <w:color w:val="auto"/>
        </w:rPr>
        <w:t xml:space="preserve"> </w:t>
      </w:r>
    </w:p>
    <w:p w14:paraId="1459C67C" w14:textId="094F6E7D" w:rsidR="006E37CF" w:rsidRPr="00A74008" w:rsidRDefault="00994CE2" w:rsidP="001B4C2A">
      <w:pPr>
        <w:pStyle w:val="Heading2"/>
        <w:rPr>
          <w:rFonts w:cs="Times New Roman"/>
          <w:color w:val="auto"/>
        </w:rPr>
      </w:pPr>
      <w:r w:rsidRPr="00A74008">
        <w:rPr>
          <w:rFonts w:cs="Times New Roman"/>
          <w:color w:val="auto"/>
        </w:rPr>
        <w:t>Software Patents &amp; Abstract Ideas</w:t>
      </w:r>
      <w:commentRangeStart w:id="28"/>
      <w:commentRangeEnd w:id="28"/>
      <w:r w:rsidR="006C3006" w:rsidRPr="00A74008">
        <w:rPr>
          <w:rStyle w:val="CommentReference"/>
          <w:rFonts w:eastAsiaTheme="minorHAnsi" w:cs="Times New Roman"/>
          <w:color w:val="auto"/>
        </w:rPr>
        <w:commentReference w:id="28"/>
      </w:r>
      <w:r>
        <w:rPr>
          <w:rFonts w:cs="Times New Roman"/>
          <w:color w:val="auto"/>
        </w:rPr>
        <w:t>:</w:t>
      </w:r>
      <w:r w:rsidRPr="00A74008">
        <w:rPr>
          <w:rFonts w:cs="Times New Roman"/>
          <w:color w:val="auto"/>
        </w:rPr>
        <w:t xml:space="preserve"> Why Is Software Difficult to Patent</w:t>
      </w:r>
    </w:p>
    <w:p w14:paraId="5EF52FCC" w14:textId="3BF05AC4" w:rsidR="00386A3F"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160E3D">
        <w:rPr>
          <w:rFonts w:cs="Times New Roman"/>
          <w:color w:val="auto"/>
        </w:rPr>
        <w:t xml:space="preserve">is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7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79"/>
      </w:r>
      <w:r w:rsidR="00164E50" w:rsidRPr="00A74008">
        <w:rPr>
          <w:rFonts w:cs="Times New Roman"/>
          <w:color w:val="auto"/>
        </w:rPr>
        <w:t xml:space="preserve"> </w:t>
      </w:r>
      <w:commentRangeStart w:id="29"/>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29"/>
      <w:r w:rsidR="00370E19" w:rsidRPr="00A74008">
        <w:rPr>
          <w:rStyle w:val="CommentReference"/>
          <w:rFonts w:cs="Times New Roman"/>
          <w:color w:val="auto"/>
        </w:rPr>
        <w:commentReference w:id="29"/>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8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8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w:t>
      </w:r>
      <w:r w:rsidR="000833A5" w:rsidRPr="00A74008">
        <w:rPr>
          <w:rFonts w:cs="Times New Roman"/>
          <w:color w:val="auto"/>
        </w:rPr>
        <w:lastRenderedPageBreak/>
        <w:t>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82"/>
      </w:r>
    </w:p>
    <w:p w14:paraId="79D6E2E7" w14:textId="707F341A" w:rsidR="006F5DE8" w:rsidRPr="00A74008" w:rsidRDefault="00CD4670" w:rsidP="001B4C2A">
      <w:pPr>
        <w:pStyle w:val="Heading2"/>
        <w:rPr>
          <w:rFonts w:cs="Times New Roman"/>
          <w:color w:val="auto"/>
        </w:rPr>
      </w:pPr>
      <w:r w:rsidRPr="00994CE2">
        <w:rPr>
          <w:rFonts w:cs="Times New Roman"/>
          <w:i/>
          <w:color w:val="auto"/>
        </w:rPr>
        <w:t>Alice</w:t>
      </w:r>
      <w:r>
        <w:rPr>
          <w:rFonts w:cs="Times New Roman"/>
          <w:color w:val="auto"/>
        </w:rPr>
        <w:t xml:space="preserve">: </w:t>
      </w:r>
      <w:r w:rsidR="0007465A">
        <w:rPr>
          <w:rFonts w:cs="Times New Roman"/>
          <w:color w:val="auto"/>
        </w:rPr>
        <w:t xml:space="preserve">The </w:t>
      </w:r>
      <w:r w:rsidR="00994CE2">
        <w:rPr>
          <w:rFonts w:cs="Times New Roman"/>
          <w:color w:val="auto"/>
        </w:rPr>
        <w:t>Impetus</w:t>
      </w:r>
      <w:r w:rsidR="0007465A">
        <w:rPr>
          <w:rFonts w:cs="Times New Roman"/>
          <w:color w:val="auto"/>
        </w:rPr>
        <w:t xml:space="preserve"> </w:t>
      </w:r>
      <w:r w:rsidR="00994CE2">
        <w:rPr>
          <w:rFonts w:cs="Times New Roman"/>
          <w:color w:val="auto"/>
        </w:rPr>
        <w:t xml:space="preserve">for </w:t>
      </w:r>
      <w:r>
        <w:rPr>
          <w:rFonts w:cs="Times New Roman"/>
          <w:color w:val="auto"/>
        </w:rPr>
        <w:t>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8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8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8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8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87"/>
      </w:r>
      <w:r w:rsidR="005364D3" w:rsidRPr="00A74008">
        <w:rPr>
          <w:rFonts w:cs="Times New Roman"/>
          <w:color w:val="auto"/>
        </w:rPr>
        <w:t xml:space="preserve"> </w:t>
      </w:r>
    </w:p>
    <w:p w14:paraId="7B906CFD" w14:textId="1DA54B9E" w:rsidR="00402FDD" w:rsidRPr="00284502" w:rsidRDefault="00C00978" w:rsidP="001B4C2A">
      <w:pPr>
        <w:ind w:firstLine="720"/>
        <w:rPr>
          <w:rFonts w:cs="Times New Roman"/>
          <w:color w:val="FF0000"/>
        </w:rPr>
      </w:pPr>
      <w:r>
        <w:rPr>
          <w:rFonts w:cs="Times New Roman"/>
          <w:color w:val="FF0000"/>
        </w:rPr>
        <w:lastRenderedPageBreak/>
        <w:t xml:space="preserve">Frequently the </w:t>
      </w:r>
      <w:r w:rsidR="002A3FE6">
        <w:rPr>
          <w:rFonts w:cs="Times New Roman"/>
          <w:color w:val="FF0000"/>
        </w:rPr>
        <w:t xml:space="preserve">Courts </w:t>
      </w:r>
      <w:r w:rsidR="004177E6">
        <w:rPr>
          <w:rFonts w:cs="Times New Roman"/>
          <w:color w:val="FF0000"/>
        </w:rPr>
        <w:t xml:space="preserve">ask is the claim ‘directed to’ an abstract idea? </w:t>
      </w:r>
      <w:r w:rsidR="005B720B">
        <w:rPr>
          <w:rStyle w:val="FootnoteReference"/>
          <w:rFonts w:cs="Times New Roman"/>
          <w:color w:val="FF0000"/>
        </w:rPr>
        <w:footnoteReference w:id="88"/>
      </w:r>
      <w:r w:rsidR="002A3FE6">
        <w:rPr>
          <w:rFonts w:cs="Times New Roman"/>
          <w:color w:val="FF0000"/>
        </w:rPr>
        <w:t xml:space="preserve"> </w:t>
      </w:r>
      <w:r w:rsidR="000C3254">
        <w:rPr>
          <w:rFonts w:cs="Times New Roman"/>
          <w:color w:val="FF0000"/>
        </w:rPr>
        <w:t xml:space="preserve">On the </w:t>
      </w:r>
      <w:r w:rsidR="00C65CF8">
        <w:rPr>
          <w:rFonts w:cs="Times New Roman"/>
          <w:color w:val="FF0000"/>
        </w:rPr>
        <w:t xml:space="preserve">surface the reader may gather that the Court is asking </w:t>
      </w:r>
      <w:r w:rsidR="00236FC3">
        <w:rPr>
          <w:rFonts w:cs="Times New Roman"/>
          <w:color w:val="FF0000"/>
        </w:rPr>
        <w:t xml:space="preserve">whether the claim is about an abstract idea. The Court </w:t>
      </w:r>
      <w:r w:rsidR="003B524E">
        <w:rPr>
          <w:rFonts w:cs="Times New Roman"/>
          <w:color w:val="FF0000"/>
        </w:rPr>
        <w:t xml:space="preserve">has never taken the time to define the meaning of “directed to” but one might surmise the phrase </w:t>
      </w:r>
      <w:r w:rsidR="0020767B">
        <w:rPr>
          <w:rFonts w:cs="Times New Roman"/>
          <w:color w:val="FF0000"/>
        </w:rPr>
        <w:t>determining whether</w:t>
      </w:r>
      <w:r w:rsidR="00CB7DC8">
        <w:rPr>
          <w:rFonts w:cs="Times New Roman"/>
          <w:color w:val="FF0000"/>
        </w:rPr>
        <w:t xml:space="preserve"> the claim encompass the idea</w:t>
      </w:r>
      <w:r w:rsidR="00D64420">
        <w:rPr>
          <w:rFonts w:cs="Times New Roman"/>
          <w:color w:val="FF0000"/>
        </w:rPr>
        <w:t>;</w:t>
      </w:r>
      <w:r w:rsidR="00CB7DC8">
        <w:rPr>
          <w:rFonts w:cs="Times New Roman"/>
          <w:color w:val="FF0000"/>
        </w:rPr>
        <w:t xml:space="preserve"> </w:t>
      </w:r>
      <w:r w:rsidR="0020767B">
        <w:rPr>
          <w:rFonts w:cs="Times New Roman"/>
          <w:color w:val="FF0000"/>
        </w:rPr>
        <w:t>or whether</w:t>
      </w:r>
      <w:r w:rsidR="00CB7DC8">
        <w:rPr>
          <w:rFonts w:cs="Times New Roman"/>
          <w:color w:val="FF0000"/>
        </w:rPr>
        <w:t xml:space="preserve"> </w:t>
      </w:r>
      <w:r w:rsidR="0037443F">
        <w:rPr>
          <w:rFonts w:cs="Times New Roman"/>
          <w:color w:val="FF0000"/>
        </w:rPr>
        <w:t xml:space="preserve">claim </w:t>
      </w:r>
      <w:r w:rsidR="0020767B">
        <w:rPr>
          <w:rFonts w:cs="Times New Roman"/>
          <w:color w:val="FF0000"/>
        </w:rPr>
        <w:t xml:space="preserve">is </w:t>
      </w:r>
      <w:r w:rsidR="00E1613D">
        <w:rPr>
          <w:rFonts w:cs="Times New Roman"/>
          <w:color w:val="FF0000"/>
        </w:rPr>
        <w:t>just</w:t>
      </w:r>
      <w:r w:rsidR="0037443F">
        <w:rPr>
          <w:rFonts w:cs="Times New Roman"/>
          <w:color w:val="FF0000"/>
        </w:rPr>
        <w:t xml:space="preserve"> the abstract idea itself</w:t>
      </w:r>
      <w:r w:rsidR="0020767B">
        <w:rPr>
          <w:rFonts w:cs="Times New Roman"/>
          <w:color w:val="FF0000"/>
        </w:rPr>
        <w:t>.</w:t>
      </w:r>
      <w:r w:rsidR="00E1613D">
        <w:rPr>
          <w:rStyle w:val="FootnoteReference"/>
          <w:rFonts w:cs="Times New Roman"/>
          <w:color w:val="FF0000"/>
        </w:rPr>
        <w:footnoteReference w:id="89"/>
      </w:r>
    </w:p>
    <w:p w14:paraId="36C8A0FB" w14:textId="211C3B1C"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DF4EB9" w:rsidRPr="00A74008">
        <w:rPr>
          <w:rFonts w:cs="Times New Roman"/>
          <w:color w:val="auto"/>
        </w:rPr>
        <w:t xml:space="preserve">, in which the Supreme Court ruled that </w:t>
      </w:r>
      <w:commentRangeStart w:id="30"/>
      <w:r w:rsidR="00626E4E" w:rsidRPr="00A74008">
        <w:rPr>
          <w:rFonts w:cs="Times New Roman"/>
          <w:color w:val="auto"/>
        </w:rPr>
        <w:t>escrow software was a patent ineligible invention</w:t>
      </w:r>
      <w:commentRangeEnd w:id="30"/>
      <w:r w:rsidR="00370E19" w:rsidRPr="00A74008">
        <w:rPr>
          <w:rStyle w:val="CommentReference"/>
          <w:rFonts w:cs="Times New Roman"/>
          <w:color w:val="auto"/>
        </w:rPr>
        <w:commentReference w:id="30"/>
      </w:r>
      <w:r w:rsidR="00626E4E" w:rsidRPr="00A74008">
        <w:rPr>
          <w:rFonts w:cs="Times New Roman"/>
          <w:color w:val="auto"/>
        </w:rPr>
        <w:t>.</w:t>
      </w:r>
      <w:r w:rsidR="002A641A">
        <w:rPr>
          <w:rStyle w:val="FootnoteReference"/>
          <w:rFonts w:cs="Times New Roman"/>
          <w:color w:val="auto"/>
        </w:rPr>
        <w:footnoteReference w:id="9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9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9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93"/>
      </w:r>
      <w:r w:rsidR="0082773E" w:rsidRPr="00A74008">
        <w:rPr>
          <w:rFonts w:cs="Times New Roman"/>
          <w:color w:val="auto"/>
        </w:rPr>
        <w:t xml:space="preserve"> </w:t>
      </w:r>
      <w:r w:rsidR="006938A5">
        <w:rPr>
          <w:rFonts w:cs="Times New Roman"/>
          <w:color w:val="auto"/>
        </w:rPr>
        <w:t>The Court considers as part of step two if the additional elements are well-understood, routine, or conventional.</w:t>
      </w:r>
      <w:r w:rsidR="006C4E44">
        <w:rPr>
          <w:rStyle w:val="FootnoteReference"/>
          <w:rFonts w:cs="Times New Roman"/>
          <w:color w:val="auto"/>
        </w:rPr>
        <w:footnoteReference w:id="94"/>
      </w:r>
      <w:r w:rsidR="006938A5">
        <w:rPr>
          <w:rFonts w:cs="Times New Roman"/>
          <w:color w:val="auto"/>
        </w:rPr>
        <w:t xml:space="preserve"> </w:t>
      </w:r>
      <w:r w:rsidR="00AA1255">
        <w:rPr>
          <w:rFonts w:cs="Times New Roman"/>
          <w:color w:val="auto"/>
        </w:rPr>
        <w:t xml:space="preserve">In other words, </w:t>
      </w:r>
      <w:r w:rsidR="008D6022">
        <w:rPr>
          <w:rFonts w:cs="Times New Roman"/>
          <w:color w:val="auto"/>
        </w:rPr>
        <w:t xml:space="preserve">the additional elements are not enough of an inventive step if they are well known in the art.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1"/>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95"/>
      </w:r>
      <w:r w:rsidR="00D27B93" w:rsidRPr="00343CBD">
        <w:rPr>
          <w:rFonts w:cs="Times New Roman"/>
        </w:rPr>
        <w:t xml:space="preserve"> </w:t>
      </w:r>
      <w:commentRangeEnd w:id="31"/>
      <w:r w:rsidR="00D27B93" w:rsidRPr="00343CBD">
        <w:rPr>
          <w:rStyle w:val="CommentReference"/>
        </w:rPr>
        <w:commentReference w:id="31"/>
      </w:r>
      <w:commentRangeStart w:id="32"/>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96"/>
      </w:r>
      <w:r w:rsidR="00F47A26" w:rsidRPr="00343CBD">
        <w:rPr>
          <w:rFonts w:cs="Times New Roman"/>
        </w:rPr>
        <w:t xml:space="preserve"> </w:t>
      </w:r>
      <w:commentRangeEnd w:id="32"/>
      <w:r w:rsidR="004535CE">
        <w:rPr>
          <w:rStyle w:val="CommentReference"/>
        </w:rPr>
        <w:commentReference w:id="32"/>
      </w:r>
      <w:r w:rsidR="00DD477E" w:rsidRPr="00343CBD">
        <w:rPr>
          <w:rFonts w:cs="Times New Roman"/>
        </w:rPr>
        <w:t>To ascertain this, the</w:t>
      </w:r>
      <w:r w:rsidR="00C07E72" w:rsidRPr="00343CBD">
        <w:rPr>
          <w:rFonts w:cs="Times New Roman"/>
        </w:rPr>
        <w:t xml:space="preserve"> Court </w:t>
      </w:r>
      <w:r w:rsidR="00C07E72" w:rsidRPr="00343CBD">
        <w:rPr>
          <w:rFonts w:cs="Times New Roman"/>
        </w:rPr>
        <w:lastRenderedPageBreak/>
        <w:t>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97"/>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conventional </w:t>
      </w:r>
      <w:r w:rsidR="00132F2C">
        <w:rPr>
          <w:rFonts w:cs="Times New Roman"/>
        </w:rPr>
        <w:t xml:space="preserve">activity </w:t>
      </w:r>
      <w:r w:rsidR="001C5401" w:rsidRPr="00343CBD">
        <w:rPr>
          <w:rFonts w:cs="Times New Roman"/>
        </w:rPr>
        <w:t>and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98"/>
      </w:r>
      <w:r w:rsidR="006E7123" w:rsidRPr="00343CBD">
        <w:rPr>
          <w:rFonts w:cs="Times New Roman"/>
        </w:rPr>
        <w:t xml:space="preserve"> </w:t>
      </w:r>
      <w:r w:rsidR="005C4447">
        <w:rPr>
          <w:rFonts w:cs="Times New Roman"/>
        </w:rPr>
        <w:t>The implementation of an abstract idea on a computer was not enough to</w:t>
      </w:r>
      <w:r w:rsidR="00882427">
        <w:rPr>
          <w:rFonts w:cs="Times New Roman"/>
        </w:rPr>
        <w:t xml:space="preserve"> grant patent eligibility.</w:t>
      </w:r>
      <w:r w:rsidR="00882427">
        <w:rPr>
          <w:rStyle w:val="FootnoteReference"/>
          <w:rFonts w:cs="Times New Roman"/>
        </w:rPr>
        <w:footnoteReference w:id="99"/>
      </w:r>
      <w:r w:rsidR="005C4447">
        <w:rPr>
          <w:rFonts w:cs="Times New Roman"/>
        </w:rPr>
        <w:t xml:space="preserve"> </w:t>
      </w:r>
      <w:r w:rsidR="006E7123" w:rsidRPr="00343CBD">
        <w:rPr>
          <w:rFonts w:cs="Times New Roman"/>
        </w:rPr>
        <w:t>The claims added nothing new beyond what was already known and obvious about computers</w:t>
      </w:r>
      <w:r w:rsidR="00343CBD" w:rsidRPr="00343CBD">
        <w:rPr>
          <w:rFonts w:cs="Times New Roman"/>
        </w:rPr>
        <w:t xml:space="preserve">, thus were ruled an abstract idea. </w:t>
      </w:r>
    </w:p>
    <w:p w14:paraId="4F55D059" w14:textId="77777777" w:rsidR="004E02F3" w:rsidRDefault="004E02F3" w:rsidP="004E02F3">
      <w:pPr>
        <w:keepNext/>
        <w:ind w:firstLine="720"/>
        <w:jc w:val="center"/>
      </w:pPr>
      <w:r w:rsidRPr="00A74008">
        <w:rPr>
          <w:rFonts w:cs="Times New Roman"/>
          <w:noProof/>
          <w:color w:val="auto"/>
        </w:rPr>
        <w:lastRenderedPageBreak/>
        <w:drawing>
          <wp:inline distT="0" distB="0" distL="0" distR="0" wp14:anchorId="25A474ED" wp14:editId="31265D4C">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72538F41" w14:textId="48825D51" w:rsidR="004E02F3" w:rsidRPr="004E02F3" w:rsidRDefault="004E02F3" w:rsidP="004E02F3">
      <w:pPr>
        <w:pStyle w:val="Caption"/>
        <w:jc w:val="center"/>
        <w:rPr>
          <w:rFonts w:cs="Times New Roman"/>
          <w:i w:val="0"/>
          <w:color w:val="000000" w:themeColor="text1"/>
        </w:rPr>
      </w:pPr>
      <w:r w:rsidRPr="004E02F3">
        <w:rPr>
          <w:i w:val="0"/>
          <w:color w:val="000000" w:themeColor="text1"/>
        </w:rPr>
        <w:t xml:space="preserve">Figure 1 - The </w:t>
      </w:r>
      <w:r w:rsidRPr="004E02F3">
        <w:rPr>
          <w:color w:val="000000" w:themeColor="text1"/>
        </w:rPr>
        <w:t>Mayo/Alice</w:t>
      </w:r>
      <w:r w:rsidRPr="004E02F3">
        <w:rPr>
          <w:i w:val="0"/>
          <w:color w:val="000000" w:themeColor="text1"/>
        </w:rPr>
        <w:t xml:space="preserve"> Test - M.P.E.P. § 2106-III</w:t>
      </w:r>
    </w:p>
    <w:p w14:paraId="36CBC610" w14:textId="14666A2F" w:rsidR="0051688D" w:rsidRPr="004F48E1" w:rsidRDefault="00936A1D" w:rsidP="008439D5">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100"/>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 xml:space="preserve">was validated </w:t>
      </w:r>
      <w:r w:rsidR="003C2D67">
        <w:rPr>
          <w:rFonts w:cs="Times New Roman"/>
        </w:rPr>
        <w:lastRenderedPageBreak/>
        <w:t>(an invalidation rate of 94%).</w:t>
      </w:r>
      <w:r w:rsidR="00411BFE">
        <w:rPr>
          <w:rStyle w:val="FootnoteReference"/>
          <w:rFonts w:cs="Times New Roman"/>
        </w:rPr>
        <w:footnoteReference w:id="101"/>
      </w:r>
      <w:r w:rsidR="00BB3A78">
        <w:rPr>
          <w:rFonts w:cs="Times New Roman"/>
        </w:rPr>
        <w:t xml:space="preserve"> Newly filed patent cases dropped by 40% from 2014 to 2013.</w:t>
      </w:r>
      <w:r w:rsidR="00C46A75">
        <w:rPr>
          <w:rStyle w:val="FootnoteReference"/>
          <w:rFonts w:cs="Times New Roman"/>
        </w:rPr>
        <w:footnoteReference w:id="102"/>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103"/>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but the number remained high. The first case to survive 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104"/>
      </w:r>
      <w:r w:rsidR="00E37CC8">
        <w:rPr>
          <w:rFonts w:cs="Times New Roman"/>
          <w:color w:val="FF0000"/>
        </w:rPr>
        <w:t xml:space="preserve"> </w:t>
      </w:r>
      <w:r w:rsidR="00B53D4E">
        <w:rPr>
          <w:rFonts w:cs="Times New Roman"/>
          <w:color w:val="FF0000"/>
        </w:rPr>
        <w:t>The</w:t>
      </w:r>
      <w:r w:rsidR="00E37CC8">
        <w:rPr>
          <w:rFonts w:cs="Times New Roman"/>
          <w:color w:val="FF0000"/>
        </w:rPr>
        <w:t xml:space="preserve"> case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105"/>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106"/>
      </w:r>
      <w:r w:rsidR="002D4E38">
        <w:rPr>
          <w:rFonts w:cs="Times New Roman"/>
          <w:color w:val="FF0000"/>
        </w:rPr>
        <w:t xml:space="preserve"> </w:t>
      </w:r>
    </w:p>
    <w:p w14:paraId="6BD3BEDC" w14:textId="199FE2AB" w:rsidR="00925A89" w:rsidRDefault="00925A89" w:rsidP="00925A89">
      <w:pPr>
        <w:keepNext/>
        <w:ind w:firstLine="720"/>
        <w:jc w:val="center"/>
      </w:pP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107"/>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108"/>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109"/>
      </w:r>
      <w:r w:rsidR="00126150" w:rsidRPr="00A74008">
        <w:rPr>
          <w:rFonts w:cs="Times New Roman"/>
          <w:color w:val="auto"/>
        </w:rPr>
        <w:t xml:space="preserve"> </w:t>
      </w:r>
    </w:p>
    <w:p w14:paraId="53200221" w14:textId="13E9D3DA" w:rsidR="007F00B1" w:rsidRDefault="00AE1811" w:rsidP="001B4C2A">
      <w:pPr>
        <w:ind w:firstLine="720"/>
        <w:rPr>
          <w:rFonts w:cs="Times New Roman"/>
          <w:color w:val="auto"/>
        </w:rPr>
      </w:pPr>
      <w:r>
        <w:rPr>
          <w:rFonts w:cs="Times New Roman"/>
          <w:color w:val="auto"/>
        </w:rPr>
        <w:lastRenderedPageBreak/>
        <w:t xml:space="preserve">The </w:t>
      </w:r>
      <w:r>
        <w:rPr>
          <w:rFonts w:cs="Times New Roman"/>
          <w:i/>
          <w:color w:val="auto"/>
        </w:rPr>
        <w:t xml:space="preserve">Mayo/Alice </w:t>
      </w:r>
      <w:r>
        <w:rPr>
          <w:rFonts w:cs="Times New Roman"/>
          <w:color w:val="auto"/>
        </w:rPr>
        <w:t xml:space="preserve">court only addressed the question of well-understood, routine, and conventional activity briefly, the </w:t>
      </w:r>
      <w:r>
        <w:rPr>
          <w:rFonts w:cs="Times New Roman"/>
          <w:i/>
          <w:color w:val="auto"/>
        </w:rPr>
        <w:t xml:space="preserve">Berkheimer </w:t>
      </w:r>
      <w:r>
        <w:rPr>
          <w:rFonts w:cs="Times New Roman"/>
          <w:color w:val="auto"/>
        </w:rPr>
        <w:t>Court returned to the question repeatedly.</w:t>
      </w:r>
      <w:r>
        <w:rPr>
          <w:rStyle w:val="FootnoteReference"/>
          <w:rFonts w:cs="Times New Roman"/>
          <w:color w:val="auto"/>
        </w:rPr>
        <w:footnoteReference w:id="110"/>
      </w:r>
      <w:r>
        <w:rPr>
          <w:rFonts w:cs="Times New Roman"/>
          <w:color w:val="auto"/>
        </w:rPr>
        <w:t xml:space="preserve"> </w:t>
      </w:r>
      <w:r w:rsidR="00E01339">
        <w:rPr>
          <w:rFonts w:cs="Times New Roman"/>
          <w:color w:val="auto"/>
        </w:rPr>
        <w:t xml:space="preserve">This question was the defining characteristic of the additional elements to abstract idea. An idea that is well-understood, routine, and conventional, is not abstract, but merely non-novel. </w:t>
      </w:r>
      <w:r w:rsidR="00E15866">
        <w:rPr>
          <w:rFonts w:cs="Times New Roman"/>
          <w:color w:val="auto"/>
        </w:rPr>
        <w:t>I</w:t>
      </w:r>
      <w:r w:rsidR="005222B1" w:rsidRPr="00A74008">
        <w:rPr>
          <w:rFonts w:cs="Times New Roman"/>
          <w:color w:val="auto"/>
        </w:rPr>
        <w:t>n</w:t>
      </w:r>
      <w:r w:rsidR="00E15866">
        <w:rPr>
          <w:rFonts w:cs="Times New Roman"/>
          <w:color w:val="auto"/>
        </w:rPr>
        <w:t xml:space="preserve"> step one of the</w:t>
      </w:r>
      <w:r w:rsidR="005222B1" w:rsidRPr="00A74008">
        <w:rPr>
          <w:rFonts w:cs="Times New Roman"/>
          <w:color w:val="auto"/>
        </w:rPr>
        <w:t xml:space="preserve"> </w:t>
      </w:r>
      <w:r w:rsidR="004535CE" w:rsidRPr="004535CE">
        <w:rPr>
          <w:rFonts w:cs="Times New Roman"/>
          <w:i/>
          <w:color w:val="auto"/>
        </w:rPr>
        <w:t>Mayo/Alice</w:t>
      </w:r>
      <w:r w:rsidR="00E01339">
        <w:rPr>
          <w:rFonts w:cs="Times New Roman"/>
          <w:i/>
          <w:color w:val="auto"/>
        </w:rPr>
        <w:t xml:space="preserve"> </w:t>
      </w:r>
      <w:r w:rsidR="00E01339">
        <w:rPr>
          <w:rFonts w:cs="Times New Roman"/>
          <w:color w:val="auto"/>
        </w:rPr>
        <w:t>framework</w:t>
      </w:r>
      <w:r w:rsidR="005222B1" w:rsidRPr="00A74008">
        <w:rPr>
          <w:rFonts w:cs="Times New Roman"/>
          <w:color w:val="auto"/>
        </w:rPr>
        <w:t xml:space="preserve">, the Court found that the claims were directed to abstract </w:t>
      </w:r>
      <w:r w:rsidR="00CE34AE" w:rsidRPr="00A74008">
        <w:rPr>
          <w:rFonts w:cs="Times New Roman"/>
          <w:color w:val="auto"/>
        </w:rPr>
        <w:t>ideas</w:t>
      </w:r>
      <w:r w:rsidR="005222B1"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E01339">
        <w:rPr>
          <w:rFonts w:cs="Times New Roman"/>
          <w:color w:val="auto"/>
        </w:rPr>
        <w:t xml:space="preserve">In step two, </w:t>
      </w:r>
      <w:r w:rsidR="00EE1FE5">
        <w:rPr>
          <w:rFonts w:cs="Times New Roman"/>
          <w:color w:val="auto"/>
        </w:rPr>
        <w:t xml:space="preserve">the claims must </w:t>
      </w:r>
      <w:r w:rsidR="008B2F35">
        <w:rPr>
          <w:rFonts w:cs="Times New Roman"/>
          <w:color w:val="auto"/>
        </w:rPr>
        <w:t>be considered</w:t>
      </w:r>
      <w:r w:rsidR="00EE1FE5">
        <w:rPr>
          <w:rFonts w:cs="Times New Roman"/>
          <w:color w:val="auto"/>
        </w:rPr>
        <w:t xml:space="preserve"> individually and in combination.</w:t>
      </w:r>
      <w:r w:rsidR="00EE1FE5">
        <w:rPr>
          <w:rStyle w:val="FootnoteReference"/>
          <w:rFonts w:cs="Times New Roman"/>
          <w:color w:val="auto"/>
        </w:rPr>
        <w:footnoteReference w:id="111"/>
      </w:r>
      <w:r w:rsidR="000B1808">
        <w:rPr>
          <w:rFonts w:cs="Times New Roman"/>
          <w:color w:val="auto"/>
        </w:rPr>
        <w:t xml:space="preserve"> Both</w:t>
      </w:r>
      <w:r w:rsidR="00F4531E">
        <w:rPr>
          <w:rFonts w:cs="Times New Roman"/>
          <w:color w:val="auto"/>
        </w:rPr>
        <w:t xml:space="preserve"> separately and together, c</w:t>
      </w:r>
      <w:r w:rsidR="003B7FF0">
        <w:rPr>
          <w:rFonts w:cs="Times New Roman"/>
          <w:color w:val="auto"/>
        </w:rPr>
        <w:t xml:space="preserve">laims </w:t>
      </w:r>
      <w:r w:rsidR="00261336">
        <w:rPr>
          <w:rFonts w:cs="Times New Roman"/>
          <w:color w:val="auto"/>
        </w:rPr>
        <w:t xml:space="preserve">1-3 </w:t>
      </w:r>
      <w:r w:rsidR="00F4531E">
        <w:rPr>
          <w:rFonts w:cs="Times New Roman"/>
          <w:color w:val="auto"/>
        </w:rPr>
        <w:t xml:space="preserve">only contained well-understood, </w:t>
      </w:r>
      <w:r w:rsidR="00E25B11">
        <w:rPr>
          <w:rFonts w:cs="Times New Roman"/>
          <w:color w:val="auto"/>
        </w:rPr>
        <w:t xml:space="preserve">routine, and conventional activity and </w:t>
      </w:r>
      <w:r w:rsidR="00261336">
        <w:rPr>
          <w:rFonts w:cs="Times New Roman"/>
          <w:color w:val="auto"/>
        </w:rPr>
        <w:t>amounted to the abstract idea of parsing and comparing data on a computer</w:t>
      </w:r>
      <w:r w:rsidR="00F4531E">
        <w:rPr>
          <w:rFonts w:cs="Times New Roman"/>
          <w:color w:val="auto"/>
        </w:rPr>
        <w:t>,</w:t>
      </w:r>
      <w:r w:rsidR="00261336">
        <w:rPr>
          <w:rFonts w:cs="Times New Roman"/>
          <w:color w:val="auto"/>
        </w:rPr>
        <w:t>.</w:t>
      </w:r>
      <w:r w:rsidR="00261336">
        <w:rPr>
          <w:rStyle w:val="FootnoteReference"/>
          <w:rFonts w:cs="Times New Roman"/>
          <w:color w:val="auto"/>
        </w:rPr>
        <w:footnoteReference w:id="112"/>
      </w:r>
      <w:r w:rsidR="00261336">
        <w:rPr>
          <w:rFonts w:cs="Times New Roman"/>
          <w:color w:val="auto"/>
        </w:rPr>
        <w:t xml:space="preserve"> </w:t>
      </w:r>
      <w:r w:rsidR="00DB1BDC">
        <w:rPr>
          <w:rFonts w:cs="Times New Roman"/>
          <w:color w:val="auto"/>
        </w:rPr>
        <w:t>After this analysis s</w:t>
      </w:r>
      <w:r w:rsidR="00421DA6" w:rsidRPr="00A74008">
        <w:rPr>
          <w:rFonts w:cs="Times New Roman"/>
          <w:color w:val="auto"/>
        </w:rPr>
        <w:t>ome genuine issue of material fact remained</w:t>
      </w:r>
      <w:r w:rsidR="00CE34AE" w:rsidRPr="00A74008">
        <w:rPr>
          <w:rFonts w:cs="Times New Roman"/>
          <w:color w:val="auto"/>
        </w:rPr>
        <w:t xml:space="preserve"> concerning whether claims </w:t>
      </w:r>
      <w:r w:rsidR="003B7FF0">
        <w:rPr>
          <w:rFonts w:cs="Times New Roman"/>
          <w:color w:val="auto"/>
        </w:rPr>
        <w:t xml:space="preserve">4-7 </w:t>
      </w:r>
      <w:r w:rsidR="00CE34AE" w:rsidRPr="00A74008">
        <w:rPr>
          <w:rFonts w:cs="Times New Roman"/>
          <w:color w:val="auto"/>
        </w:rPr>
        <w:t>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113"/>
      </w:r>
    </w:p>
    <w:p w14:paraId="1B061BC8" w14:textId="3EC0DD66" w:rsidR="007A5772" w:rsidRPr="003C5D2A" w:rsidRDefault="007A5772" w:rsidP="001B4C2A">
      <w:pPr>
        <w:ind w:firstLine="720"/>
        <w:rPr>
          <w:rFonts w:cs="Times New Roman"/>
        </w:rPr>
      </w:pPr>
      <w:r w:rsidRPr="003C5D2A">
        <w:rPr>
          <w:rFonts w:cs="Times New Roman"/>
        </w:rPr>
        <w:t xml:space="preserve">A few months later, the </w:t>
      </w:r>
      <w:r w:rsidR="00D15B48" w:rsidRPr="003C5D2A">
        <w:rPr>
          <w:rFonts w:cs="Times New Roman"/>
        </w:rPr>
        <w:t xml:space="preserve">USPTO released a memorandum </w:t>
      </w:r>
      <w:r w:rsidR="00EB65EA" w:rsidRPr="003C5D2A">
        <w:rPr>
          <w:rFonts w:cs="Times New Roman"/>
        </w:rPr>
        <w:t xml:space="preserve">regarding changes in examination procedure pertaining to subject matter eligibility </w:t>
      </w:r>
      <w:r w:rsidR="00E75303" w:rsidRPr="003C5D2A">
        <w:rPr>
          <w:rFonts w:cs="Times New Roman"/>
        </w:rPr>
        <w:t xml:space="preserve">after </w:t>
      </w:r>
      <w:r w:rsidR="00E75303" w:rsidRPr="003C5D2A">
        <w:rPr>
          <w:rFonts w:cs="Times New Roman"/>
          <w:i/>
        </w:rPr>
        <w:t>Berkheimer v. HP, Inc.</w:t>
      </w:r>
      <w:commentRangeStart w:id="33"/>
      <w:r w:rsidR="00E75303" w:rsidRPr="003C5D2A">
        <w:rPr>
          <w:rStyle w:val="FootnoteReference"/>
          <w:rFonts w:cs="Times New Roman"/>
        </w:rPr>
        <w:footnoteReference w:id="114"/>
      </w:r>
      <w:commentRangeEnd w:id="33"/>
      <w:r w:rsidR="00721725" w:rsidRPr="003C5D2A">
        <w:rPr>
          <w:rStyle w:val="CommentReference"/>
        </w:rPr>
        <w:commentReference w:id="33"/>
      </w:r>
      <w:r w:rsidR="008F5BA6" w:rsidRPr="003C5D2A">
        <w:rPr>
          <w:rFonts w:cs="Times New Roman"/>
        </w:rPr>
        <w:t xml:space="preserve"> The memorandum </w:t>
      </w:r>
      <w:r w:rsidR="00654572" w:rsidRPr="003C5D2A">
        <w:rPr>
          <w:rFonts w:cs="Times New Roman"/>
        </w:rPr>
        <w:t xml:space="preserve">reviews the </w:t>
      </w:r>
      <w:r w:rsidR="004535CE" w:rsidRPr="003C5D2A">
        <w:rPr>
          <w:rFonts w:cs="Times New Roman"/>
        </w:rPr>
        <w:t xml:space="preserve">steps of the </w:t>
      </w:r>
      <w:r w:rsidR="004535CE" w:rsidRPr="003C5D2A">
        <w:rPr>
          <w:rFonts w:cs="Times New Roman"/>
          <w:i/>
        </w:rPr>
        <w:t xml:space="preserve">Mayo/Alice </w:t>
      </w:r>
      <w:r w:rsidR="004535CE" w:rsidRPr="003C5D2A">
        <w:rPr>
          <w:rFonts w:cs="Times New Roman"/>
        </w:rPr>
        <w:t xml:space="preserve">framework and </w:t>
      </w:r>
      <w:r w:rsidR="004535CE" w:rsidRPr="003C5D2A">
        <w:rPr>
          <w:rFonts w:cs="Times New Roman"/>
          <w:i/>
        </w:rPr>
        <w:t xml:space="preserve">Berkheimer </w:t>
      </w:r>
      <w:r w:rsidR="004535CE" w:rsidRPr="003C5D2A">
        <w:rPr>
          <w:rFonts w:cs="Times New Roman"/>
        </w:rPr>
        <w:t>decision.</w:t>
      </w:r>
      <w:r w:rsidR="004535CE" w:rsidRPr="003C5D2A">
        <w:rPr>
          <w:rStyle w:val="FootnoteReference"/>
          <w:rFonts w:cs="Times New Roman"/>
        </w:rPr>
        <w:footnoteReference w:id="115"/>
      </w:r>
      <w:r w:rsidR="004535CE" w:rsidRPr="003C5D2A">
        <w:rPr>
          <w:rFonts w:cs="Times New Roman"/>
        </w:rPr>
        <w:t xml:space="preserve"> The memorandum notes that the cases does not change the framework, it alleges that the decision clarified the inquiry of whether an additional element represents well-understood, routine, and conventional activity.</w:t>
      </w:r>
      <w:r w:rsidR="004535CE" w:rsidRPr="003C5D2A">
        <w:rPr>
          <w:rStyle w:val="FootnoteReference"/>
          <w:rFonts w:cs="Times New Roman"/>
        </w:rPr>
        <w:footnoteReference w:id="116"/>
      </w:r>
      <w:r w:rsidR="004535CE" w:rsidRPr="003C5D2A">
        <w:rPr>
          <w:rFonts w:cs="Times New Roman"/>
        </w:rPr>
        <w:t xml:space="preserve"> Such a clarification is not obvious in the case itself, and seems to the author that the USPTO is reaching, using the </w:t>
      </w:r>
      <w:r w:rsidR="004535CE" w:rsidRPr="003C5D2A">
        <w:rPr>
          <w:rFonts w:cs="Times New Roman"/>
          <w:i/>
        </w:rPr>
        <w:t>Berkheimer</w:t>
      </w:r>
      <w:r w:rsidR="004535CE" w:rsidRPr="003C5D2A">
        <w:rPr>
          <w:rFonts w:cs="Times New Roman"/>
        </w:rPr>
        <w:t xml:space="preserve"> decision as a means to stem the tide of invalidations emanating from the Courts in the wake of </w:t>
      </w:r>
      <w:r w:rsidR="004535CE" w:rsidRPr="003C5D2A">
        <w:rPr>
          <w:rFonts w:cs="Times New Roman"/>
          <w:i/>
        </w:rPr>
        <w:t>Alice</w:t>
      </w:r>
      <w:r w:rsidR="004535CE" w:rsidRPr="003C5D2A">
        <w:rPr>
          <w:rFonts w:cs="Times New Roman"/>
        </w:rPr>
        <w:t>.</w:t>
      </w:r>
    </w:p>
    <w:p w14:paraId="5F1A202F" w14:textId="60978D03" w:rsidR="00A013C1" w:rsidRPr="003C5D2A" w:rsidRDefault="0016042D" w:rsidP="001B4C2A">
      <w:pPr>
        <w:ind w:firstLine="720"/>
        <w:rPr>
          <w:rFonts w:cs="Times New Roman"/>
        </w:rPr>
      </w:pPr>
      <w:r w:rsidRPr="003C5D2A">
        <w:rPr>
          <w:rFonts w:cs="Times New Roman"/>
        </w:rPr>
        <w:lastRenderedPageBreak/>
        <w:t xml:space="preserve">Examiners when issuing a § 101 must following the </w:t>
      </w:r>
      <w:r w:rsidRPr="003C5D2A">
        <w:rPr>
          <w:rFonts w:cs="Times New Roman"/>
          <w:i/>
        </w:rPr>
        <w:t xml:space="preserve">Mayo/Alice </w:t>
      </w:r>
      <w:r w:rsidRPr="003C5D2A">
        <w:rPr>
          <w:rFonts w:cs="Times New Roman"/>
        </w:rPr>
        <w:t xml:space="preserve">framework. </w:t>
      </w:r>
      <w:r w:rsidR="004535CE" w:rsidRPr="003C5D2A">
        <w:rPr>
          <w:rFonts w:cs="Times New Roman"/>
        </w:rPr>
        <w:t xml:space="preserve">In accordance to the “clarification” in </w:t>
      </w:r>
      <w:r w:rsidR="004535CE" w:rsidRPr="003C5D2A">
        <w:rPr>
          <w:rFonts w:cs="Times New Roman"/>
          <w:i/>
        </w:rPr>
        <w:t>Berkheimer</w:t>
      </w:r>
      <w:r w:rsidR="004535CE" w:rsidRPr="003C5D2A">
        <w:rPr>
          <w:rFonts w:cs="Times New Roman"/>
        </w:rPr>
        <w:t xml:space="preserve">, the memorandum </w:t>
      </w:r>
      <w:r w:rsidRPr="003C5D2A">
        <w:rPr>
          <w:rFonts w:cs="Times New Roman"/>
        </w:rPr>
        <w:t xml:space="preserve">now </w:t>
      </w:r>
      <w:r w:rsidR="004535CE" w:rsidRPr="003C5D2A">
        <w:rPr>
          <w:rFonts w:cs="Times New Roman"/>
        </w:rPr>
        <w:t xml:space="preserve">requires examiners to </w:t>
      </w:r>
      <w:r w:rsidRPr="003C5D2A">
        <w:rPr>
          <w:rFonts w:cs="Times New Roman"/>
        </w:rPr>
        <w:t xml:space="preserve">support the rejection in final step of </w:t>
      </w:r>
      <w:r w:rsidRPr="003C5D2A">
        <w:rPr>
          <w:rFonts w:cs="Times New Roman"/>
          <w:i/>
        </w:rPr>
        <w:t>Mayo/</w:t>
      </w:r>
      <w:r w:rsidR="00424214" w:rsidRPr="003C5D2A">
        <w:rPr>
          <w:rFonts w:cs="Times New Roman"/>
          <w:i/>
        </w:rPr>
        <w:t xml:space="preserve">Alice </w:t>
      </w:r>
      <w:r w:rsidR="00424214" w:rsidRPr="003C5D2A">
        <w:rPr>
          <w:rFonts w:cs="Times New Roman"/>
        </w:rPr>
        <w:t>analysis</w:t>
      </w:r>
      <w:r w:rsidRPr="003C5D2A">
        <w:rPr>
          <w:rFonts w:cs="Times New Roman"/>
        </w:rPr>
        <w:t xml:space="preserve"> (that the claim lacks additional element that amounts to significantly more than the judicial exception, and is a well-understood, routine, or conventional) in at least one of four ways.</w:t>
      </w:r>
      <w:r w:rsidRPr="003C5D2A">
        <w:rPr>
          <w:rStyle w:val="FootnoteReference"/>
          <w:rFonts w:cs="Times New Roman"/>
        </w:rPr>
        <w:footnoteReference w:id="117"/>
      </w:r>
      <w:r w:rsidRPr="003C5D2A">
        <w:rPr>
          <w:rFonts w:cs="Times New Roman"/>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3C5D2A">
        <w:rPr>
          <w:rFonts w:cs="Times New Roman"/>
        </w:rPr>
        <w:t xml:space="preserve">the </w:t>
      </w:r>
      <w:r w:rsidR="00A371CA" w:rsidRPr="003C5D2A">
        <w:rPr>
          <w:rFonts w:cs="Times New Roman"/>
        </w:rPr>
        <w:t xml:space="preserve">Manual of Patent Examining Procedure [hereinafter </w:t>
      </w:r>
      <w:r w:rsidRPr="003C5D2A">
        <w:rPr>
          <w:rFonts w:cs="Times New Roman"/>
        </w:rPr>
        <w:t>M.P.E.P</w:t>
      </w:r>
      <w:r w:rsidR="004D2817" w:rsidRPr="003C5D2A">
        <w:rPr>
          <w:rFonts w:cs="Times New Roman"/>
        </w:rPr>
        <w:t>.</w:t>
      </w:r>
      <w:r w:rsidR="00A371CA" w:rsidRPr="003C5D2A">
        <w:rPr>
          <w:rFonts w:cs="Times New Roman"/>
        </w:rPr>
        <w:t>]</w:t>
      </w:r>
      <w:r w:rsidRPr="003C5D2A">
        <w:rPr>
          <w:rFonts w:cs="Times New Roman"/>
        </w:rPr>
        <w:t xml:space="preserve"> which </w:t>
      </w:r>
      <w:r w:rsidR="004D2817" w:rsidRPr="003C5D2A">
        <w:rPr>
          <w:rFonts w:cs="Times New Roman"/>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3C5D2A">
        <w:rPr>
          <w:rStyle w:val="FootnoteReference"/>
          <w:rFonts w:cs="Times New Roman"/>
        </w:rPr>
        <w:footnoteReference w:id="118"/>
      </w:r>
      <w:r w:rsidR="004D2817" w:rsidRPr="003C5D2A">
        <w:rPr>
          <w:rFonts w:cs="Times New Roman"/>
        </w:rPr>
        <w:t xml:space="preserve"> The fourth option is only to be used when the examiner is certain, as person of ordinary skill in the art, and based upon person knowledge that the additional elements do not meet the requirements for patent eligibility.</w:t>
      </w:r>
      <w:r w:rsidR="004D2817" w:rsidRPr="003C5D2A">
        <w:rPr>
          <w:rStyle w:val="FootnoteReference"/>
          <w:rFonts w:cs="Times New Roman"/>
        </w:rPr>
        <w:footnoteReference w:id="119"/>
      </w:r>
      <w:r w:rsidR="004D2817" w:rsidRPr="003C5D2A">
        <w:rPr>
          <w:rFonts w:cs="Times New Roman"/>
        </w:rPr>
        <w:t xml:space="preserve"> </w:t>
      </w:r>
    </w:p>
    <w:p w14:paraId="64E2B4E0" w14:textId="18769A23" w:rsidR="003F09B1" w:rsidRPr="003C5D2A" w:rsidRDefault="002F77A3" w:rsidP="001B4C2A">
      <w:pPr>
        <w:ind w:firstLine="720"/>
        <w:rPr>
          <w:rFonts w:cs="Times New Roman"/>
        </w:rPr>
      </w:pPr>
      <w:r w:rsidRPr="003C5D2A">
        <w:rPr>
          <w:rFonts w:cs="Times New Roman"/>
        </w:rPr>
        <w:t xml:space="preserve">These options provide various difficulties for the examiner. The first option requires the applicant to expressly admit that the claimed invention is </w:t>
      </w:r>
      <w:r w:rsidR="00686D30" w:rsidRPr="003C5D2A">
        <w:rPr>
          <w:rFonts w:cs="Times New Roman"/>
        </w:rPr>
        <w:t xml:space="preserve">conventional, something a competent applicant is unlikely to do </w:t>
      </w:r>
      <w:r w:rsidR="00FB417F" w:rsidRPr="003C5D2A">
        <w:rPr>
          <w:rFonts w:cs="Times New Roman"/>
        </w:rPr>
        <w:t>because patent applications are written to convince examiners of claim invention’s novelty.</w:t>
      </w:r>
      <w:r w:rsidR="00724FC2" w:rsidRPr="003C5D2A">
        <w:rPr>
          <w:rFonts w:cs="Times New Roman"/>
        </w:rPr>
        <w:t xml:space="preserve"> Option two requires the </w:t>
      </w:r>
      <w:r w:rsidR="005D3C85" w:rsidRPr="003C5D2A">
        <w:rPr>
          <w:rFonts w:cs="Times New Roman"/>
        </w:rPr>
        <w:t>examiner to cite one of the cases in listed in M.P.E.P</w:t>
      </w:r>
      <w:r w:rsidR="00A371CA" w:rsidRPr="003C5D2A">
        <w:rPr>
          <w:rFonts w:cs="Times New Roman"/>
        </w:rPr>
        <w:t>.</w:t>
      </w:r>
      <w:r w:rsidR="005D3C85" w:rsidRPr="003C5D2A">
        <w:rPr>
          <w:rFonts w:cs="Times New Roman"/>
        </w:rPr>
        <w:t xml:space="preserve"> § 2106.05(d)</w:t>
      </w:r>
      <w:r w:rsidR="00162DE3" w:rsidRPr="003C5D2A">
        <w:rPr>
          <w:rFonts w:cs="Times New Roman"/>
        </w:rPr>
        <w:t>(II)</w:t>
      </w:r>
      <w:r w:rsidR="0066316B" w:rsidRPr="003C5D2A">
        <w:rPr>
          <w:rFonts w:cs="Times New Roman"/>
        </w:rPr>
        <w:t>. This sections only includes</w:t>
      </w:r>
      <w:r w:rsidR="00270777" w:rsidRPr="003C5D2A">
        <w:rPr>
          <w:rFonts w:cs="Times New Roman"/>
        </w:rPr>
        <w:t xml:space="preserve"> twenty different </w:t>
      </w:r>
      <w:r w:rsidR="009075EE" w:rsidRPr="003C5D2A">
        <w:rPr>
          <w:rFonts w:cs="Times New Roman"/>
        </w:rPr>
        <w:t>well-understood, routine, conventional activities</w:t>
      </w:r>
      <w:r w:rsidR="00D721BA" w:rsidRPr="003C5D2A">
        <w:rPr>
          <w:rFonts w:cs="Times New Roman"/>
        </w:rPr>
        <w:t>, with</w:t>
      </w:r>
      <w:r w:rsidR="00CA319E" w:rsidRPr="003C5D2A">
        <w:rPr>
          <w:rFonts w:cs="Times New Roman"/>
        </w:rPr>
        <w:t xml:space="preserve"> approximately two cases per activities</w:t>
      </w:r>
      <w:r w:rsidR="009075EE" w:rsidRPr="003C5D2A">
        <w:rPr>
          <w:rFonts w:cs="Times New Roman"/>
        </w:rPr>
        <w:t>.</w:t>
      </w:r>
      <w:r w:rsidR="009075EE" w:rsidRPr="003C5D2A">
        <w:rPr>
          <w:rStyle w:val="FootnoteReference"/>
          <w:rFonts w:cs="Times New Roman"/>
        </w:rPr>
        <w:footnoteReference w:id="120"/>
      </w:r>
      <w:r w:rsidR="009075EE" w:rsidRPr="003C5D2A">
        <w:rPr>
          <w:rFonts w:cs="Times New Roman"/>
        </w:rPr>
        <w:t xml:space="preserve"> </w:t>
      </w:r>
      <w:r w:rsidR="00CA319E" w:rsidRPr="003C5D2A">
        <w:rPr>
          <w:rFonts w:cs="Times New Roman"/>
        </w:rPr>
        <w:t xml:space="preserve">While a large list, it is not </w:t>
      </w:r>
      <w:r w:rsidR="00CA319E" w:rsidRPr="003C5D2A">
        <w:rPr>
          <w:rFonts w:cs="Times New Roman"/>
        </w:rPr>
        <w:lastRenderedPageBreak/>
        <w:t xml:space="preserve">exhaustive, </w:t>
      </w:r>
      <w:r w:rsidR="00F0073C" w:rsidRPr="003C5D2A">
        <w:rPr>
          <w:rFonts w:cs="Times New Roman"/>
        </w:rPr>
        <w:t>so i</w:t>
      </w:r>
      <w:r w:rsidR="009075EE" w:rsidRPr="003C5D2A">
        <w:rPr>
          <w:rFonts w:cs="Times New Roman"/>
        </w:rPr>
        <w:t>f the conventional activity is not listed among the cases cited, the examiner is not able to make the analogy</w:t>
      </w:r>
      <w:r w:rsidR="00F0073C" w:rsidRPr="003C5D2A">
        <w:rPr>
          <w:rFonts w:cs="Times New Roman"/>
        </w:rPr>
        <w:t xml:space="preserve"> and avail themselves of the three options if he or she wishes to make the rejection. Option three </w:t>
      </w:r>
      <w:r w:rsidR="001C3940" w:rsidRPr="003C5D2A">
        <w:rPr>
          <w:rFonts w:cs="Times New Roman"/>
        </w:rPr>
        <w:t xml:space="preserve">requires the examiner do additional research, searching for publications that </w:t>
      </w:r>
      <w:r w:rsidR="001C3C62" w:rsidRPr="003C5D2A">
        <w:rPr>
          <w:rFonts w:cs="Times New Roman"/>
        </w:rPr>
        <w:t xml:space="preserve">proves the element is widely </w:t>
      </w:r>
      <w:r w:rsidR="009942A4" w:rsidRPr="003C5D2A">
        <w:rPr>
          <w:rFonts w:cs="Times New Roman"/>
        </w:rPr>
        <w:t>prevalent.</w:t>
      </w:r>
      <w:r w:rsidR="003A20F8" w:rsidRPr="003C5D2A">
        <w:rPr>
          <w:rStyle w:val="FootnoteReference"/>
          <w:rFonts w:cs="Times New Roman"/>
        </w:rPr>
        <w:footnoteReference w:id="121"/>
      </w:r>
      <w:r w:rsidR="009942A4" w:rsidRPr="003C5D2A">
        <w:rPr>
          <w:rFonts w:cs="Times New Roman"/>
        </w:rPr>
        <w:t xml:space="preserve"> </w:t>
      </w:r>
      <w:r w:rsidR="00F549F4" w:rsidRPr="003C5D2A">
        <w:rPr>
          <w:rFonts w:cs="Times New Roman"/>
        </w:rPr>
        <w:t>Unless such a publication is already known to an examiner, g</w:t>
      </w:r>
      <w:r w:rsidR="009942A4" w:rsidRPr="003C5D2A">
        <w:rPr>
          <w:rFonts w:cs="Times New Roman"/>
        </w:rPr>
        <w:t xml:space="preserve">iven limited time and resources, </w:t>
      </w:r>
      <w:r w:rsidR="00F549F4" w:rsidRPr="003C5D2A">
        <w:rPr>
          <w:rFonts w:cs="Times New Roman"/>
        </w:rPr>
        <w:t>the</w:t>
      </w:r>
      <w:r w:rsidR="009942A4" w:rsidRPr="003C5D2A">
        <w:rPr>
          <w:rFonts w:cs="Times New Roman"/>
        </w:rPr>
        <w:t xml:space="preserve"> examiner may </w:t>
      </w:r>
      <w:r w:rsidR="00F549F4" w:rsidRPr="003C5D2A">
        <w:rPr>
          <w:rFonts w:cs="Times New Roman"/>
        </w:rPr>
        <w:t xml:space="preserve">not </w:t>
      </w:r>
      <w:r w:rsidR="009942A4" w:rsidRPr="003C5D2A">
        <w:rPr>
          <w:rFonts w:cs="Times New Roman"/>
        </w:rPr>
        <w:t xml:space="preserve">be </w:t>
      </w:r>
      <w:r w:rsidR="00F549F4" w:rsidRPr="003C5D2A">
        <w:rPr>
          <w:rFonts w:cs="Times New Roman"/>
        </w:rPr>
        <w:t xml:space="preserve">inclined to do the additional research required for such a </w:t>
      </w:r>
      <w:r w:rsidR="003A20F8" w:rsidRPr="003C5D2A">
        <w:rPr>
          <w:rFonts w:cs="Times New Roman"/>
        </w:rPr>
        <w:t xml:space="preserve">rejection. </w:t>
      </w:r>
      <w:r w:rsidR="00BE68DF" w:rsidRPr="003C5D2A">
        <w:rPr>
          <w:rFonts w:cs="Times New Roman"/>
        </w:rPr>
        <w:t xml:space="preserve">The </w:t>
      </w:r>
      <w:r w:rsidR="001E1703" w:rsidRPr="003C5D2A">
        <w:rPr>
          <w:rFonts w:cs="Times New Roman"/>
        </w:rPr>
        <w:t xml:space="preserve">fourth option requires the examiner to rely on personal knowledge. This should only be used rarely, </w:t>
      </w:r>
      <w:r w:rsidR="00C2795B" w:rsidRPr="003C5D2A">
        <w:rPr>
          <w:rFonts w:cs="Times New Roman"/>
        </w:rPr>
        <w:t>especially in instances of final rejection.</w:t>
      </w:r>
      <w:r w:rsidR="00C2795B" w:rsidRPr="003C5D2A">
        <w:rPr>
          <w:rStyle w:val="FootnoteReference"/>
          <w:rFonts w:cs="Times New Roman"/>
        </w:rPr>
        <w:footnoteReference w:id="122"/>
      </w:r>
      <w:r w:rsidR="00BF2BFA" w:rsidRPr="003C5D2A">
        <w:rPr>
          <w:rFonts w:cs="Times New Roman"/>
        </w:rPr>
        <w:t xml:space="preserve"> </w:t>
      </w:r>
    </w:p>
    <w:p w14:paraId="3F6F23CC" w14:textId="07EBB11B" w:rsidR="00E664C6" w:rsidRPr="003C5D2A" w:rsidRDefault="003F09B1" w:rsidP="001B4C2A">
      <w:pPr>
        <w:ind w:firstLine="720"/>
        <w:rPr>
          <w:rFonts w:cs="Times New Roman"/>
        </w:rPr>
      </w:pPr>
      <w:r w:rsidRPr="003C5D2A">
        <w:rPr>
          <w:rFonts w:cs="Times New Roman"/>
        </w:rPr>
        <w:t>Patent examiners work is measured on a quota system</w:t>
      </w:r>
      <w:r w:rsidR="008C5D09" w:rsidRPr="003C5D2A">
        <w:rPr>
          <w:rFonts w:cs="Times New Roman"/>
        </w:rPr>
        <w:t xml:space="preserve">, and revisiting </w:t>
      </w:r>
      <w:r w:rsidR="00AF7C17" w:rsidRPr="003C5D2A">
        <w:rPr>
          <w:rFonts w:cs="Times New Roman"/>
        </w:rPr>
        <w:t>patent applications do not always count towards an examiner’s count.</w:t>
      </w:r>
      <w:r w:rsidR="00F92A3C" w:rsidRPr="003C5D2A">
        <w:rPr>
          <w:rStyle w:val="FootnoteReference"/>
          <w:rFonts w:cs="Times New Roman"/>
        </w:rPr>
        <w:footnoteReference w:id="123"/>
      </w:r>
      <w:r w:rsidR="00AF7C17" w:rsidRPr="003C5D2A">
        <w:rPr>
          <w:rFonts w:cs="Times New Roman"/>
        </w:rPr>
        <w:t xml:space="preserve"> </w:t>
      </w:r>
      <w:r w:rsidR="00733D95" w:rsidRPr="003C5D2A">
        <w:rPr>
          <w:rFonts w:cs="Times New Roman"/>
        </w:rPr>
        <w:t xml:space="preserve">With this system, an examiner is </w:t>
      </w:r>
      <w:r w:rsidR="00620F5C" w:rsidRPr="003C5D2A">
        <w:rPr>
          <w:rFonts w:cs="Times New Roman"/>
        </w:rPr>
        <w:t>incentives</w:t>
      </w:r>
      <w:r w:rsidR="00733D95" w:rsidRPr="003C5D2A">
        <w:rPr>
          <w:rFonts w:cs="Times New Roman"/>
        </w:rPr>
        <w:t xml:space="preserve"> to be as quick and efficient as possible in </w:t>
      </w:r>
      <w:r w:rsidR="00AE1608" w:rsidRPr="003C5D2A">
        <w:rPr>
          <w:rFonts w:cs="Times New Roman"/>
        </w:rPr>
        <w:t xml:space="preserve">his or her rejections. As such, it </w:t>
      </w:r>
      <w:r w:rsidR="00525EC0" w:rsidRPr="003C5D2A">
        <w:rPr>
          <w:rFonts w:cs="Times New Roman"/>
        </w:rPr>
        <w:t>does not</w:t>
      </w:r>
      <w:r w:rsidR="00AE1608" w:rsidRPr="003C5D2A">
        <w:rPr>
          <w:rFonts w:cs="Times New Roman"/>
        </w:rPr>
        <w:t xml:space="preserve"> be</w:t>
      </w:r>
      <w:r w:rsidR="00525EC0" w:rsidRPr="003C5D2A">
        <w:rPr>
          <w:rFonts w:cs="Times New Roman"/>
        </w:rPr>
        <w:t>nefit the examiner to be thorough in their rejections, making</w:t>
      </w:r>
      <w:r w:rsidR="007E28CA" w:rsidRPr="003C5D2A">
        <w:rPr>
          <w:rFonts w:cs="Times New Roman"/>
        </w:rPr>
        <w:t xml:space="preserve"> the difficulty options of the Berkheimer Memorandum </w:t>
      </w:r>
      <w:r w:rsidR="00620F5C" w:rsidRPr="003C5D2A">
        <w:rPr>
          <w:rFonts w:cs="Times New Roman"/>
        </w:rPr>
        <w:t>even less likely.</w:t>
      </w:r>
      <w:r w:rsidR="00525EC0" w:rsidRPr="003C5D2A">
        <w:rPr>
          <w:rFonts w:cs="Times New Roman"/>
        </w:rPr>
        <w:t xml:space="preserve"> </w:t>
      </w:r>
      <w:r w:rsidR="00654DA1" w:rsidRPr="003C5D2A">
        <w:rPr>
          <w:rFonts w:cs="Times New Roman"/>
        </w:rPr>
        <w:t>T</w:t>
      </w:r>
      <w:r w:rsidR="00BF2BFA" w:rsidRPr="003C5D2A">
        <w:rPr>
          <w:rFonts w:cs="Times New Roman"/>
        </w:rPr>
        <w:t xml:space="preserve">hese difficulties are good news for software patent </w:t>
      </w:r>
      <w:r w:rsidR="00DD63C5" w:rsidRPr="003C5D2A">
        <w:rPr>
          <w:rFonts w:cs="Times New Roman"/>
        </w:rPr>
        <w:t xml:space="preserve">applicants </w:t>
      </w:r>
      <w:r w:rsidR="008D6B64" w:rsidRPr="003C5D2A">
        <w:rPr>
          <w:rFonts w:cs="Times New Roman"/>
        </w:rPr>
        <w:t xml:space="preserve">and will hopefully help curb the </w:t>
      </w:r>
      <w:r w:rsidR="00FF769C" w:rsidRPr="003C5D2A">
        <w:rPr>
          <w:rFonts w:cs="Times New Roman"/>
        </w:rPr>
        <w:t xml:space="preserve">invalidations of patents due to Alice. However, it </w:t>
      </w:r>
      <w:r w:rsidR="006D5A13">
        <w:rPr>
          <w:rFonts w:cs="Times New Roman"/>
        </w:rPr>
        <w:t xml:space="preserve">is not be necessary for the USPTO to act to mitigate the action of the Courts and </w:t>
      </w:r>
      <w:r w:rsidR="00620F5C" w:rsidRPr="003C5D2A">
        <w:rPr>
          <w:rFonts w:cs="Times New Roman"/>
        </w:rPr>
        <w:t xml:space="preserve">could lead to a diverging </w:t>
      </w:r>
      <w:r w:rsidR="003940BC" w:rsidRPr="003C5D2A">
        <w:rPr>
          <w:rFonts w:cs="Times New Roman"/>
        </w:rPr>
        <w:t xml:space="preserve">standard </w:t>
      </w:r>
      <w:r w:rsidR="005551C3" w:rsidRPr="003C5D2A">
        <w:rPr>
          <w:rFonts w:cs="Times New Roman"/>
        </w:rPr>
        <w:t xml:space="preserve">between the USPTO and </w:t>
      </w:r>
      <w:r w:rsidR="003940BC" w:rsidRPr="003C5D2A">
        <w:rPr>
          <w:rFonts w:cs="Times New Roman"/>
        </w:rPr>
        <w:t>the Courts</w:t>
      </w:r>
      <w:r w:rsidR="00980279">
        <w:rPr>
          <w:rFonts w:cs="Times New Roman"/>
        </w:rPr>
        <w:t>,</w:t>
      </w:r>
      <w:r w:rsidR="003940BC" w:rsidRPr="003C5D2A">
        <w:rPr>
          <w:rFonts w:cs="Times New Roman"/>
        </w:rPr>
        <w:t xml:space="preserve"> </w:t>
      </w:r>
      <w:r w:rsidR="005551C3" w:rsidRPr="003C5D2A">
        <w:rPr>
          <w:rFonts w:cs="Times New Roman"/>
        </w:rPr>
        <w:t xml:space="preserve">as </w:t>
      </w:r>
      <w:proofErr w:type="gramStart"/>
      <w:r w:rsidR="005551C3" w:rsidRPr="003C5D2A">
        <w:rPr>
          <w:rFonts w:cs="Times New Roman"/>
        </w:rPr>
        <w:t xml:space="preserve">the Courts </w:t>
      </w:r>
      <w:r w:rsidR="00F32B98" w:rsidRPr="003C5D2A">
        <w:rPr>
          <w:rFonts w:cs="Times New Roman"/>
        </w:rPr>
        <w:t>are not bound by the Berkheimer Memo</w:t>
      </w:r>
      <w:r w:rsidR="002C3AE0">
        <w:rPr>
          <w:rFonts w:cs="Times New Roman"/>
        </w:rPr>
        <w:t>randum</w:t>
      </w:r>
      <w:proofErr w:type="gramEnd"/>
      <w:r w:rsidR="00F32B98" w:rsidRPr="003C5D2A">
        <w:rPr>
          <w:rFonts w:cs="Times New Roman"/>
        </w:rPr>
        <w:t xml:space="preserve"> or M.P.E.P</w:t>
      </w:r>
      <w:r w:rsidR="00DD63C5" w:rsidRPr="003C5D2A">
        <w:rPr>
          <w:rFonts w:cs="Times New Roman"/>
        </w:rPr>
        <w:t>.</w:t>
      </w:r>
      <w:r w:rsidR="00F32B98" w:rsidRPr="003C5D2A">
        <w:rPr>
          <w:rFonts w:cs="Times New Roman"/>
        </w:rPr>
        <w:t xml:space="preserve"> </w:t>
      </w:r>
    </w:p>
    <w:p w14:paraId="00CE6334" w14:textId="5DBA174A" w:rsidR="004B16D1" w:rsidRDefault="000D5C5D" w:rsidP="001B4C2A">
      <w:pPr>
        <w:pStyle w:val="Heading1"/>
        <w:rPr>
          <w:rFonts w:cs="Times New Roman"/>
          <w:color w:val="auto"/>
        </w:rPr>
      </w:pPr>
      <w:r>
        <w:rPr>
          <w:rFonts w:cs="Times New Roman"/>
          <w:color w:val="auto"/>
        </w:rPr>
        <w:t>THE SOLUTION</w:t>
      </w:r>
      <w:commentRangeStart w:id="34"/>
      <w:r w:rsidR="004B16D1" w:rsidRPr="00A74008">
        <w:rPr>
          <w:rFonts w:cs="Times New Roman"/>
          <w:color w:val="auto"/>
        </w:rPr>
        <w:t xml:space="preserve"> (Analysis)</w:t>
      </w:r>
      <w:commentRangeEnd w:id="34"/>
      <w:r w:rsidR="00964480">
        <w:rPr>
          <w:rStyle w:val="CommentReference"/>
          <w:rFonts w:eastAsiaTheme="minorHAnsi" w:cstheme="minorBidi"/>
        </w:rPr>
        <w:commentReference w:id="34"/>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124"/>
      </w:r>
      <w:r w:rsidR="00886DD0">
        <w:t xml:space="preserve"> If patent is granted for a broad concept or idea, it would be </w:t>
      </w:r>
      <w:r w:rsidR="00886DD0">
        <w:lastRenderedPageBreak/>
        <w:t xml:space="preserve">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125"/>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126"/>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7422BD4F" w:rsidR="008323E8" w:rsidRDefault="00EC36E3" w:rsidP="001B4C2A">
      <w:pPr>
        <w:ind w:firstLine="720"/>
      </w:pPr>
      <w:r>
        <w:lastRenderedPageBreak/>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127"/>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C7095C">
        <w:t xml:space="preserve">Even if the Court finds that </w:t>
      </w:r>
      <w:r w:rsidR="00854EF9">
        <w:t xml:space="preserve">the claim would not monopolize a basic scientific tool, the patent may still be invalidated under these sections. </w:t>
      </w:r>
      <w:r w:rsidR="00F716BA">
        <w:t xml:space="preserve">Many </w:t>
      </w:r>
      <w:r w:rsidR="00780CC5">
        <w:t>patents invalidated for merely being an abstract idea</w:t>
      </w:r>
      <w:r w:rsidR="00FE5782">
        <w:t xml:space="preserve"> </w:t>
      </w:r>
      <w:r w:rsidR="00780CC5">
        <w:t xml:space="preserve">should </w:t>
      </w:r>
      <w:r w:rsidR="00742634">
        <w:t xml:space="preserve">have been invalidated </w:t>
      </w:r>
      <w:r w:rsidR="00780CC5">
        <w:t>for</w:t>
      </w:r>
      <w:r w:rsidR="00742634">
        <w:t xml:space="preserve"> lacking novelty, or </w:t>
      </w:r>
      <w:r w:rsidR="00DD169B">
        <w:t>lack of non-</w:t>
      </w:r>
      <w:r w:rsidR="00742634">
        <w:t>obvious</w:t>
      </w:r>
      <w:r w:rsidR="00DD169B">
        <w:t>ness</w:t>
      </w:r>
      <w:r w:rsidR="00427B9A">
        <w:t>, or being</w:t>
      </w:r>
      <w:r w:rsidR="00DD169B">
        <w:t xml:space="preserve"> indefinite</w:t>
      </w:r>
      <w:r w:rsidR="00427B9A">
        <w:t>.</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128"/>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29"/>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30"/>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31"/>
      </w:r>
      <w:r w:rsidRPr="008323E8">
        <w:t xml:space="preserve"> In </w:t>
      </w:r>
      <w:proofErr w:type="spellStart"/>
      <w:r w:rsidRPr="00F14BC2">
        <w:rPr>
          <w:i/>
        </w:rPr>
        <w:t>Ariosa</w:t>
      </w:r>
      <w:proofErr w:type="spellEnd"/>
      <w:r w:rsidRPr="008323E8">
        <w:t xml:space="preserve"> the claimed invention concerned a non-invasive method for detecting paternally </w:t>
      </w:r>
      <w:r w:rsidRPr="008323E8">
        <w:lastRenderedPageBreak/>
        <w:t xml:space="preserve">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132"/>
      </w:r>
      <w:r>
        <w:t xml:space="preserve"> </w:t>
      </w:r>
      <w:r w:rsidR="00373D4C">
        <w:t xml:space="preserve">The use of § 101 is not </w:t>
      </w:r>
      <w:r w:rsidR="001116C9">
        <w:t>eliminated but</w:t>
      </w:r>
      <w:r w:rsidR="00373D4C">
        <w:t xml:space="preserve"> should be reserved for </w:t>
      </w:r>
      <w:r w:rsidR="00F70AAE">
        <w:t>inventions that lack utility</w:t>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33"/>
      </w:r>
    </w:p>
    <w:p w14:paraId="547BF430" w14:textId="4A6F0F6B" w:rsidR="00885998" w:rsidRPr="001E0A7B" w:rsidRDefault="006574A9" w:rsidP="001B4C2A">
      <w:pPr>
        <w:ind w:firstLine="720"/>
      </w:pPr>
      <w:commentRangeStart w:id="35"/>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commentRangeEnd w:id="35"/>
      <w:r w:rsidR="00AE7461">
        <w:rPr>
          <w:rStyle w:val="CommentReference"/>
        </w:rPr>
        <w:commentReference w:id="35"/>
      </w:r>
      <w:commentRangeStart w:id="36"/>
      <w:r w:rsidR="003053BB" w:rsidRPr="003053BB">
        <w:rPr>
          <w:rFonts w:cs="Times New Roman"/>
          <w:color w:val="FF0000"/>
        </w:rPr>
        <w:t>[Mayer’s Dissent from I/P Engine]</w:t>
      </w:r>
      <w:commentRangeEnd w:id="36"/>
      <w:r w:rsidR="003053BB">
        <w:rPr>
          <w:rStyle w:val="CommentReference"/>
        </w:rPr>
        <w:commentReference w:id="36"/>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34"/>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35"/>
      </w:r>
      <w:r w:rsidR="00FE1A45">
        <w:t xml:space="preserve"> </w:t>
      </w:r>
      <w:r w:rsidR="00B95561">
        <w:t xml:space="preserve">The </w:t>
      </w:r>
      <w:r w:rsidR="00B95561">
        <w:lastRenderedPageBreak/>
        <w:t xml:space="preserve">progression of the legal system, and thereby the patent system, is slow. The full effects of the Berkheimer Memorandum </w:t>
      </w:r>
      <w:commentRangeStart w:id="37"/>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7"/>
      <w:r w:rsidR="00B95561">
        <w:rPr>
          <w:rStyle w:val="CommentReference"/>
        </w:rPr>
        <w:commentReference w:id="37"/>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cases the Federal Circuit </w:t>
      </w:r>
      <w:r w:rsidR="00672861">
        <w:t xml:space="preserve">could have achieved the same result with §§ 102, 103, and 112 rather than relying on § 101. </w:t>
      </w:r>
      <w:r w:rsidR="006C50A9">
        <w:t xml:space="preserve">In </w:t>
      </w:r>
      <w:commentRangeStart w:id="38"/>
      <w:r w:rsidR="006C50A9">
        <w:t xml:space="preserve">other </w:t>
      </w:r>
      <w:proofErr w:type="gramStart"/>
      <w:r w:rsidR="006C50A9">
        <w:t>cases</w:t>
      </w:r>
      <w:commentRangeEnd w:id="38"/>
      <w:proofErr w:type="gramEnd"/>
      <w:r w:rsidR="00064FBC">
        <w:rPr>
          <w:rStyle w:val="CommentReference"/>
        </w:rPr>
        <w:commentReference w:id="38"/>
      </w:r>
      <w:r w:rsidR="006C50A9">
        <w:t>,</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6A340E76" w14:textId="77777777" w:rsidR="00064FBC" w:rsidRDefault="00BE510E" w:rsidP="00064FBC">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36"/>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37"/>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38"/>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 xml:space="preserve">block a basic </w:t>
      </w:r>
      <w:r w:rsidR="00637F36">
        <w:rPr>
          <w:rFonts w:cs="Times New Roman"/>
          <w:color w:val="auto"/>
        </w:rPr>
        <w:lastRenderedPageBreak/>
        <w:t>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39"/>
      </w:r>
    </w:p>
    <w:p w14:paraId="679C7BB9" w14:textId="7707888A" w:rsidR="00F31EEC" w:rsidRDefault="00EE0D1E" w:rsidP="00064FBC">
      <w:pPr>
        <w:ind w:firstLine="720"/>
        <w:rPr>
          <w:rFonts w:cs="Times New Roman"/>
          <w:color w:val="FF0000"/>
        </w:rPr>
      </w:pPr>
      <w:r>
        <w:rPr>
          <w:rFonts w:cs="Times New Roman"/>
          <w:color w:val="FF0000"/>
        </w:rPr>
        <w:t xml:space="preserve">In </w:t>
      </w:r>
      <w:r>
        <w:rPr>
          <w:rFonts w:cs="Times New Roman"/>
          <w:i/>
          <w:color w:val="FF0000"/>
        </w:rPr>
        <w:t>Content Extraction and Transmission LLC v. Wells Fargo Bank, Nat</w:t>
      </w:r>
      <w:r w:rsidR="002076A8">
        <w:rPr>
          <w:rFonts w:cs="Times New Roman"/>
          <w:i/>
          <w:color w:val="FF0000"/>
        </w:rPr>
        <w:t>’l</w:t>
      </w:r>
      <w:r>
        <w:rPr>
          <w:rFonts w:cs="Times New Roman"/>
          <w:i/>
          <w:color w:val="FF0000"/>
        </w:rPr>
        <w:t xml:space="preserve"> </w:t>
      </w:r>
      <w:proofErr w:type="spellStart"/>
      <w:r>
        <w:rPr>
          <w:rFonts w:cs="Times New Roman"/>
          <w:i/>
          <w:color w:val="FF0000"/>
        </w:rPr>
        <w:t>Ass’n</w:t>
      </w:r>
      <w:proofErr w:type="spellEnd"/>
      <w:r w:rsidR="00DF5A9B">
        <w:rPr>
          <w:rFonts w:cs="Times New Roman"/>
          <w:color w:val="FF0000"/>
        </w:rPr>
        <w:t xml:space="preserve">, the </w:t>
      </w:r>
      <w:r w:rsidR="00892368">
        <w:rPr>
          <w:rFonts w:cs="Times New Roman"/>
          <w:color w:val="FF0000"/>
        </w:rPr>
        <w:t xml:space="preserve">Federal Circuit heard argument regarding ATM software which recited methods for extracting </w:t>
      </w:r>
      <w:r w:rsidR="00B12102">
        <w:rPr>
          <w:rFonts w:cs="Times New Roman"/>
          <w:color w:val="FF0000"/>
        </w:rPr>
        <w:t xml:space="preserve">and digitizing </w:t>
      </w:r>
      <w:r w:rsidR="00892368">
        <w:rPr>
          <w:rFonts w:cs="Times New Roman"/>
          <w:color w:val="FF0000"/>
        </w:rPr>
        <w:t xml:space="preserve">data </w:t>
      </w:r>
      <w:r w:rsidR="00F33C28">
        <w:rPr>
          <w:rFonts w:cs="Times New Roman"/>
          <w:color w:val="FF0000"/>
        </w:rPr>
        <w:t xml:space="preserve">from physical </w:t>
      </w:r>
      <w:r w:rsidR="00B12102">
        <w:rPr>
          <w:rFonts w:cs="Times New Roman"/>
          <w:color w:val="FF0000"/>
        </w:rPr>
        <w:t>documents,</w:t>
      </w:r>
      <w:r w:rsidR="00B41273">
        <w:rPr>
          <w:rFonts w:cs="Times New Roman"/>
          <w:color w:val="FF0000"/>
        </w:rPr>
        <w:t xml:space="preserve"> recognizing the digitized data and storing it.</w:t>
      </w:r>
      <w:r w:rsidR="00F90BDD">
        <w:rPr>
          <w:rStyle w:val="FootnoteReference"/>
          <w:rFonts w:cs="Times New Roman"/>
          <w:color w:val="FF0000"/>
        </w:rPr>
        <w:footnoteReference w:id="140"/>
      </w:r>
      <w:r w:rsidR="00B41273">
        <w:rPr>
          <w:rFonts w:cs="Times New Roman"/>
          <w:color w:val="FF0000"/>
        </w:rPr>
        <w:t xml:space="preserve"> </w:t>
      </w:r>
      <w:r w:rsidR="0033212D">
        <w:rPr>
          <w:rFonts w:cs="Times New Roman"/>
          <w:color w:val="FF0000"/>
        </w:rPr>
        <w:t xml:space="preserve">This method recognizes the </w:t>
      </w:r>
      <w:r w:rsidR="00E174D0">
        <w:rPr>
          <w:rFonts w:cs="Times New Roman"/>
          <w:color w:val="FF0000"/>
        </w:rPr>
        <w:t>hand-written</w:t>
      </w:r>
      <w:r w:rsidR="0033212D">
        <w:rPr>
          <w:rFonts w:cs="Times New Roman"/>
          <w:color w:val="FF0000"/>
        </w:rPr>
        <w:t xml:space="preserve"> information on a check, and then populates </w:t>
      </w:r>
      <w:r w:rsidR="00BC6E0F">
        <w:rPr>
          <w:rFonts w:cs="Times New Roman"/>
          <w:color w:val="FF0000"/>
        </w:rPr>
        <w:t>data fields with that information.</w:t>
      </w:r>
      <w:r w:rsidR="00BC6E0F">
        <w:rPr>
          <w:rStyle w:val="FootnoteReference"/>
          <w:rFonts w:cs="Times New Roman"/>
          <w:color w:val="FF0000"/>
        </w:rPr>
        <w:footnoteReference w:id="141"/>
      </w:r>
      <w:r w:rsidR="00B12102">
        <w:rPr>
          <w:rFonts w:cs="Times New Roman"/>
          <w:color w:val="FF0000"/>
        </w:rPr>
        <w:t xml:space="preserve"> </w:t>
      </w:r>
      <w:r w:rsidR="006F1E96">
        <w:rPr>
          <w:rFonts w:cs="Times New Roman"/>
          <w:color w:val="FF0000"/>
        </w:rPr>
        <w:t xml:space="preserve">The Court </w:t>
      </w:r>
      <w:r w:rsidR="00BE7486">
        <w:rPr>
          <w:rFonts w:cs="Times New Roman"/>
          <w:color w:val="FF0000"/>
        </w:rPr>
        <w:t xml:space="preserve">follows the </w:t>
      </w:r>
      <w:r w:rsidR="00BE7486">
        <w:rPr>
          <w:rFonts w:cs="Times New Roman"/>
          <w:i/>
          <w:color w:val="FF0000"/>
        </w:rPr>
        <w:t>Mayo/Alice</w:t>
      </w:r>
      <w:r w:rsidR="00BE7486">
        <w:rPr>
          <w:rFonts w:cs="Times New Roman"/>
          <w:color w:val="FF0000"/>
        </w:rPr>
        <w:t xml:space="preserve"> two-step framework, stating that the Supreme Court has not</w:t>
      </w:r>
      <w:r w:rsidR="0066464C">
        <w:rPr>
          <w:rFonts w:cs="Times New Roman"/>
          <w:color w:val="FF0000"/>
        </w:rPr>
        <w:t xml:space="preserve"> “delimited the precise contours of the ‘abstract ideas’ category.</w:t>
      </w:r>
      <w:r w:rsidR="0066464C">
        <w:rPr>
          <w:rStyle w:val="FootnoteReference"/>
          <w:rFonts w:cs="Times New Roman"/>
          <w:color w:val="FF0000"/>
        </w:rPr>
        <w:footnoteReference w:id="142"/>
      </w:r>
      <w:r w:rsidR="00511FD3">
        <w:rPr>
          <w:rFonts w:cs="Times New Roman"/>
          <w:color w:val="FF0000"/>
        </w:rPr>
        <w:t xml:space="preserve"> In step, the Court agrees with the district court that the claims </w:t>
      </w:r>
      <w:r w:rsidR="0032678F">
        <w:rPr>
          <w:rFonts w:cs="Times New Roman"/>
          <w:color w:val="FF0000"/>
        </w:rPr>
        <w:t>are directed to the abstract idea of collection data, recognizing data, and storing data</w:t>
      </w:r>
      <w:r w:rsidR="00205429">
        <w:rPr>
          <w:rFonts w:cs="Times New Roman"/>
          <w:color w:val="FF0000"/>
        </w:rPr>
        <w:t>, emphasizing that these concepts are well known.</w:t>
      </w:r>
      <w:r w:rsidR="00205429">
        <w:rPr>
          <w:rStyle w:val="FootnoteReference"/>
          <w:rFonts w:cs="Times New Roman"/>
          <w:color w:val="FF0000"/>
        </w:rPr>
        <w:footnoteReference w:id="143"/>
      </w:r>
      <w:r w:rsidR="003E61E1">
        <w:rPr>
          <w:rFonts w:cs="Times New Roman"/>
          <w:color w:val="FF0000"/>
        </w:rPr>
        <w:t xml:space="preserve"> Early in the analysis process the court as conflated abstract ideas with novelty, stating</w:t>
      </w:r>
      <w:r w:rsidR="00953CA6">
        <w:rPr>
          <w:rFonts w:cs="Times New Roman"/>
          <w:color w:val="FF0000"/>
        </w:rPr>
        <w:t xml:space="preserve"> “humans have always performed these functions” and “banks</w:t>
      </w:r>
      <w:r w:rsidR="006B1B48">
        <w:rPr>
          <w:rFonts w:cs="Times New Roman"/>
          <w:color w:val="FF0000"/>
        </w:rPr>
        <w:t xml:space="preserve"> have, for some time, review checks, recognized relevant data, … and stored that information in their records”</w:t>
      </w:r>
      <w:r w:rsidR="00DE1D7E">
        <w:rPr>
          <w:rFonts w:cs="Times New Roman"/>
          <w:color w:val="FF0000"/>
        </w:rPr>
        <w:t>.</w:t>
      </w:r>
      <w:r w:rsidR="006B1B48">
        <w:rPr>
          <w:rStyle w:val="FootnoteReference"/>
          <w:rFonts w:cs="Times New Roman"/>
          <w:color w:val="FF0000"/>
        </w:rPr>
        <w:footnoteReference w:id="144"/>
      </w:r>
      <w:r w:rsidR="00DE1D7E">
        <w:rPr>
          <w:rFonts w:cs="Times New Roman"/>
          <w:color w:val="FF0000"/>
        </w:rPr>
        <w:t xml:space="preserve"> </w:t>
      </w:r>
    </w:p>
    <w:p w14:paraId="7F7DA181" w14:textId="5D537A80" w:rsidR="006B1B48" w:rsidRDefault="006B1B48" w:rsidP="00064FBC">
      <w:pPr>
        <w:ind w:firstLine="720"/>
        <w:rPr>
          <w:rFonts w:cs="Times New Roman"/>
          <w:color w:val="auto"/>
        </w:rPr>
      </w:pPr>
      <w:r>
        <w:rPr>
          <w:rFonts w:cs="Times New Roman"/>
          <w:color w:val="auto"/>
        </w:rPr>
        <w:t xml:space="preserve">Moving to step two of the analysis, </w:t>
      </w:r>
      <w:r w:rsidR="002A48E3">
        <w:rPr>
          <w:rFonts w:cs="Times New Roman"/>
          <w:color w:val="auto"/>
        </w:rPr>
        <w:t>the court found there was no inventive concept in Content Extraction’s use of a scanner</w:t>
      </w:r>
      <w:r w:rsidR="00597DBB">
        <w:rPr>
          <w:rFonts w:cs="Times New Roman"/>
          <w:color w:val="auto"/>
        </w:rPr>
        <w:t xml:space="preserve"> (or other digitizing device) or the computer’s ability to recognizes the text. </w:t>
      </w:r>
      <w:r w:rsidR="00AA22EE">
        <w:rPr>
          <w:rFonts w:cs="Times New Roman"/>
          <w:color w:val="auto"/>
        </w:rPr>
        <w:t xml:space="preserve">The use of a generic scanner and computer </w:t>
      </w:r>
      <w:r w:rsidR="000E257D">
        <w:rPr>
          <w:rFonts w:cs="Times New Roman"/>
          <w:color w:val="auto"/>
        </w:rPr>
        <w:t>here is</w:t>
      </w:r>
      <w:r w:rsidR="00274BC1">
        <w:rPr>
          <w:rFonts w:cs="Times New Roman"/>
          <w:color w:val="auto"/>
        </w:rPr>
        <w:t xml:space="preserve"> a well-understood, routine, and conventional activity commonly used industry.</w:t>
      </w:r>
      <w:r w:rsidR="000E257D">
        <w:rPr>
          <w:rStyle w:val="FootnoteReference"/>
          <w:rFonts w:cs="Times New Roman"/>
          <w:color w:val="auto"/>
        </w:rPr>
        <w:footnoteReference w:id="145"/>
      </w:r>
      <w:r w:rsidR="00274BC1">
        <w:rPr>
          <w:rFonts w:cs="Times New Roman"/>
          <w:color w:val="auto"/>
        </w:rPr>
        <w:t xml:space="preserve"> </w:t>
      </w:r>
      <w:r w:rsidR="006F1634">
        <w:rPr>
          <w:rFonts w:cs="Times New Roman"/>
          <w:color w:val="auto"/>
        </w:rPr>
        <w:t xml:space="preserve">Here, the Court should have noted that the claims if granted </w:t>
      </w:r>
      <w:r w:rsidR="00E8208B">
        <w:rPr>
          <w:rFonts w:cs="Times New Roman"/>
          <w:color w:val="auto"/>
        </w:rPr>
        <w:t xml:space="preserve">would likely lead to </w:t>
      </w:r>
      <w:proofErr w:type="gramStart"/>
      <w:r w:rsidR="00E8208B">
        <w:rPr>
          <w:rFonts w:cs="Times New Roman"/>
          <w:color w:val="auto"/>
        </w:rPr>
        <w:t>an</w:t>
      </w:r>
      <w:proofErr w:type="gramEnd"/>
      <w:r w:rsidR="00E8208B">
        <w:rPr>
          <w:rFonts w:cs="Times New Roman"/>
          <w:color w:val="auto"/>
        </w:rPr>
        <w:t xml:space="preserve"> monopolization of basic scientific tools</w:t>
      </w:r>
      <w:r w:rsidR="00FD5B3F">
        <w:rPr>
          <w:rFonts w:cs="Times New Roman"/>
          <w:color w:val="auto"/>
        </w:rPr>
        <w:t xml:space="preserve">. Having </w:t>
      </w:r>
      <w:r w:rsidR="00FD5B3F">
        <w:rPr>
          <w:rFonts w:cs="Times New Roman"/>
          <w:color w:val="auto"/>
        </w:rPr>
        <w:lastRenderedPageBreak/>
        <w:t xml:space="preserve">answer this question, the Court should then examine under §§ 102, 103, and 112. </w:t>
      </w:r>
      <w:r w:rsidR="00CB5025">
        <w:rPr>
          <w:rFonts w:cs="Times New Roman"/>
          <w:color w:val="auto"/>
        </w:rPr>
        <w:t xml:space="preserve">The claims here could easily have been invalidated for lack of novelty under § 102, </w:t>
      </w:r>
      <w:r w:rsidR="00B943A6">
        <w:rPr>
          <w:rFonts w:cs="Times New Roman"/>
          <w:color w:val="auto"/>
        </w:rPr>
        <w:t>or § 103</w:t>
      </w:r>
      <w:r w:rsidR="00D058DA">
        <w:rPr>
          <w:rFonts w:cs="Times New Roman"/>
          <w:color w:val="auto"/>
        </w:rPr>
        <w:t xml:space="preserve"> </w:t>
      </w:r>
      <w:r w:rsidR="00CB5025">
        <w:rPr>
          <w:rFonts w:cs="Times New Roman"/>
          <w:color w:val="auto"/>
        </w:rPr>
        <w:t>without needing to resort</w:t>
      </w:r>
      <w:r w:rsidR="00C015D6">
        <w:rPr>
          <w:rFonts w:cs="Times New Roman"/>
          <w:color w:val="auto"/>
        </w:rPr>
        <w:t xml:space="preserve"> to § 101. </w:t>
      </w:r>
    </w:p>
    <w:p w14:paraId="5F844339" w14:textId="635B4104" w:rsidR="00F31EEC" w:rsidRDefault="000D5C5D" w:rsidP="000D5C5D">
      <w:pPr>
        <w:pStyle w:val="Heading1"/>
      </w:pPr>
      <w:commentRangeStart w:id="39"/>
      <w:r>
        <w:t>CONCLUSION</w:t>
      </w:r>
      <w:commentRangeEnd w:id="39"/>
      <w:r w:rsidR="00C015D6">
        <w:rPr>
          <w:rStyle w:val="CommentReference"/>
          <w:rFonts w:eastAsiaTheme="minorHAnsi" w:cstheme="minorBidi"/>
        </w:rPr>
        <w:commentReference w:id="39"/>
      </w:r>
    </w:p>
    <w:p w14:paraId="3EDA135D" w14:textId="61DCA037" w:rsidR="009C423A" w:rsidRPr="009C423A" w:rsidRDefault="000E4164" w:rsidP="00585F34">
      <w:pPr>
        <w:ind w:firstLine="720"/>
      </w:pPr>
      <w:r>
        <w:t xml:space="preserve">The </w:t>
      </w:r>
      <w:r w:rsidR="00585F34">
        <w:t xml:space="preserve">state of the law is constantly evolving, and no system is without fault. However, the current </w:t>
      </w:r>
      <w:r w:rsidR="00DA77EB">
        <w:t xml:space="preserve">standards for patent eligible has created uncertainty, </w:t>
      </w:r>
      <w:r w:rsidR="00700665">
        <w:t xml:space="preserve">which may impede innovation in the long term. Seeking to </w:t>
      </w:r>
      <w:r w:rsidR="00B47BE1">
        <w:t xml:space="preserve">remove the stream of invalidations from the courts, following </w:t>
      </w:r>
      <w:r w:rsidR="00B47BE1">
        <w:rPr>
          <w:i/>
        </w:rPr>
        <w:t>Alice</w:t>
      </w:r>
      <w:r w:rsidR="00B47BE1">
        <w:t xml:space="preserve">, the </w:t>
      </w:r>
      <w:r w:rsidR="008407CB">
        <w:t>USPTO released the Berkheimer Memorandum</w:t>
      </w:r>
      <w:r w:rsidR="003338F6">
        <w:t xml:space="preserve">. This Memorandum reduced the ways </w:t>
      </w:r>
      <w:r w:rsidR="00F368B2">
        <w:t xml:space="preserve">patent examiners </w:t>
      </w:r>
      <w:r w:rsidR="003338F6">
        <w:t>can implement § 101</w:t>
      </w:r>
      <w:r w:rsidR="00A92D17">
        <w:t xml:space="preserve"> rejections for well-understood, </w:t>
      </w:r>
      <w:r w:rsidR="00F368B2">
        <w:t xml:space="preserve">routine, conventional activity. </w:t>
      </w:r>
      <w:r w:rsidR="00CC2438">
        <w:t xml:space="preserve">This solution may allow more patents to be granted going forward, but it does not remove the strict standards set under </w:t>
      </w:r>
      <w:r w:rsidR="00CC2438">
        <w:rPr>
          <w:i/>
        </w:rPr>
        <w:t>Mayo/Alice</w:t>
      </w:r>
      <w:r w:rsidR="00CC2438">
        <w:t>.</w:t>
      </w:r>
      <w:r w:rsidR="00CA561D">
        <w:t xml:space="preserve"> This may cause more invalidations long term as patents are being granted </w:t>
      </w:r>
      <w:r w:rsidR="0055170E">
        <w:t xml:space="preserve">that are inconsistent with the Courts’ standard for abstract ideas. </w:t>
      </w:r>
      <w:commentRangeStart w:id="40"/>
      <w:r w:rsidR="0055170E">
        <w:t>A better solution is to</w:t>
      </w:r>
      <w:r w:rsidR="00EB59D3">
        <w:t xml:space="preserve"> change the Court’s definition of abstract ideas, which have become conflated with the standards of patentability.</w:t>
      </w:r>
      <w:commentRangeEnd w:id="40"/>
      <w:r w:rsidR="00F078FF">
        <w:rPr>
          <w:rStyle w:val="CommentReference"/>
        </w:rPr>
        <w:commentReference w:id="40"/>
      </w:r>
      <w:r w:rsidR="00EB59D3">
        <w:t xml:space="preserve"> </w:t>
      </w:r>
      <w:r w:rsidR="004B431D">
        <w:t xml:space="preserve">This can be done by first asking if an invention blocks a basic scientific tool, and then </w:t>
      </w:r>
      <w:r w:rsidR="00C2493D">
        <w:t>using §§ 102, 103, and 112 for invalidations and turning to § 101 only when necessary</w:t>
      </w:r>
      <w:r w:rsidR="004D3351">
        <w:t xml:space="preserve">, rather than sweeping all invalidations under the umbrella of § 101. </w:t>
      </w:r>
      <w:r w:rsidR="00CC2438">
        <w:t xml:space="preserve"> </w:t>
      </w:r>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2"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3"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4"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5"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6"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7"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8"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9"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10"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1"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2"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3"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4"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5"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6"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7" w:author="Joseph Hold" w:date="2018-12-28T13:30:00Z" w:initials="JH">
    <w:p w14:paraId="677E369F" w14:textId="77777777" w:rsidR="00590EFF" w:rsidRDefault="00590EFF" w:rsidP="00590EFF">
      <w:pPr>
        <w:pStyle w:val="CommentText"/>
      </w:pPr>
      <w:r>
        <w:rPr>
          <w:rStyle w:val="CommentReference"/>
        </w:rPr>
        <w:annotationRef/>
      </w:r>
      <w:r>
        <w:t>Best to keep consistent terms</w:t>
      </w:r>
    </w:p>
  </w:comment>
  <w:comment w:id="18" w:author="Joseph Hold" w:date="2018-12-28T13:34:00Z" w:initials="JH">
    <w:p w14:paraId="70024FA5" w14:textId="77777777" w:rsidR="00590EFF" w:rsidRDefault="00590EFF" w:rsidP="00590EFF">
      <w:pPr>
        <w:pStyle w:val="CommentText"/>
      </w:pPr>
      <w:r>
        <w:rPr>
          <w:rStyle w:val="CommentReference"/>
        </w:rPr>
        <w:annotationRef/>
      </w:r>
      <w:r>
        <w:t xml:space="preserve">Watch your grammar </w:t>
      </w:r>
    </w:p>
  </w:comment>
  <w:comment w:id="19" w:author="Joseph Hold" w:date="2018-12-28T13:33:00Z" w:initials="JH">
    <w:p w14:paraId="23B65DA3" w14:textId="77777777" w:rsidR="00590EFF" w:rsidRDefault="00590EFF" w:rsidP="00590EFF">
      <w:pPr>
        <w:pStyle w:val="CommentText"/>
      </w:pPr>
      <w:r>
        <w:rPr>
          <w:rStyle w:val="CommentReference"/>
        </w:rPr>
        <w:annotationRef/>
      </w:r>
      <w:r>
        <w:t>Better flow</w:t>
      </w:r>
    </w:p>
  </w:comment>
  <w:comment w:id="20" w:author="Arielle" w:date="2018-12-28T19:51:00Z" w:initials="amp">
    <w:p w14:paraId="2632F0E3" w14:textId="77777777" w:rsidR="00590EFF" w:rsidRDefault="00590EFF" w:rsidP="00590EFF">
      <w:pPr>
        <w:pStyle w:val="CommentText"/>
      </w:pPr>
      <w:r>
        <w:rPr>
          <w:rStyle w:val="CommentReference"/>
        </w:rPr>
        <w:annotationRef/>
      </w:r>
      <w:r>
        <w:t>Exclamation points are a bit informal.  Use a period instead.</w:t>
      </w:r>
    </w:p>
  </w:comment>
  <w:comment w:id="21" w:author="Joseph Hold" w:date="2018-12-28T14:34:00Z" w:initials="JH">
    <w:p w14:paraId="0B4FF090" w14:textId="77777777" w:rsidR="00590EFF" w:rsidRDefault="00590EFF" w:rsidP="00590EFF">
      <w:pPr>
        <w:pStyle w:val="CommentText"/>
      </w:pPr>
      <w:r>
        <w:rPr>
          <w:rStyle w:val="CommentReference"/>
        </w:rPr>
        <w:annotationRef/>
      </w:r>
      <w:r>
        <w:t>Cut unnecessary words</w:t>
      </w:r>
    </w:p>
  </w:comment>
  <w:comment w:id="23" w:author="Arielle" w:date="2018-12-28T19:52:00Z" w:initials="amp">
    <w:p w14:paraId="14CC6B5A" w14:textId="77777777" w:rsidR="00590EFF" w:rsidRDefault="00590EFF" w:rsidP="00590EFF">
      <w:pPr>
        <w:pStyle w:val="CommentText"/>
      </w:pPr>
      <w:r>
        <w:rPr>
          <w:rStyle w:val="CommentReference"/>
        </w:rPr>
        <w:annotationRef/>
      </w:r>
      <w:r>
        <w:t xml:space="preserve">You haven’t referred to Benson in text yet.  If you are going to refer to a case name in text like this, you should discuss it in text initially. </w:t>
      </w:r>
    </w:p>
  </w:comment>
  <w:comment w:id="22" w:author="Arielle" w:date="2018-12-28T19:54:00Z" w:initials="amp">
    <w:p w14:paraId="013F2787" w14:textId="77777777" w:rsidR="00590EFF" w:rsidRDefault="00590EFF" w:rsidP="00590EFF">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4" w:author="Joseph Hold" w:date="2018-12-28T14:38:00Z" w:initials="JH">
    <w:p w14:paraId="6EDC129F" w14:textId="77777777" w:rsidR="00590EFF" w:rsidRDefault="00590EFF" w:rsidP="00590EFF">
      <w:pPr>
        <w:pStyle w:val="CommentText"/>
      </w:pPr>
      <w:r>
        <w:rPr>
          <w:rStyle w:val="CommentReference"/>
        </w:rPr>
        <w:annotationRef/>
      </w:r>
      <w:r>
        <w:t>Reconsider some sentence structure here</w:t>
      </w:r>
    </w:p>
  </w:comment>
  <w:comment w:id="25" w:author="seth guthrie" w:date="2018-11-19T15:27:00Z" w:initials="sg">
    <w:p w14:paraId="0BC360E4" w14:textId="77777777" w:rsidR="00590EFF" w:rsidRPr="004734AD" w:rsidRDefault="00590EFF" w:rsidP="00590EFF">
      <w:pPr>
        <w:spacing w:after="0"/>
        <w:rPr>
          <w:rFonts w:eastAsia="Times New Roman" w:cs="Times New Roman"/>
          <w:color w:val="auto"/>
          <w:szCs w:val="24"/>
        </w:rPr>
      </w:pPr>
      <w:r>
        <w:rPr>
          <w:rStyle w:val="CommentReference"/>
        </w:rPr>
        <w:annotationRef/>
      </w:r>
      <w:r w:rsidRPr="004734AD">
        <w:rPr>
          <w:rFonts w:eastAsia="Times New Roman"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4734AD">
        <w:rPr>
          <w:rFonts w:eastAsia="Times New Roman" w:cs="Times New Roman"/>
          <w:i/>
          <w:iCs/>
          <w:color w:val="000000"/>
          <w:szCs w:val="24"/>
          <w:bdr w:val="none" w:sz="0" w:space="0" w:color="auto" w:frame="1"/>
        </w:rPr>
        <w:t>e. g.</w:t>
      </w:r>
      <w:r w:rsidRPr="004734AD">
        <w:rPr>
          <w:rFonts w:eastAsia="Times New Roman" w:cs="Times New Roman"/>
          <w:color w:val="000000"/>
          <w:szCs w:val="24"/>
          <w:shd w:val="clear" w:color="auto" w:fill="FFFFFF"/>
        </w:rPr>
        <w:t>, transforming or reducing an article to a different </w:t>
      </w:r>
      <w:r w:rsidRPr="004734AD">
        <w:rPr>
          <w:rFonts w:eastAsia="Times New Roman" w:cs="Times New Roman"/>
          <w:bCs/>
          <w:color w:val="000000"/>
          <w:szCs w:val="24"/>
          <w:bdr w:val="single" w:sz="12" w:space="0" w:color="86B392" w:frame="1"/>
        </w:rPr>
        <w:t>**1060</w:t>
      </w:r>
      <w:r w:rsidRPr="004734AD">
        <w:rPr>
          <w:rFonts w:eastAsia="Times New Roman" w:cs="Times New Roman"/>
          <w:color w:val="000000"/>
          <w:szCs w:val="24"/>
          <w:shd w:val="clear" w:color="auto" w:fill="FFFFFF"/>
        </w:rPr>
        <w:t> state or thing), then the claim satisfies the requirements of § 101. </w:t>
      </w:r>
      <w:r w:rsidRPr="004734AD">
        <w:rPr>
          <w:rFonts w:eastAsia="Times New Roman" w:cs="Times New Roman"/>
          <w:color w:val="000000"/>
          <w:szCs w:val="24"/>
        </w:rPr>
        <w:br/>
      </w:r>
    </w:p>
    <w:p w14:paraId="6168C4E5" w14:textId="77777777" w:rsidR="00590EFF" w:rsidRPr="00004E58" w:rsidRDefault="00590EFF" w:rsidP="00590EFF">
      <w:pPr>
        <w:shd w:val="clear" w:color="auto" w:fill="FFFFFF"/>
        <w:spacing w:after="0"/>
        <w:textAlignment w:val="baseline"/>
        <w:rPr>
          <w:rFonts w:ascii="Source Sans Pro" w:eastAsia="Times New Roman" w:hAnsi="Source Sans Pro" w:cs="Times New Roman"/>
          <w:color w:val="000000"/>
          <w:szCs w:val="24"/>
        </w:rPr>
      </w:pPr>
      <w:r w:rsidRPr="004734AD">
        <w:rPr>
          <w:rFonts w:eastAsia="Times New Roman" w:cs="Times New Roman"/>
          <w:color w:val="000000"/>
          <w:szCs w:val="24"/>
          <w:u w:val="single"/>
          <w:bdr w:val="none" w:sz="0" w:space="0" w:color="auto" w:frame="1"/>
        </w:rPr>
        <w:t xml:space="preserve">Diamond v. </w:t>
      </w:r>
      <w:proofErr w:type="spellStart"/>
      <w:r w:rsidRPr="004734AD">
        <w:rPr>
          <w:rFonts w:eastAsia="Times New Roman" w:cs="Times New Roman"/>
          <w:color w:val="000000"/>
          <w:szCs w:val="24"/>
          <w:u w:val="single"/>
          <w:bdr w:val="none" w:sz="0" w:space="0" w:color="auto" w:frame="1"/>
        </w:rPr>
        <w:t>Diehr</w:t>
      </w:r>
      <w:proofErr w:type="spellEnd"/>
      <w:r w:rsidRPr="004734AD">
        <w:rPr>
          <w:rFonts w:eastAsia="Times New Roman" w:cs="Times New Roman"/>
          <w:color w:val="000000"/>
          <w:szCs w:val="24"/>
        </w:rPr>
        <w:t>, 450 U.S. 175, 192, 101 S. Ct. 1048, 1059–60, 67 L. Ed. 2d 155 (1981)</w:t>
      </w:r>
    </w:p>
    <w:p w14:paraId="0B567CA1" w14:textId="77777777" w:rsidR="00590EFF" w:rsidRDefault="00590EFF" w:rsidP="00590EFF">
      <w:pPr>
        <w:pStyle w:val="CommentText"/>
      </w:pPr>
    </w:p>
  </w:comment>
  <w:comment w:id="26" w:author="seth guthrie" w:date="2019-01-24T12:50:00Z" w:initials="GSK">
    <w:p w14:paraId="2194427E" w14:textId="00C833F8" w:rsidR="00C85B0E" w:rsidRDefault="00C85B0E">
      <w:pPr>
        <w:pStyle w:val="CommentText"/>
      </w:pPr>
      <w:r>
        <w:rPr>
          <w:rStyle w:val="CommentReference"/>
        </w:rPr>
        <w:annotationRef/>
      </w:r>
      <w:r>
        <w:t>Becomes known as the state street test</w:t>
      </w:r>
    </w:p>
  </w:comment>
  <w:comment w:id="27"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8"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29"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0"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1"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2"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represents well-understood, routine, conventional activity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3"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4"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5" w:author="seth guthrie" w:date="2019-01-25T15:41:00Z" w:initials="GSK">
    <w:p w14:paraId="34E1606E" w14:textId="40E75401" w:rsidR="007859F0" w:rsidRPr="003053BB" w:rsidRDefault="00AE7461" w:rsidP="00BD4244">
      <w:pPr>
        <w:pStyle w:val="CommentText"/>
        <w:rPr>
          <w:rFonts w:cs="Times New Roman"/>
          <w:color w:val="FF0000"/>
        </w:rPr>
      </w:pPr>
      <w:r>
        <w:rPr>
          <w:rStyle w:val="CommentReference"/>
        </w:rPr>
        <w:annotationRef/>
      </w:r>
      <w:r w:rsidRPr="00092B60">
        <w:rPr>
          <w:rFonts w:cs="Times New Roman"/>
          <w:color w:val="FF0000"/>
        </w:rPr>
        <w:t>[</w:t>
      </w:r>
      <w:r>
        <w:rPr>
          <w:rFonts w:cs="Times New Roman"/>
          <w:color w:val="FF0000"/>
        </w:rPr>
        <w:t>flesh out this counter argument more?</w:t>
      </w:r>
      <w:r w:rsidRPr="00092B60">
        <w:rPr>
          <w:rFonts w:cs="Times New Roman"/>
          <w:color w:val="FF0000"/>
        </w:rPr>
        <w:t>]</w:t>
      </w:r>
    </w:p>
  </w:comment>
  <w:comment w:id="36" w:author="seth guthrie" w:date="2019-01-25T15:51:00Z" w:initials="GSK">
    <w:p w14:paraId="21B644C1" w14:textId="77777777" w:rsidR="003053BB" w:rsidRDefault="003053BB" w:rsidP="003053BB">
      <w:pPr>
        <w:pStyle w:val="CommentText"/>
      </w:pPr>
      <w:r>
        <w:rPr>
          <w:rStyle w:val="CommentReference"/>
        </w:rPr>
        <w:annotationRef/>
      </w:r>
      <w:r>
        <w:t xml:space="preserve">Another good counter argument is Mayer’s dissent in I/P Engine Inc v. AOL. </w:t>
      </w:r>
      <w:r w:rsidRPr="00567254">
        <w:t xml:space="preserve">576 Fed. Appx. 982, </w:t>
      </w:r>
      <w:r>
        <w:t>995</w:t>
      </w:r>
      <w:r w:rsidRPr="00567254">
        <w:t xml:space="preserve"> (Fed. Cir. 2014).</w:t>
      </w:r>
      <w:r>
        <w:t xml:space="preserve"> </w:t>
      </w:r>
    </w:p>
    <w:p w14:paraId="687852FD" w14:textId="77777777" w:rsidR="003053BB" w:rsidRDefault="003053BB" w:rsidP="003053BB">
      <w:pPr>
        <w:pStyle w:val="CommentText"/>
      </w:pPr>
    </w:p>
    <w:p w14:paraId="6B149A8F" w14:textId="056E7C9C" w:rsidR="003053BB" w:rsidRDefault="003053BB" w:rsidP="003053BB">
      <w:pPr>
        <w:pStyle w:val="CommentText"/>
      </w:pPr>
      <w:r>
        <w:t>Judge Mayer disagreed with an obviousness approach because “fail[</w:t>
      </w:r>
      <w:proofErr w:type="spellStart"/>
      <w:r>
        <w:t>ure</w:t>
      </w:r>
      <w:proofErr w:type="spellEnd"/>
      <w:r>
        <w:t>] to address at the very outset whether claims meet the strictures of section 101 is to put the cart before the horse.”</w:t>
      </w:r>
    </w:p>
    <w:p w14:paraId="7AAF1FEB" w14:textId="77777777" w:rsidR="003A7817" w:rsidRDefault="003A7817" w:rsidP="003053BB">
      <w:pPr>
        <w:pStyle w:val="CommentText"/>
      </w:pPr>
    </w:p>
    <w:p w14:paraId="21AF64A0" w14:textId="107A5A4F" w:rsidR="003053BB" w:rsidRDefault="003053BB" w:rsidP="003053BB">
      <w:pPr>
        <w:pStyle w:val="CommentText"/>
      </w:pPr>
      <w:r>
        <w:t xml:space="preserve">Paxton M. Lewis, The Conflation of Patent Eligibility and Obviousness: Alice's Substitution of Section 103, 2017 Utah L. Rev. </w:t>
      </w:r>
      <w:proofErr w:type="spellStart"/>
      <w:r>
        <w:t>OnLaw</w:t>
      </w:r>
      <w:proofErr w:type="spellEnd"/>
      <w:r>
        <w:t xml:space="preserve"> 13, 27 (2017)</w:t>
      </w:r>
    </w:p>
  </w:comment>
  <w:comment w:id="37"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 w:id="38" w:author="seth guthrie" w:date="2019-01-25T14:36:00Z" w:initials="GSK">
    <w:p w14:paraId="66853B89" w14:textId="77777777" w:rsidR="00064FBC" w:rsidRPr="00776B77" w:rsidRDefault="00064FBC" w:rsidP="00064FBC">
      <w:pPr>
        <w:rPr>
          <w:rFonts w:cs="Times New Roman"/>
          <w:color w:val="FF0000"/>
        </w:rPr>
      </w:pPr>
      <w:r>
        <w:rPr>
          <w:rStyle w:val="CommentReference"/>
        </w:rPr>
        <w:annotationRef/>
      </w:r>
      <w:r w:rsidRPr="00776B77">
        <w:rPr>
          <w:rFonts w:cs="Times New Roman"/>
          <w:color w:val="FF0000"/>
        </w:rPr>
        <w:t xml:space="preserve">Wild tangent v. </w:t>
      </w:r>
      <w:proofErr w:type="spellStart"/>
      <w:r w:rsidRPr="00776B77">
        <w:rPr>
          <w:rFonts w:cs="Times New Roman"/>
          <w:color w:val="FF0000"/>
        </w:rPr>
        <w:t>ultramercial</w:t>
      </w:r>
      <w:proofErr w:type="spellEnd"/>
    </w:p>
    <w:p w14:paraId="2049EE48" w14:textId="77777777" w:rsidR="00064FBC" w:rsidRPr="00776B77" w:rsidRDefault="00064FBC" w:rsidP="00064FBC">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4F470F21" w14:textId="77777777" w:rsidR="00064FBC" w:rsidRPr="00776B77" w:rsidRDefault="00064FBC" w:rsidP="00064FBC">
      <w:pPr>
        <w:rPr>
          <w:rFonts w:cs="Times New Roman"/>
          <w:color w:val="FF0000"/>
        </w:rPr>
      </w:pPr>
      <w:r w:rsidRPr="00776B77">
        <w:rPr>
          <w:rFonts w:cs="Times New Roman"/>
          <w:color w:val="FF0000"/>
        </w:rPr>
        <w:t>Digitech image tech v. electronics for imaging</w:t>
      </w:r>
    </w:p>
    <w:p w14:paraId="5B1C2473" w14:textId="77777777" w:rsidR="00064FBC" w:rsidRPr="00776B77" w:rsidRDefault="00064FBC" w:rsidP="00064FBC">
      <w:pPr>
        <w:rPr>
          <w:rFonts w:cs="Times New Roman"/>
          <w:color w:val="FF0000"/>
        </w:rPr>
      </w:pPr>
      <w:r w:rsidRPr="00776B77">
        <w:rPr>
          <w:rFonts w:cs="Times New Roman"/>
          <w:color w:val="FF0000"/>
        </w:rPr>
        <w:t>Buy safe</w:t>
      </w:r>
    </w:p>
    <w:p w14:paraId="1B303DF0" w14:textId="24C4E0B4" w:rsidR="00064FBC" w:rsidRDefault="00064FBC">
      <w:pPr>
        <w:pStyle w:val="CommentText"/>
      </w:pPr>
    </w:p>
  </w:comment>
  <w:comment w:id="39" w:author="seth guthrie" w:date="2019-01-25T15:24:00Z" w:initials="GSK">
    <w:p w14:paraId="562C4749" w14:textId="77777777" w:rsidR="00C015D6" w:rsidRPr="00C015D6" w:rsidRDefault="00C015D6" w:rsidP="00C015D6">
      <w:pPr>
        <w:ind w:firstLine="720"/>
        <w:rPr>
          <w:rFonts w:cs="Times New Roman"/>
          <w:color w:val="auto"/>
        </w:rPr>
      </w:pPr>
      <w:r>
        <w:rPr>
          <w:rStyle w:val="CommentReference"/>
        </w:rPr>
        <w:annotationRef/>
      </w:r>
      <w:r w:rsidRPr="00C015D6">
        <w:rPr>
          <w:rFonts w:cs="Times New Roman"/>
          <w:color w:val="FF0000"/>
        </w:rPr>
        <w:t xml:space="preserve">[Need to find a case that was invalidated under </w:t>
      </w:r>
      <w:r w:rsidRPr="00C015D6">
        <w:rPr>
          <w:rFonts w:cs="Times New Roman"/>
          <w:i/>
          <w:color w:val="FF0000"/>
        </w:rPr>
        <w:t>Alice</w:t>
      </w:r>
      <w:r w:rsidRPr="00C015D6">
        <w:rPr>
          <w:rFonts w:cs="Times New Roman"/>
          <w:color w:val="FF0000"/>
        </w:rPr>
        <w:t>, that I think should have survived and maybe would have survived under the proposed method]</w:t>
      </w:r>
    </w:p>
    <w:p w14:paraId="7BB2D912" w14:textId="173E9023" w:rsidR="00C015D6" w:rsidRDefault="00C015D6">
      <w:pPr>
        <w:pStyle w:val="CommentText"/>
      </w:pPr>
    </w:p>
  </w:comment>
  <w:comment w:id="40" w:author="seth guthrie" w:date="2019-01-25T15:52:00Z" w:initials="GSK">
    <w:p w14:paraId="5D5724A1" w14:textId="77777777" w:rsidR="00F078FF" w:rsidRDefault="00F078FF">
      <w:pPr>
        <w:pStyle w:val="CommentText"/>
      </w:pPr>
      <w:r>
        <w:rPr>
          <w:rStyle w:val="CommentReference"/>
        </w:rPr>
        <w:annotationRef/>
      </w:r>
      <w:r>
        <w:t>See also:</w:t>
      </w:r>
    </w:p>
    <w:p w14:paraId="70B491E6" w14:textId="77777777" w:rsidR="00F078FF" w:rsidRDefault="00F078FF">
      <w:pPr>
        <w:pStyle w:val="CommentText"/>
      </w:pPr>
    </w:p>
    <w:p w14:paraId="7E21BFFC" w14:textId="76B2C0A7" w:rsidR="003A7817" w:rsidRDefault="003A7817" w:rsidP="003A7817">
      <w:pPr>
        <w:pStyle w:val="CommentText"/>
      </w:pPr>
      <w:r>
        <w:t xml:space="preserve">Step one of the </w:t>
      </w:r>
      <w:proofErr w:type="gramStart"/>
      <w:r>
        <w:t>framework</w:t>
      </w:r>
      <w:proofErr w:type="gramEnd"/>
      <w:r>
        <w:t xml:space="preserve"> should be eliminated because all inventions embody patent ineligible matter at some level, and it is too difficult to identify an abstract idea without a definitional or categorical understanding of what an abstract idea is.</w:t>
      </w:r>
    </w:p>
    <w:p w14:paraId="4295BC88" w14:textId="77777777" w:rsidR="003A7817" w:rsidRDefault="003A7817" w:rsidP="003A7817">
      <w:pPr>
        <w:pStyle w:val="CommentText"/>
      </w:pPr>
    </w:p>
    <w:p w14:paraId="26EB7788" w14:textId="6FCF1703" w:rsidR="00F078FF" w:rsidRDefault="003A7817" w:rsidP="003A7817">
      <w:pPr>
        <w:pStyle w:val="CommentText"/>
      </w:pPr>
      <w:r>
        <w:t xml:space="preserve">Paxton M. Lewis, The Conflation of Patent Eligibility and Obviousness: Alice's Substitution of Section 103, 2017 Utah L. Rev. </w:t>
      </w:r>
      <w:proofErr w:type="spellStart"/>
      <w:r>
        <w:t>OnLaw</w:t>
      </w:r>
      <w:proofErr w:type="spellEnd"/>
      <w:r>
        <w:t xml:space="preserve"> 13, 32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677E369F" w15:done="1"/>
  <w15:commentEx w15:paraId="70024FA5" w15:done="1"/>
  <w15:commentEx w15:paraId="23B65DA3" w15:done="1"/>
  <w15:commentEx w15:paraId="2632F0E3" w15:done="1"/>
  <w15:commentEx w15:paraId="0B4FF090" w15:done="1"/>
  <w15:commentEx w15:paraId="14CC6B5A" w15:done="1"/>
  <w15:commentEx w15:paraId="013F2787" w15:done="1"/>
  <w15:commentEx w15:paraId="6EDC129F" w15:done="1"/>
  <w15:commentEx w15:paraId="0B567CA1" w15:done="0"/>
  <w15:commentEx w15:paraId="2194427E"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16B123AC" w15:done="0"/>
  <w15:commentEx w15:paraId="34E1606E" w15:done="0"/>
  <w15:commentEx w15:paraId="21AF64A0" w15:done="0"/>
  <w15:commentEx w15:paraId="4AEB001D" w15:done="0"/>
  <w15:commentEx w15:paraId="1B303DF0" w15:done="0"/>
  <w15:commentEx w15:paraId="7BB2D912" w15:done="0"/>
  <w15:commentEx w15:paraId="26EB7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677E369F" w16cid:durableId="1FD0F684"/>
  <w16cid:commentId w16cid:paraId="70024FA5" w16cid:durableId="1FD0F685"/>
  <w16cid:commentId w16cid:paraId="23B65DA3" w16cid:durableId="1FD0F686"/>
  <w16cid:commentId w16cid:paraId="2632F0E3" w16cid:durableId="1FE2D8FE"/>
  <w16cid:commentId w16cid:paraId="0B4FF090" w16cid:durableId="1FE2D8FF"/>
  <w16cid:commentId w16cid:paraId="14CC6B5A" w16cid:durableId="1FD0FD86"/>
  <w16cid:commentId w16cid:paraId="013F2787" w16cid:durableId="1FD0FDD9"/>
  <w16cid:commentId w16cid:paraId="6EDC129F" w16cid:durableId="1FD0F689"/>
  <w16cid:commentId w16cid:paraId="0B567CA1" w16cid:durableId="1F9D54C6"/>
  <w16cid:commentId w16cid:paraId="2194427E" w16cid:durableId="1FF43321"/>
  <w16cid:commentId w16cid:paraId="031CE120" w16cid:durableId="1FE2EFBB"/>
  <w16cid:commentId w16cid:paraId="743D23D2" w16cid:durableId="1FF1A642"/>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16B123AC" w16cid:durableId="1FED7250"/>
  <w16cid:commentId w16cid:paraId="34E1606E" w16cid:durableId="1FF5ACA8"/>
  <w16cid:commentId w16cid:paraId="21AF64A0" w16cid:durableId="1FF5AF0A"/>
  <w16cid:commentId w16cid:paraId="4AEB001D" w16cid:durableId="1FEDA390"/>
  <w16cid:commentId w16cid:paraId="1B303DF0" w16cid:durableId="1FF59D89"/>
  <w16cid:commentId w16cid:paraId="7BB2D912" w16cid:durableId="1FF5A8B2"/>
  <w16cid:commentId w16cid:paraId="26EB7788" w16cid:durableId="1FF5A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DB95" w14:textId="77777777" w:rsidR="00B34A69" w:rsidRDefault="00B34A69" w:rsidP="008E7715">
      <w:pPr>
        <w:spacing w:after="0"/>
      </w:pPr>
      <w:r>
        <w:separator/>
      </w:r>
    </w:p>
  </w:endnote>
  <w:endnote w:type="continuationSeparator" w:id="0">
    <w:p w14:paraId="47CFAE5C" w14:textId="77777777" w:rsidR="00B34A69" w:rsidRDefault="00B34A69" w:rsidP="008E7715">
      <w:pPr>
        <w:spacing w:after="0"/>
      </w:pPr>
      <w:r>
        <w:continuationSeparator/>
      </w:r>
    </w:p>
  </w:endnote>
  <w:endnote w:type="continuationNotice" w:id="1">
    <w:p w14:paraId="722AB21A" w14:textId="77777777" w:rsidR="00B34A69" w:rsidRDefault="00B34A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A425D" w14:textId="77777777" w:rsidR="00B34A69" w:rsidRDefault="00B34A69" w:rsidP="008E7715">
      <w:pPr>
        <w:spacing w:after="0"/>
      </w:pPr>
      <w:r>
        <w:separator/>
      </w:r>
    </w:p>
  </w:footnote>
  <w:footnote w:type="continuationSeparator" w:id="0">
    <w:p w14:paraId="2C16D9BF" w14:textId="77777777" w:rsidR="00B34A69" w:rsidRDefault="00B34A69" w:rsidP="008E7715">
      <w:pPr>
        <w:spacing w:after="0"/>
      </w:pPr>
      <w:r>
        <w:continuationSeparator/>
      </w:r>
    </w:p>
  </w:footnote>
  <w:footnote w:type="continuationNotice" w:id="1">
    <w:p w14:paraId="0133FBEC" w14:textId="77777777" w:rsidR="00B34A69" w:rsidRDefault="00B34A69">
      <w:pPr>
        <w:spacing w:after="0" w:line="240" w:lineRule="auto"/>
      </w:pPr>
    </w:p>
  </w:footnote>
  <w:footnote w:id="2">
    <w:p w14:paraId="72AAEE86" w14:textId="77777777" w:rsidR="00941EFB" w:rsidRPr="00187839" w:rsidRDefault="00941EF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C015D6">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3692CF75" w:rsidR="00941EFB" w:rsidRPr="006D2B6C" w:rsidRDefault="00941EFB" w:rsidP="00C015D6">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7B1D56" w:rsidRPr="00187839">
        <w:rPr>
          <w:rFonts w:cs="Times New Roman"/>
        </w:rPr>
        <w:t>United States Patent and Trademark Office</w:t>
      </w:r>
      <w:r w:rsidR="007B1D56">
        <w:rPr>
          <w:rFonts w:cs="Times New Roman"/>
        </w:rPr>
        <w:t xml:space="preserve">, </w:t>
      </w:r>
      <w:r w:rsidR="00A765F2">
        <w:rPr>
          <w:rFonts w:cs="Times New Roman"/>
        </w:rPr>
        <w:t>Manual of Patent Examining Procedure</w:t>
      </w:r>
      <w:r w:rsidR="002567E8">
        <w:rPr>
          <w:rFonts w:cs="Times New Roman"/>
        </w:rPr>
        <w:t>, Introduction</w:t>
      </w:r>
      <w:r w:rsidR="00A765F2">
        <w:rPr>
          <w:rFonts w:cs="Times New Roman"/>
        </w:rPr>
        <w:t xml:space="preserve"> (9th ed </w:t>
      </w:r>
      <w:r w:rsidR="003619E6">
        <w:rPr>
          <w:rFonts w:cs="Times New Roman"/>
        </w:rPr>
        <w:t>2018)</w:t>
      </w:r>
      <w:r w:rsidR="00C15631">
        <w:rPr>
          <w:rFonts w:cs="Times New Roman"/>
        </w:rPr>
        <w:t xml:space="preserve"> </w:t>
      </w:r>
      <w:r w:rsidR="00382029">
        <w:rPr>
          <w:rFonts w:cs="Times New Roman"/>
          <w:color w:val="auto"/>
        </w:rPr>
        <w:t>[hereinafter M.P.E.P</w:t>
      </w:r>
      <w:r w:rsidR="00760AA5">
        <w:rPr>
          <w:rFonts w:cs="Times New Roman"/>
          <w:color w:val="auto"/>
        </w:rPr>
        <w:t>.</w:t>
      </w:r>
      <w:r w:rsidR="00382029">
        <w:rPr>
          <w:rFonts w:cs="Times New Roman"/>
          <w:color w:val="auto"/>
        </w:rPr>
        <w:t>]</w:t>
      </w:r>
      <w:r w:rsidR="00C15631">
        <w:rPr>
          <w:rFonts w:cs="Times New Roman"/>
          <w:color w:val="auto"/>
        </w:rPr>
        <w:t xml:space="preserve">, </w:t>
      </w:r>
      <w:r w:rsidR="00C15631">
        <w:rPr>
          <w:rFonts w:cs="Times New Roman"/>
          <w:i/>
          <w:color w:val="auto"/>
        </w:rPr>
        <w:t xml:space="preserve">available at </w:t>
      </w:r>
      <w:r w:rsidR="006D2B6C" w:rsidRPr="006D2B6C">
        <w:rPr>
          <w:rFonts w:cs="Times New Roman"/>
          <w:color w:val="auto"/>
        </w:rPr>
        <w:t>https://www.uspto.gov/web/offices/pac/mpep/index.html.</w:t>
      </w:r>
    </w:p>
  </w:footnote>
  <w:footnote w:id="5">
    <w:p w14:paraId="4C545E5C" w14:textId="1201C53C" w:rsidR="00E01265" w:rsidRPr="002C6913" w:rsidRDefault="00E01265" w:rsidP="00C015D6">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2C6913" w:rsidRPr="0033246D">
        <w:rPr>
          <w:rFonts w:cs="Times New Roman"/>
          <w:i/>
          <w:color w:val="auto"/>
          <w:highlight w:val="yellow"/>
        </w:rPr>
        <w:t xml:space="preserve">Supra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C015D6">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125DBB12" w:rsidR="00414ACD" w:rsidRPr="00187839" w:rsidRDefault="00414ACD" w:rsidP="00C015D6">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C015D6">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C015D6">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Software Patents: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55891CFA" w:rsidR="00543F69" w:rsidRPr="00760AA5" w:rsidRDefault="00543F6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r w:rsidR="00382029">
        <w:rPr>
          <w:rFonts w:cs="Times New Roman"/>
        </w:rPr>
        <w:t xml:space="preserve">, </w:t>
      </w:r>
      <w:r w:rsidR="00382029">
        <w:rPr>
          <w:rFonts w:cs="Times New Roman"/>
          <w:i/>
        </w:rPr>
        <w:t xml:space="preserve">supra </w:t>
      </w:r>
      <w:r w:rsidR="00760AA5">
        <w:rPr>
          <w:rFonts w:cs="Times New Roman"/>
        </w:rPr>
        <w:t xml:space="preserve">note 3. </w:t>
      </w:r>
    </w:p>
  </w:footnote>
  <w:footnote w:id="22">
    <w:p w14:paraId="16E7BBA7" w14:textId="314778F0" w:rsidR="00C25E59" w:rsidRPr="00187839" w:rsidRDefault="00C25E5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E6345" w:rsidRPr="00792949">
        <w:rPr>
          <w:rFonts w:cs="Times New Roman"/>
          <w:i/>
        </w:rPr>
        <w:t>See</w:t>
      </w:r>
      <w:r w:rsidR="001007EF" w:rsidRPr="00792949">
        <w:rPr>
          <w:rFonts w:cs="Times New Roman"/>
        </w:rPr>
        <w:t xml:space="preserve"> </w:t>
      </w:r>
      <w:r w:rsidR="001007EF" w:rsidRPr="00792949">
        <w:rPr>
          <w:rFonts w:cs="Times New Roman"/>
          <w:i/>
        </w:rPr>
        <w:t xml:space="preserve">Alice, </w:t>
      </w:r>
      <w:r w:rsidR="001007EF" w:rsidRPr="00792949">
        <w:rPr>
          <w:rFonts w:cs="Times New Roman"/>
        </w:rPr>
        <w:t xml:space="preserve">573 U.S. at </w:t>
      </w:r>
      <w:r w:rsidR="00792949" w:rsidRPr="00792949">
        <w:rPr>
          <w:rFonts w:cs="Times New Roman"/>
        </w:rPr>
        <w:t>225</w:t>
      </w:r>
      <w:r w:rsidR="001007EF" w:rsidRPr="00792949">
        <w:rPr>
          <w:rFonts w:cs="Times New Roman"/>
        </w:rPr>
        <w:t xml:space="preserve">; </w:t>
      </w:r>
      <w:r w:rsidR="006E452B" w:rsidRPr="00792949">
        <w:rPr>
          <w:rFonts w:cs="Times New Roman"/>
          <w:i/>
        </w:rPr>
        <w:t>Mayo</w:t>
      </w:r>
      <w:r w:rsidR="006E452B" w:rsidRPr="00792949">
        <w:rPr>
          <w:rFonts w:cs="Times New Roman"/>
        </w:rPr>
        <w:t xml:space="preserve">, 556 U.S. at </w:t>
      </w:r>
      <w:r w:rsidR="00792949" w:rsidRPr="00792949">
        <w:rPr>
          <w:rFonts w:cs="Times New Roman"/>
        </w:rPr>
        <w:t>73</w:t>
      </w:r>
      <w:r w:rsidR="006E452B" w:rsidRPr="00792949">
        <w:rPr>
          <w:rFonts w:cs="Times New Roman"/>
        </w:rPr>
        <w:t>;</w:t>
      </w:r>
      <w:r w:rsidR="006E452B" w:rsidRPr="00792949">
        <w:rPr>
          <w:rFonts w:cs="Times New Roman"/>
          <w:i/>
        </w:rPr>
        <w:t xml:space="preserve"> </w:t>
      </w:r>
      <w:r w:rsidR="00A90468" w:rsidRPr="00792949">
        <w:rPr>
          <w:rFonts w:cs="Times New Roman"/>
          <w:i/>
        </w:rPr>
        <w:t>CyberSource</w:t>
      </w:r>
      <w:r w:rsidR="00A90468" w:rsidRPr="00187839">
        <w:rPr>
          <w:rFonts w:cs="Times New Roman"/>
          <w:i/>
        </w:rPr>
        <w:t xml:space="preserv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85740D">
        <w:rPr>
          <w:rFonts w:cs="Times New Roman"/>
          <w:color w:val="FF0000"/>
        </w:rPr>
        <w:t xml:space="preserve">Joshua A. </w:t>
      </w:r>
      <w:proofErr w:type="spellStart"/>
      <w:r w:rsidR="00353370" w:rsidRPr="0085740D">
        <w:rPr>
          <w:rFonts w:cs="Times New Roman"/>
          <w:color w:val="FF0000"/>
        </w:rPr>
        <w:t>Kresh</w:t>
      </w:r>
      <w:proofErr w:type="spellEnd"/>
      <w:r w:rsidR="00353370" w:rsidRPr="0085740D">
        <w:rPr>
          <w:rFonts w:cs="Times New Roman"/>
          <w:color w:val="FF0000"/>
        </w:rPr>
        <w:t xml:space="preserve">, </w:t>
      </w:r>
      <w:r w:rsidR="00353370" w:rsidRPr="0085740D">
        <w:rPr>
          <w:rFonts w:cs="Times New Roman"/>
          <w:i/>
          <w:color w:val="FF0000"/>
        </w:rPr>
        <w:t>Patent Eligibility After Mayo: How Did We Get Here and Where Do We Go?</w:t>
      </w:r>
      <w:r w:rsidR="00353370" w:rsidRPr="0085740D">
        <w:rPr>
          <w:rFonts w:cs="Times New Roman"/>
          <w:color w:val="FF0000"/>
        </w:rPr>
        <w:t>, 22 Fed. Circuit B.J. 521, 527 (2013)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392DDF7E" w14:textId="60969EFE" w:rsidR="00464C79" w:rsidRDefault="00464C79" w:rsidP="00C015D6">
      <w:pPr>
        <w:pStyle w:val="FootnoteText"/>
        <w:spacing w:line="240" w:lineRule="auto"/>
      </w:pPr>
      <w:r w:rsidRPr="000E57E7">
        <w:rPr>
          <w:rStyle w:val="FootnoteReference"/>
        </w:rPr>
        <w:footnoteRef/>
      </w:r>
      <w:r w:rsidRPr="000E57E7">
        <w:t xml:space="preserve"> </w:t>
      </w:r>
      <w:r w:rsidRPr="000E57E7">
        <w:rPr>
          <w:rFonts w:cs="Times New Roman"/>
          <w:i/>
        </w:rPr>
        <w:t>See</w:t>
      </w:r>
      <w:r w:rsidRPr="000E57E7">
        <w:rPr>
          <w:rFonts w:cs="Times New Roman"/>
        </w:rPr>
        <w:t xml:space="preserve"> </w:t>
      </w:r>
      <w:r w:rsidRPr="000E57E7">
        <w:rPr>
          <w:rFonts w:cs="Times New Roman"/>
          <w:i/>
        </w:rPr>
        <w:t xml:space="preserve">Alice, </w:t>
      </w:r>
      <w:r w:rsidRPr="000E57E7">
        <w:rPr>
          <w:rFonts w:cs="Times New Roman"/>
        </w:rPr>
        <w:t xml:space="preserve">573 U.S. at </w:t>
      </w:r>
      <w:r w:rsidR="00792949" w:rsidRPr="000E57E7">
        <w:rPr>
          <w:rFonts w:cs="Times New Roman"/>
        </w:rPr>
        <w:t>225</w:t>
      </w:r>
      <w:r w:rsidRPr="000E57E7">
        <w:rPr>
          <w:rFonts w:cs="Times New Roman"/>
        </w:rPr>
        <w:t xml:space="preserve">; </w:t>
      </w:r>
      <w:r w:rsidRPr="000E57E7">
        <w:rPr>
          <w:rFonts w:cs="Times New Roman"/>
          <w:i/>
        </w:rPr>
        <w:t>Mayo</w:t>
      </w:r>
      <w:r w:rsidRPr="000E57E7">
        <w:rPr>
          <w:rFonts w:cs="Times New Roman"/>
        </w:rPr>
        <w:t xml:space="preserve">, 556 U.S. at </w:t>
      </w:r>
      <w:r w:rsidR="0056752B" w:rsidRPr="000E57E7">
        <w:rPr>
          <w:rFonts w:cs="Times New Roman"/>
        </w:rPr>
        <w:t>73</w:t>
      </w:r>
      <w:r w:rsidR="000E57E7" w:rsidRPr="000E57E7">
        <w:rPr>
          <w:rFonts w:cs="Times New Roman"/>
        </w:rPr>
        <w:t>.</w:t>
      </w:r>
    </w:p>
  </w:footnote>
  <w:footnote w:id="24">
    <w:p w14:paraId="1C934F60" w14:textId="0FB43B01"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5">
    <w:p w14:paraId="5A58D3D7" w14:textId="31A4C620"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6">
    <w:p w14:paraId="1CC3C144" w14:textId="70126852"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7">
    <w:p w14:paraId="4D09E085" w14:textId="1DB5CDE9" w:rsidR="001F7996" w:rsidRPr="007C30DA" w:rsidRDefault="001F7996" w:rsidP="00C015D6">
      <w:pPr>
        <w:pStyle w:val="FootnoteText"/>
        <w:spacing w:line="240" w:lineRule="auto"/>
        <w:rPr>
          <w:highlight w:val="yellow"/>
        </w:rPr>
      </w:pPr>
      <w:r w:rsidRPr="007C30DA">
        <w:rPr>
          <w:rStyle w:val="FootnoteReference"/>
          <w:highlight w:val="yellow"/>
        </w:rPr>
        <w:footnoteRef/>
      </w:r>
      <w:r w:rsidRPr="007C30DA">
        <w:rPr>
          <w:highlight w:val="yellow"/>
        </w:rPr>
        <w:t xml:space="preserve"> </w:t>
      </w:r>
      <w:r w:rsidR="00713F27" w:rsidRPr="007C30DA">
        <w:rPr>
          <w:highlight w:val="yellow"/>
        </w:rPr>
        <w:t xml:space="preserve">My patent law notes. Patent law in a nut shell maybe. Find a source. </w:t>
      </w:r>
    </w:p>
  </w:footnote>
  <w:footnote w:id="28">
    <w:p w14:paraId="251520BB" w14:textId="50F4BB29" w:rsidR="007C30DA" w:rsidRDefault="007C30DA" w:rsidP="00C015D6">
      <w:pPr>
        <w:pStyle w:val="FootnoteText"/>
        <w:spacing w:line="240" w:lineRule="auto"/>
      </w:pPr>
      <w:r w:rsidRPr="007C30DA">
        <w:rPr>
          <w:rStyle w:val="FootnoteReference"/>
          <w:highlight w:val="yellow"/>
        </w:rPr>
        <w:footnoteRef/>
      </w:r>
      <w:r w:rsidRPr="007C30DA">
        <w:rPr>
          <w:highlight w:val="yellow"/>
        </w:rPr>
        <w:t xml:space="preserve"> NEED CITATION</w:t>
      </w:r>
    </w:p>
  </w:footnote>
  <w:footnote w:id="29">
    <w:p w14:paraId="4675504A" w14:textId="5F5B7BE9" w:rsidR="00847645" w:rsidRDefault="00847645" w:rsidP="00C015D6">
      <w:pPr>
        <w:pStyle w:val="FootnoteText"/>
        <w:spacing w:line="240" w:lineRule="auto"/>
      </w:pPr>
      <w:r>
        <w:rPr>
          <w:rStyle w:val="FootnoteReference"/>
        </w:rPr>
        <w:footnoteRef/>
      </w:r>
      <w:r>
        <w:t xml:space="preserve"> </w:t>
      </w:r>
      <w:r w:rsidR="0090702D" w:rsidRPr="0090702D">
        <w:rPr>
          <w:i/>
        </w:rPr>
        <w:t>In re Fisher</w:t>
      </w:r>
      <w:r w:rsidR="0090702D">
        <w:t>, 421 F.3d 1365, 1370 (Fed. Cir. 2005).</w:t>
      </w:r>
    </w:p>
  </w:footnote>
  <w:footnote w:id="30">
    <w:p w14:paraId="5ACEF906" w14:textId="1FE88FFF" w:rsidR="00B856EE" w:rsidRPr="00B856EE" w:rsidRDefault="00B856EE" w:rsidP="00C015D6">
      <w:pPr>
        <w:pStyle w:val="FootnoteText"/>
        <w:spacing w:line="240" w:lineRule="auto"/>
      </w:pPr>
      <w:r>
        <w:rPr>
          <w:rStyle w:val="FootnoteReference"/>
        </w:rPr>
        <w:footnoteRef/>
      </w:r>
      <w:r>
        <w:t xml:space="preserve"> </w:t>
      </w:r>
      <w:r>
        <w:rPr>
          <w:i/>
        </w:rPr>
        <w:t>Id</w:t>
      </w:r>
      <w:r>
        <w:t>. at 1367.</w:t>
      </w:r>
    </w:p>
  </w:footnote>
  <w:footnote w:id="31">
    <w:p w14:paraId="30B8C603" w14:textId="555B4EBC" w:rsidR="00926A09" w:rsidRPr="00926A09" w:rsidRDefault="00926A09" w:rsidP="00C015D6">
      <w:pPr>
        <w:pStyle w:val="FootnoteText"/>
        <w:spacing w:line="240" w:lineRule="auto"/>
      </w:pPr>
      <w:r>
        <w:rPr>
          <w:rStyle w:val="FootnoteReference"/>
        </w:rPr>
        <w:footnoteRef/>
      </w:r>
      <w:r>
        <w:t xml:space="preserve"> </w:t>
      </w:r>
      <w:r>
        <w:rPr>
          <w:i/>
        </w:rPr>
        <w:t>Id.</w:t>
      </w:r>
      <w:r>
        <w:t xml:space="preserve"> at 1370.</w:t>
      </w:r>
    </w:p>
  </w:footnote>
  <w:footnote w:id="32">
    <w:p w14:paraId="0565C9AE" w14:textId="6FAF676D" w:rsidR="00383A40" w:rsidRPr="00187839" w:rsidRDefault="00383A40"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33">
    <w:p w14:paraId="1B34C13F" w14:textId="0D761B96" w:rsidR="00067B22" w:rsidRPr="007F36CA" w:rsidRDefault="00067B22"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34">
    <w:p w14:paraId="5D9719D0" w14:textId="11BF56E7" w:rsidR="007B3E6D" w:rsidRPr="00187839" w:rsidRDefault="007B3E6D"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35">
    <w:p w14:paraId="40CF4A6A" w14:textId="5DCD08AA" w:rsidR="004F2C41" w:rsidRPr="00B5386D" w:rsidRDefault="004F2C41"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6">
    <w:p w14:paraId="7B06B44C" w14:textId="797E043A" w:rsidR="003F7C4C" w:rsidRPr="00B5386D" w:rsidRDefault="003F7C4C"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7">
    <w:p w14:paraId="7F8AFAFC" w14:textId="646CEFEA" w:rsidR="000A2E03" w:rsidRPr="00187839" w:rsidRDefault="000A2E03"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8">
    <w:p w14:paraId="03B79F38" w14:textId="2F4EDF60"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9">
    <w:p w14:paraId="3663EBFB" w14:textId="77777777"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in a Nutshell </w:t>
      </w:r>
      <w:r w:rsidRPr="00187839">
        <w:rPr>
          <w:rFonts w:cs="Times New Roman"/>
        </w:rPr>
        <w:t>56 (3rd ed. 2018).</w:t>
      </w:r>
    </w:p>
  </w:footnote>
  <w:footnote w:id="40">
    <w:p w14:paraId="3260BE59" w14:textId="5C82D9A1"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41">
    <w:p w14:paraId="2091B6C3" w14:textId="3015A4EC" w:rsidR="008A2A09" w:rsidRPr="00187839" w:rsidRDefault="008A2A0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42">
    <w:p w14:paraId="0EECFFC6" w14:textId="48DAA0F7" w:rsidR="005C43D6" w:rsidRPr="00187839" w:rsidRDefault="005C43D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43">
    <w:p w14:paraId="351D14C4" w14:textId="3846A76C" w:rsidR="005C43D6" w:rsidRPr="00DA299A" w:rsidRDefault="005C43D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44">
    <w:p w14:paraId="37B261C5" w14:textId="22E3E210" w:rsidR="005C43D6" w:rsidRPr="00381387" w:rsidRDefault="005C43D6" w:rsidP="00C015D6">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45">
    <w:p w14:paraId="515D8FBE" w14:textId="1B643ADC" w:rsidR="005C43D6" w:rsidRPr="00381387" w:rsidRDefault="005C43D6" w:rsidP="00C015D6">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6">
    <w:p w14:paraId="0D604950" w14:textId="21181945" w:rsidR="005C43D6" w:rsidRPr="00381387" w:rsidRDefault="005C43D6" w:rsidP="00C015D6">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7">
    <w:p w14:paraId="0FF7F47F" w14:textId="77777777" w:rsidR="00590EFF" w:rsidRPr="00187839"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xml:space="preserve">, 409 U.S. </w:t>
      </w:r>
      <w:r>
        <w:rPr>
          <w:rFonts w:cs="Times New Roman"/>
        </w:rPr>
        <w:t xml:space="preserve">at </w:t>
      </w:r>
      <w:r w:rsidRPr="00187839">
        <w:rPr>
          <w:rFonts w:cs="Times New Roman"/>
        </w:rPr>
        <w:t>64.</w:t>
      </w:r>
    </w:p>
  </w:footnote>
  <w:footnote w:id="48">
    <w:p w14:paraId="366B74F8" w14:textId="77777777" w:rsidR="00590EFF" w:rsidRPr="004F1494"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i/>
        </w:rPr>
        <w:t xml:space="preserve"> </w:t>
      </w:r>
      <w:r>
        <w:rPr>
          <w:rFonts w:cs="Times New Roman"/>
          <w:i/>
        </w:rPr>
        <w:t>Benson</w:t>
      </w:r>
      <w:r>
        <w:rPr>
          <w:rFonts w:cs="Times New Roman"/>
        </w:rPr>
        <w:t xml:space="preserve">, </w:t>
      </w:r>
      <w:r w:rsidRPr="00187839">
        <w:rPr>
          <w:rFonts w:cs="Times New Roman"/>
        </w:rPr>
        <w:t>409 U.S.</w:t>
      </w:r>
      <w:r>
        <w:rPr>
          <w:rFonts w:cs="Times New Roman"/>
        </w:rPr>
        <w:t xml:space="preserve"> at</w:t>
      </w:r>
      <w:r w:rsidRPr="00187839">
        <w:rPr>
          <w:rFonts w:cs="Times New Roman"/>
        </w:rPr>
        <w:t xml:space="preserve"> 66.</w:t>
      </w:r>
      <w:r>
        <w:rPr>
          <w:rFonts w:cs="Times New Roman"/>
        </w:rPr>
        <w:t xml:space="preserve"> </w:t>
      </w:r>
      <w:r w:rsidRPr="000D028F">
        <w:rPr>
          <w:rFonts w:cs="Times New Roman"/>
          <w:i/>
          <w:highlight w:val="yellow"/>
        </w:rPr>
        <w:t xml:space="preserve">Id. </w:t>
      </w:r>
      <w:r w:rsidRPr="000D028F">
        <w:rPr>
          <w:rFonts w:cs="Times New Roman"/>
          <w:highlight w:val="yellow"/>
        </w:rPr>
        <w:t>at 66.</w:t>
      </w:r>
    </w:p>
  </w:footnote>
  <w:footnote w:id="49">
    <w:p w14:paraId="537316D9" w14:textId="77777777" w:rsidR="00590EFF" w:rsidRPr="00240DAB"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Pr>
          <w:rFonts w:cs="Times New Roman"/>
        </w:rPr>
        <w:t xml:space="preserve"> at</w:t>
      </w:r>
      <w:r w:rsidRPr="00187839">
        <w:rPr>
          <w:rFonts w:cs="Times New Roman"/>
        </w:rPr>
        <w:t xml:space="preserve"> 66.</w:t>
      </w:r>
      <w:r>
        <w:rPr>
          <w:rFonts w:cs="Times New Roman"/>
        </w:rPr>
        <w:t xml:space="preserve"> </w:t>
      </w:r>
      <w:r w:rsidRPr="00240DAB">
        <w:rPr>
          <w:rFonts w:cs="Times New Roman"/>
          <w:i/>
          <w:highlight w:val="yellow"/>
        </w:rPr>
        <w:t>Id.</w:t>
      </w:r>
    </w:p>
  </w:footnote>
  <w:footnote w:id="50">
    <w:p w14:paraId="01406AFD" w14:textId="77777777" w:rsidR="00590EFF" w:rsidRPr="004C36BB"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 175.</w:t>
      </w:r>
    </w:p>
  </w:footnote>
  <w:footnote w:id="51">
    <w:p w14:paraId="1F550B75" w14:textId="77777777" w:rsidR="00590EFF" w:rsidRPr="00187839"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w:t>
      </w:r>
      <w:r>
        <w:rPr>
          <w:rFonts w:cs="Times New Roman"/>
          <w:i/>
        </w:rPr>
        <w:t xml:space="preserve"> </w:t>
      </w:r>
      <w:r w:rsidRPr="00187839">
        <w:rPr>
          <w:rFonts w:cs="Times New Roman"/>
        </w:rPr>
        <w:t xml:space="preserve">450 U.S. </w:t>
      </w:r>
      <w:r>
        <w:rPr>
          <w:rFonts w:cs="Times New Roman"/>
        </w:rPr>
        <w:t xml:space="preserve">at 185. </w:t>
      </w:r>
      <w:r w:rsidRPr="004C36BB">
        <w:rPr>
          <w:rFonts w:cs="Times New Roman"/>
          <w:i/>
          <w:highlight w:val="yellow"/>
        </w:rPr>
        <w:t>Id.</w:t>
      </w:r>
      <w:r w:rsidRPr="004C36BB">
        <w:rPr>
          <w:rFonts w:cs="Times New Roman"/>
          <w:highlight w:val="yellow"/>
        </w:rPr>
        <w:t xml:space="preserve"> at 185.</w:t>
      </w:r>
    </w:p>
  </w:footnote>
  <w:footnote w:id="52">
    <w:p w14:paraId="1CA54D0B" w14:textId="77777777" w:rsidR="00590EFF" w:rsidRPr="004C36BB"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w:t>
      </w:r>
      <w:r w:rsidRPr="00187839">
        <w:rPr>
          <w:rFonts w:cs="Times New Roman"/>
        </w:rPr>
        <w:t xml:space="preserve"> 184 (noting several times that the respondents </w:t>
      </w:r>
      <w:proofErr w:type="gramStart"/>
      <w:r w:rsidRPr="00187839">
        <w:rPr>
          <w:rFonts w:cs="Times New Roman"/>
        </w:rPr>
        <w:t>claims</w:t>
      </w:r>
      <w:proofErr w:type="gramEnd"/>
      <w:r w:rsidRPr="00187839">
        <w:rPr>
          <w:rFonts w:cs="Times New Roman"/>
        </w:rPr>
        <w:t xml:space="preserve"> involve transforming of raw rubber into a different state).</w:t>
      </w:r>
      <w:r>
        <w:rPr>
          <w:rFonts w:cs="Times New Roman"/>
        </w:rPr>
        <w:t xml:space="preserve"> </w:t>
      </w:r>
      <w:r w:rsidRPr="004C36BB">
        <w:rPr>
          <w:rFonts w:cs="Times New Roman"/>
          <w:i/>
          <w:highlight w:val="yellow"/>
        </w:rPr>
        <w:t>Id.</w:t>
      </w:r>
      <w:r w:rsidRPr="004C36BB">
        <w:rPr>
          <w:rFonts w:cs="Times New Roman"/>
          <w:highlight w:val="yellow"/>
        </w:rPr>
        <w:t xml:space="preserve"> at 184.</w:t>
      </w:r>
    </w:p>
  </w:footnote>
  <w:footnote w:id="53">
    <w:p w14:paraId="37B08692" w14:textId="77777777" w:rsidR="000925C3" w:rsidRDefault="000925C3" w:rsidP="00C015D6">
      <w:pPr>
        <w:pStyle w:val="FootnoteText"/>
        <w:spacing w:line="240" w:lineRule="auto"/>
      </w:pPr>
      <w:r>
        <w:rPr>
          <w:rStyle w:val="FootnoteReference"/>
        </w:rPr>
        <w:footnoteRef/>
      </w:r>
      <w:r>
        <w:t xml:space="preserve"> </w:t>
      </w:r>
      <w:r w:rsidRPr="00E85688">
        <w:rPr>
          <w:i/>
        </w:rPr>
        <w:t xml:space="preserve">Arrhythmia Research Technology Inc. v. </w:t>
      </w:r>
      <w:proofErr w:type="spellStart"/>
      <w:r w:rsidRPr="00E85688">
        <w:rPr>
          <w:i/>
        </w:rPr>
        <w:t>Corazonix</w:t>
      </w:r>
      <w:proofErr w:type="spellEnd"/>
      <w:r w:rsidRPr="00E85688">
        <w:rPr>
          <w:i/>
        </w:rPr>
        <w:t xml:space="preserve"> Corp.</w:t>
      </w:r>
      <w:r>
        <w:t>, 958 F.2d 1053, 1054 (Fed. Cir. 1992).</w:t>
      </w:r>
    </w:p>
  </w:footnote>
  <w:footnote w:id="54">
    <w:p w14:paraId="0A27613D" w14:textId="77777777" w:rsidR="000925C3" w:rsidRPr="005D204B" w:rsidRDefault="000925C3" w:rsidP="00C015D6">
      <w:pPr>
        <w:pStyle w:val="FootnoteText"/>
        <w:spacing w:line="240" w:lineRule="auto"/>
      </w:pPr>
      <w:r>
        <w:rPr>
          <w:rStyle w:val="FootnoteReference"/>
        </w:rPr>
        <w:footnoteRef/>
      </w:r>
      <w:r>
        <w:t xml:space="preserve"> </w:t>
      </w:r>
      <w:r>
        <w:rPr>
          <w:i/>
        </w:rPr>
        <w:t xml:space="preserve">Id. </w:t>
      </w:r>
      <w:r>
        <w:t>at 1055.</w:t>
      </w:r>
    </w:p>
  </w:footnote>
  <w:footnote w:id="55">
    <w:p w14:paraId="23CA1E9A" w14:textId="77777777" w:rsidR="000925C3" w:rsidRPr="002141F9" w:rsidRDefault="000925C3" w:rsidP="00C015D6">
      <w:pPr>
        <w:pStyle w:val="FootnoteText"/>
        <w:spacing w:line="240" w:lineRule="auto"/>
      </w:pPr>
      <w:r>
        <w:rPr>
          <w:rStyle w:val="FootnoteReference"/>
        </w:rPr>
        <w:footnoteRef/>
      </w:r>
      <w:r>
        <w:t xml:space="preserve"> </w:t>
      </w:r>
      <w:r>
        <w:rPr>
          <w:i/>
        </w:rPr>
        <w:t>Id.</w:t>
      </w:r>
      <w:r>
        <w:t xml:space="preserve"> at 1058.</w:t>
      </w:r>
    </w:p>
  </w:footnote>
  <w:footnote w:id="56">
    <w:p w14:paraId="1C04D1B0" w14:textId="77777777" w:rsidR="000925C3" w:rsidRPr="00FB01CF" w:rsidRDefault="000925C3" w:rsidP="00C015D6">
      <w:pPr>
        <w:pStyle w:val="FootnoteText"/>
        <w:spacing w:line="240" w:lineRule="auto"/>
      </w:pPr>
      <w:r>
        <w:rPr>
          <w:rStyle w:val="FootnoteReference"/>
        </w:rPr>
        <w:footnoteRef/>
      </w:r>
      <w:r>
        <w:t xml:space="preserve"> </w:t>
      </w:r>
      <w:r>
        <w:rPr>
          <w:i/>
        </w:rPr>
        <w:t>See</w:t>
      </w:r>
      <w:r>
        <w:t xml:space="preserve"> </w:t>
      </w:r>
      <w:r>
        <w:rPr>
          <w:i/>
        </w:rPr>
        <w:t xml:space="preserve">id. </w:t>
      </w:r>
      <w:r>
        <w:t>at 1061.</w:t>
      </w:r>
    </w:p>
  </w:footnote>
  <w:footnote w:id="57">
    <w:p w14:paraId="728649F9" w14:textId="6FC3B710" w:rsidR="00754BC0" w:rsidRPr="00754BC0" w:rsidRDefault="00754BC0" w:rsidP="00C015D6">
      <w:pPr>
        <w:pStyle w:val="FootnoteText"/>
        <w:spacing w:line="240" w:lineRule="auto"/>
      </w:pPr>
      <w:r>
        <w:rPr>
          <w:rStyle w:val="FootnoteReference"/>
        </w:rPr>
        <w:footnoteRef/>
      </w:r>
      <w:r>
        <w:t xml:space="preserve"> </w:t>
      </w:r>
      <w:r>
        <w:rPr>
          <w:i/>
        </w:rPr>
        <w:t xml:space="preserve">In re </w:t>
      </w:r>
      <w:proofErr w:type="spellStart"/>
      <w:r>
        <w:rPr>
          <w:i/>
        </w:rPr>
        <w:t>Alappat</w:t>
      </w:r>
      <w:proofErr w:type="spellEnd"/>
      <w:r>
        <w:t xml:space="preserve">, </w:t>
      </w:r>
      <w:r w:rsidR="00002AE2">
        <w:t>33 F.3d 1526, 1537 (Fed. Cir. 1994)</w:t>
      </w:r>
      <w:r w:rsidR="000C7260">
        <w:t xml:space="preserve">, </w:t>
      </w:r>
      <w:r w:rsidR="000C7260" w:rsidRPr="000C7260">
        <w:t xml:space="preserve">abrogated by </w:t>
      </w:r>
      <w:proofErr w:type="gramStart"/>
      <w:r w:rsidR="000C7260" w:rsidRPr="000C7260">
        <w:rPr>
          <w:i/>
        </w:rPr>
        <w:t>In</w:t>
      </w:r>
      <w:proofErr w:type="gramEnd"/>
      <w:r w:rsidR="000C7260" w:rsidRPr="000C7260">
        <w:rPr>
          <w:i/>
        </w:rPr>
        <w:t xml:space="preserve"> re </w:t>
      </w:r>
      <w:proofErr w:type="spellStart"/>
      <w:r w:rsidR="000C7260" w:rsidRPr="000C7260">
        <w:rPr>
          <w:i/>
        </w:rPr>
        <w:t>Bilski</w:t>
      </w:r>
      <w:proofErr w:type="spellEnd"/>
      <w:r w:rsidR="000C7260" w:rsidRPr="000C7260">
        <w:t>, 545 F.3d 943 (Fed. Cir. 2008)</w:t>
      </w:r>
      <w:r w:rsidR="000C7260">
        <w:t>.</w:t>
      </w:r>
    </w:p>
  </w:footnote>
  <w:footnote w:id="58">
    <w:p w14:paraId="2EBA0339" w14:textId="0ED43F30" w:rsidR="00460633" w:rsidRPr="00460633" w:rsidRDefault="00460633" w:rsidP="00C015D6">
      <w:pPr>
        <w:pStyle w:val="FootnoteText"/>
        <w:spacing w:line="240" w:lineRule="auto"/>
        <w:rPr>
          <w:i/>
        </w:rPr>
      </w:pPr>
      <w:r>
        <w:rPr>
          <w:rStyle w:val="FootnoteReference"/>
        </w:rPr>
        <w:footnoteRef/>
      </w:r>
      <w:r>
        <w:t xml:space="preserve"> </w:t>
      </w:r>
      <w:r>
        <w:rPr>
          <w:i/>
        </w:rPr>
        <w:t>Id.</w:t>
      </w:r>
    </w:p>
  </w:footnote>
  <w:footnote w:id="59">
    <w:p w14:paraId="71BC8729" w14:textId="4C2BB6CA" w:rsidR="000C7260" w:rsidRPr="000C7260" w:rsidRDefault="000C7260" w:rsidP="00C015D6">
      <w:pPr>
        <w:pStyle w:val="FootnoteText"/>
        <w:spacing w:line="240" w:lineRule="auto"/>
      </w:pPr>
      <w:r>
        <w:rPr>
          <w:rStyle w:val="FootnoteReference"/>
        </w:rPr>
        <w:footnoteRef/>
      </w:r>
      <w:r>
        <w:t xml:space="preserve"> </w:t>
      </w:r>
      <w:r>
        <w:rPr>
          <w:i/>
        </w:rPr>
        <w:t>Id.</w:t>
      </w:r>
    </w:p>
  </w:footnote>
  <w:footnote w:id="60">
    <w:p w14:paraId="272F52D5" w14:textId="397BA2A6" w:rsidR="00FC0633" w:rsidRDefault="00FC0633" w:rsidP="00C015D6">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w:t>
      </w:r>
    </w:p>
  </w:footnote>
  <w:footnote w:id="61">
    <w:p w14:paraId="00653D5B" w14:textId="502C142E" w:rsidR="003E5EEC" w:rsidRDefault="003E5EEC" w:rsidP="00C015D6">
      <w:pPr>
        <w:pStyle w:val="FootnoteText"/>
        <w:spacing w:line="240" w:lineRule="auto"/>
      </w:pPr>
      <w:r>
        <w:rPr>
          <w:rStyle w:val="FootnoteReference"/>
        </w:rPr>
        <w:footnoteRef/>
      </w:r>
      <w:r>
        <w:t xml:space="preserve"> </w:t>
      </w:r>
      <w:r w:rsidR="003939B8" w:rsidRPr="003939B8">
        <w:rPr>
          <w:i/>
        </w:rPr>
        <w:t>State St. Bank &amp; Tr. Co. v. Signature Fin. Grp., Inc</w:t>
      </w:r>
      <w:r w:rsidR="003939B8" w:rsidRPr="003939B8">
        <w:t>,</w:t>
      </w:r>
      <w:r w:rsidR="003939B8">
        <w:t xml:space="preserve"> 149 F.3d 1368, 1373 (Fed. Cir. 1998), abrogated by </w:t>
      </w:r>
      <w:proofErr w:type="gramStart"/>
      <w:r w:rsidR="003939B8" w:rsidRPr="003939B8">
        <w:rPr>
          <w:i/>
        </w:rPr>
        <w:t>In</w:t>
      </w:r>
      <w:proofErr w:type="gramEnd"/>
      <w:r w:rsidR="003939B8" w:rsidRPr="003939B8">
        <w:rPr>
          <w:i/>
        </w:rPr>
        <w:t xml:space="preserve"> re </w:t>
      </w:r>
      <w:proofErr w:type="spellStart"/>
      <w:r w:rsidR="003939B8" w:rsidRPr="003939B8">
        <w:rPr>
          <w:i/>
        </w:rPr>
        <w:t>Bilski</w:t>
      </w:r>
      <w:proofErr w:type="spellEnd"/>
      <w:r w:rsidR="003939B8">
        <w:t>, 545 F.3d 943 (Fed. Cir. 2008)</w:t>
      </w:r>
      <w:r w:rsidR="00CA5446">
        <w:t>.</w:t>
      </w:r>
    </w:p>
  </w:footnote>
  <w:footnote w:id="62">
    <w:p w14:paraId="2F730A43" w14:textId="1DC6D4D5" w:rsidR="006148D6" w:rsidRPr="00823476" w:rsidRDefault="006148D6" w:rsidP="00C015D6">
      <w:pPr>
        <w:pStyle w:val="FootnoteText"/>
        <w:spacing w:line="240" w:lineRule="auto"/>
      </w:pPr>
      <w:r>
        <w:rPr>
          <w:rStyle w:val="FootnoteReference"/>
        </w:rPr>
        <w:footnoteRef/>
      </w:r>
      <w:r>
        <w:t xml:space="preserve"> </w:t>
      </w:r>
      <w:r w:rsidR="00823476">
        <w:rPr>
          <w:i/>
        </w:rPr>
        <w:t>Id.</w:t>
      </w:r>
      <w:r w:rsidR="00823476">
        <w:t xml:space="preserve"> at 1373. </w:t>
      </w:r>
    </w:p>
  </w:footnote>
  <w:footnote w:id="63">
    <w:p w14:paraId="72B25A80" w14:textId="655BFF3B" w:rsidR="00346B25" w:rsidRPr="00346B25" w:rsidRDefault="00346B25" w:rsidP="00C015D6">
      <w:pPr>
        <w:pStyle w:val="FootnoteText"/>
        <w:spacing w:line="240" w:lineRule="auto"/>
        <w:rPr>
          <w:i/>
        </w:rPr>
      </w:pPr>
      <w:r>
        <w:rPr>
          <w:rStyle w:val="FootnoteReference"/>
        </w:rPr>
        <w:footnoteRef/>
      </w:r>
      <w:r>
        <w:t xml:space="preserve"> </w:t>
      </w:r>
      <w:r>
        <w:rPr>
          <w:i/>
        </w:rPr>
        <w:t>Id.</w:t>
      </w:r>
    </w:p>
  </w:footnote>
  <w:footnote w:id="64">
    <w:p w14:paraId="795F78AD" w14:textId="2158CBB7" w:rsidR="003467A4" w:rsidRDefault="003467A4" w:rsidP="00C015D6">
      <w:pPr>
        <w:pStyle w:val="FootnoteText"/>
        <w:spacing w:line="240" w:lineRule="auto"/>
      </w:pPr>
      <w:r>
        <w:rPr>
          <w:rStyle w:val="FootnoteReference"/>
        </w:rPr>
        <w:footnoteRef/>
      </w:r>
      <w:r w:rsidR="003130BD">
        <w:t xml:space="preserve"> </w:t>
      </w:r>
      <w:r w:rsidR="003130BD" w:rsidRPr="003130BD">
        <w:rPr>
          <w:i/>
        </w:rPr>
        <w:t xml:space="preserve">In re </w:t>
      </w:r>
      <w:proofErr w:type="spellStart"/>
      <w:r w:rsidR="003130BD" w:rsidRPr="003130BD">
        <w:rPr>
          <w:i/>
        </w:rPr>
        <w:t>Bilski</w:t>
      </w:r>
      <w:proofErr w:type="spellEnd"/>
      <w:r w:rsidR="003130BD">
        <w:t xml:space="preserve">, 545 F.3d 943, 991 (Fed. Cir. 2008), aff'd but criticized sub nom. </w:t>
      </w:r>
      <w:proofErr w:type="spellStart"/>
      <w:r w:rsidR="003130BD" w:rsidRPr="003130BD">
        <w:rPr>
          <w:i/>
        </w:rPr>
        <w:t>Bilski</w:t>
      </w:r>
      <w:proofErr w:type="spellEnd"/>
      <w:r w:rsidR="003130BD" w:rsidRPr="003130BD">
        <w:rPr>
          <w:i/>
        </w:rPr>
        <w:t xml:space="preserve"> v. </w:t>
      </w:r>
      <w:proofErr w:type="spellStart"/>
      <w:r w:rsidR="003130BD" w:rsidRPr="003130BD">
        <w:rPr>
          <w:i/>
        </w:rPr>
        <w:t>Kappos</w:t>
      </w:r>
      <w:proofErr w:type="spellEnd"/>
      <w:r w:rsidR="003130BD">
        <w:t xml:space="preserve">, 561 U.S. </w:t>
      </w:r>
      <w:proofErr w:type="gramStart"/>
      <w:r w:rsidR="003130BD">
        <w:t>593</w:t>
      </w:r>
      <w:r w:rsidR="00AE7038">
        <w:t xml:space="preserve"> </w:t>
      </w:r>
      <w:r w:rsidR="003130BD">
        <w:t xml:space="preserve"> (</w:t>
      </w:r>
      <w:proofErr w:type="gramEnd"/>
      <w:r w:rsidR="003130BD">
        <w:t>2010)</w:t>
      </w:r>
    </w:p>
  </w:footnote>
  <w:footnote w:id="65">
    <w:p w14:paraId="4B0D5029" w14:textId="3856F218"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66">
    <w:p w14:paraId="58C92300" w14:textId="11C4A44C"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67">
    <w:p w14:paraId="3750A0F3" w14:textId="73D7BF7F"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68">
    <w:p w14:paraId="2B3B5DF9" w14:textId="368AE2A2"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69">
    <w:p w14:paraId="1F90EF2D" w14:textId="02DA9A36"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70">
    <w:p w14:paraId="16346366" w14:textId="739E482A"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71">
    <w:p w14:paraId="72D5EF8E" w14:textId="77777777"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72">
    <w:p w14:paraId="11D03996" w14:textId="5C32BFE7" w:rsidR="00943CEC" w:rsidRDefault="00943CEC" w:rsidP="00C015D6">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73">
    <w:p w14:paraId="145420EF" w14:textId="7BB8904D"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74">
    <w:p w14:paraId="7A803E86" w14:textId="278AFF6A"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75">
    <w:p w14:paraId="24EB8262" w14:textId="6A90BA71"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76">
    <w:p w14:paraId="29E48B4F" w14:textId="524812B6" w:rsidR="00B95561" w:rsidRPr="00B95561" w:rsidRDefault="00B95561" w:rsidP="00C015D6">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77">
    <w:p w14:paraId="60D6C012" w14:textId="7833426F"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78">
    <w:p w14:paraId="0F0535AD" w14:textId="77777777" w:rsidR="005E1F0C" w:rsidRPr="00187839" w:rsidRDefault="005E1F0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79">
    <w:p w14:paraId="1DED71D5" w14:textId="078776F4" w:rsidR="00FC20AE" w:rsidRPr="00B95561" w:rsidRDefault="00FC20AE" w:rsidP="00C015D6">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80">
    <w:p w14:paraId="0CBCB66B" w14:textId="0665951D" w:rsidR="008C2392" w:rsidRPr="00023059" w:rsidRDefault="008C2392" w:rsidP="00C015D6">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81">
    <w:p w14:paraId="1A3EB034" w14:textId="612BF954" w:rsidR="00636D7D" w:rsidRPr="00187839" w:rsidRDefault="00636D7D" w:rsidP="00C015D6">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82">
    <w:p w14:paraId="291E04C7" w14:textId="4A2555D4" w:rsidR="007510E6" w:rsidRPr="00CB3B6B" w:rsidRDefault="007510E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83">
    <w:p w14:paraId="35A21E89" w14:textId="538949BB" w:rsidR="00EC7338" w:rsidRPr="00187839" w:rsidRDefault="00EC733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84">
    <w:p w14:paraId="142E8C77" w14:textId="1596A7BE" w:rsidR="005E201C" w:rsidRPr="00187839" w:rsidRDefault="005E201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85">
    <w:p w14:paraId="74603882" w14:textId="50984569" w:rsidR="005E201C" w:rsidRPr="00187839" w:rsidRDefault="005E201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86">
    <w:p w14:paraId="2B254001" w14:textId="3CDB260B" w:rsidR="002C06B5" w:rsidRPr="00187839" w:rsidRDefault="002C06B5"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87">
    <w:p w14:paraId="702AB8BC" w14:textId="733B9017" w:rsidR="000A5E60" w:rsidRPr="00187839" w:rsidRDefault="000A5E60"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w:t>
      </w:r>
      <w:r w:rsidR="00390BDE" w:rsidRPr="00390BDE">
        <w:rPr>
          <w:rFonts w:cs="Times New Roman"/>
        </w:rPr>
        <w:t>, 5</w:t>
      </w:r>
      <w:r w:rsidR="00390BDE" w:rsidRPr="00187839">
        <w:rPr>
          <w:rFonts w:cs="Times New Roman"/>
        </w:rPr>
        <w:t xml:space="preserve">66 U.S. </w:t>
      </w:r>
      <w:r w:rsidR="00390BDE">
        <w:rPr>
          <w:rFonts w:cs="Times New Roman"/>
        </w:rPr>
        <w:t xml:space="preserve">at </w:t>
      </w:r>
      <w:r w:rsidR="00373198" w:rsidRPr="00187839">
        <w:rPr>
          <w:rFonts w:cs="Times New Roman"/>
        </w:rPr>
        <w:t>90</w:t>
      </w:r>
      <w:r w:rsidR="006C22D8" w:rsidRPr="00187839">
        <w:rPr>
          <w:rFonts w:cs="Times New Roman"/>
        </w:rPr>
        <w:t>.</w:t>
      </w:r>
    </w:p>
  </w:footnote>
  <w:footnote w:id="88">
    <w:p w14:paraId="5DB682A3" w14:textId="060D1D30" w:rsidR="005B720B" w:rsidRPr="00B927DC" w:rsidRDefault="005B720B" w:rsidP="00C015D6">
      <w:pPr>
        <w:pStyle w:val="FootnoteText"/>
        <w:spacing w:line="240" w:lineRule="auto"/>
      </w:pPr>
      <w:r>
        <w:rPr>
          <w:rStyle w:val="FootnoteReference"/>
        </w:rPr>
        <w:footnoteRef/>
      </w:r>
      <w:r>
        <w:t xml:space="preserve"> </w:t>
      </w:r>
      <w:r w:rsidR="00B927DC">
        <w:rPr>
          <w:i/>
        </w:rPr>
        <w:t>Alice</w:t>
      </w:r>
      <w:r w:rsidR="00B927DC">
        <w:t>, 573 U.S. at 214.</w:t>
      </w:r>
    </w:p>
  </w:footnote>
  <w:footnote w:id="89">
    <w:p w14:paraId="512204B1" w14:textId="3538B423" w:rsidR="00E1613D" w:rsidRDefault="00E1613D" w:rsidP="00C015D6">
      <w:pPr>
        <w:pStyle w:val="FootnoteText"/>
        <w:spacing w:line="240" w:lineRule="auto"/>
      </w:pPr>
      <w:r>
        <w:rPr>
          <w:rStyle w:val="FootnoteReference"/>
        </w:rPr>
        <w:footnoteRef/>
      </w:r>
      <w:r>
        <w:t xml:space="preserve"> </w:t>
      </w:r>
      <w:r w:rsidRPr="00E1613D">
        <w:t>https://www.bilskiblog.com/2018/04/our-attention-is-now-directed-to-directed-to/</w:t>
      </w:r>
    </w:p>
  </w:footnote>
  <w:footnote w:id="90">
    <w:p w14:paraId="289299A5" w14:textId="5B80D0A6" w:rsidR="002A641A" w:rsidRDefault="002A641A" w:rsidP="00C015D6">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D60DDE">
        <w:rPr>
          <w:rFonts w:cs="Times New Roman"/>
        </w:rPr>
        <w:t>227</w:t>
      </w:r>
      <w:r w:rsidR="00A1784E" w:rsidRPr="00950C15">
        <w:rPr>
          <w:rFonts w:cs="Times New Roman"/>
        </w:rPr>
        <w:t>.</w:t>
      </w:r>
    </w:p>
  </w:footnote>
  <w:footnote w:id="91">
    <w:p w14:paraId="25C52C36" w14:textId="7FB27570" w:rsidR="00AE482F" w:rsidRPr="00950C15" w:rsidRDefault="00AE482F" w:rsidP="00C015D6">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92">
    <w:p w14:paraId="241CC07B" w14:textId="18F8D7AA" w:rsidR="00B673C7" w:rsidRPr="00950C15" w:rsidRDefault="00B673C7" w:rsidP="00C015D6">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93">
    <w:p w14:paraId="7A8C10DB" w14:textId="618F4B7F" w:rsidR="0082773E" w:rsidRPr="00950C15" w:rsidRDefault="0082773E" w:rsidP="00C015D6">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94">
    <w:p w14:paraId="3F8070A7" w14:textId="4C30E1CE" w:rsidR="006C4E44" w:rsidRPr="006C4E44" w:rsidRDefault="006C4E44" w:rsidP="00C015D6">
      <w:pPr>
        <w:pStyle w:val="FootnoteText"/>
        <w:spacing w:line="240" w:lineRule="auto"/>
      </w:pPr>
      <w:r>
        <w:rPr>
          <w:rStyle w:val="FootnoteReference"/>
        </w:rPr>
        <w:footnoteRef/>
      </w:r>
      <w:r>
        <w:t xml:space="preserve"> </w:t>
      </w:r>
      <w:r>
        <w:rPr>
          <w:i/>
        </w:rPr>
        <w:t xml:space="preserve">Id. </w:t>
      </w:r>
      <w:r>
        <w:t xml:space="preserve">at </w:t>
      </w:r>
      <w:r w:rsidR="00D550D4">
        <w:t>225.</w:t>
      </w:r>
    </w:p>
  </w:footnote>
  <w:footnote w:id="95">
    <w:p w14:paraId="6765E2C3" w14:textId="0CBA09B7" w:rsidR="000541EA" w:rsidRPr="000541EA" w:rsidRDefault="000541EA" w:rsidP="00C015D6">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96">
    <w:p w14:paraId="7AB9167D" w14:textId="4012DA62" w:rsidR="000A1424" w:rsidRPr="00950C15" w:rsidRDefault="000A1424" w:rsidP="00C015D6">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97">
    <w:p w14:paraId="7F8C95D5" w14:textId="2FDD19D1" w:rsidR="00E115BE" w:rsidRPr="00EF4C2A" w:rsidRDefault="00E115BE" w:rsidP="00C015D6">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98">
    <w:p w14:paraId="3EE58FAA" w14:textId="2DD4066B" w:rsidR="00CC4805" w:rsidRPr="00EF4C2A" w:rsidRDefault="00CC4805" w:rsidP="00C015D6">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99">
    <w:p w14:paraId="52E7E179" w14:textId="4C551A47" w:rsidR="00882427" w:rsidRPr="00882427" w:rsidRDefault="00882427" w:rsidP="00C015D6">
      <w:pPr>
        <w:pStyle w:val="FootnoteText"/>
        <w:spacing w:line="240" w:lineRule="auto"/>
      </w:pPr>
      <w:r>
        <w:rPr>
          <w:rStyle w:val="FootnoteReference"/>
        </w:rPr>
        <w:footnoteRef/>
      </w:r>
      <w:r>
        <w:t xml:space="preserve"> </w:t>
      </w:r>
      <w:r>
        <w:rPr>
          <w:i/>
        </w:rPr>
        <w:t>Id</w:t>
      </w:r>
      <w:r>
        <w:t>. at 223.</w:t>
      </w:r>
    </w:p>
  </w:footnote>
  <w:footnote w:id="100">
    <w:p w14:paraId="275D55CF" w14:textId="45A96015" w:rsidR="00411BFE" w:rsidRPr="00023059" w:rsidRDefault="00411BFE" w:rsidP="00C015D6">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1">
    <w:p w14:paraId="22878AEA" w14:textId="2D1AD67A" w:rsidR="00411BFE" w:rsidRDefault="00411BFE" w:rsidP="00C015D6">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2">
    <w:p w14:paraId="58339ABD" w14:textId="54768A39" w:rsidR="00C46A75" w:rsidRDefault="00C46A75" w:rsidP="00C015D6">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103">
    <w:p w14:paraId="2434F65E" w14:textId="2D6DEA56" w:rsidR="005C44F9" w:rsidRPr="005C44F9" w:rsidRDefault="005C44F9" w:rsidP="00C015D6">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4">
    <w:p w14:paraId="7D193346" w14:textId="726126B4" w:rsidR="00E37CC8" w:rsidRDefault="00E37CC8" w:rsidP="00C015D6">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105">
    <w:p w14:paraId="77E297F2" w14:textId="1ED820BE" w:rsidR="002D4E38" w:rsidRPr="002D4E38" w:rsidRDefault="002D4E38" w:rsidP="00C015D6">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106">
    <w:p w14:paraId="3F5018DC" w14:textId="7A868F1C" w:rsidR="002D4E38" w:rsidRDefault="002D4E38" w:rsidP="00C015D6">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7">
    <w:p w14:paraId="6313583B" w14:textId="015BFC60" w:rsidR="00587D17" w:rsidRPr="009205B8" w:rsidRDefault="00587D17"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108">
    <w:p w14:paraId="6EDF8AC8" w14:textId="521CE464" w:rsidR="005754AD" w:rsidRPr="009205B8" w:rsidRDefault="005754AD"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109">
    <w:p w14:paraId="36187232" w14:textId="75552111" w:rsidR="00126150" w:rsidRPr="009205B8" w:rsidRDefault="00126150"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110">
    <w:p w14:paraId="18ED712F" w14:textId="77777777" w:rsidR="00AE1811" w:rsidRPr="00021C5E" w:rsidRDefault="00AE1811" w:rsidP="00C015D6">
      <w:pPr>
        <w:pStyle w:val="FootnoteText"/>
        <w:spacing w:line="240" w:lineRule="auto"/>
      </w:pPr>
      <w:r>
        <w:rPr>
          <w:rStyle w:val="FootnoteReference"/>
        </w:rPr>
        <w:footnoteRef/>
      </w:r>
      <w:r>
        <w:t xml:space="preserve"> </w:t>
      </w:r>
      <w:r>
        <w:rPr>
          <w:i/>
        </w:rPr>
        <w:t>Alice</w:t>
      </w:r>
      <w:r>
        <w:t xml:space="preserve">, 573 U.S. at 225; </w:t>
      </w:r>
      <w:r>
        <w:rPr>
          <w:i/>
        </w:rPr>
        <w:t>Mayo</w:t>
      </w:r>
      <w:r>
        <w:t xml:space="preserve">, 556 U.S. at 73, 79, 82; </w:t>
      </w:r>
      <w:r>
        <w:rPr>
          <w:i/>
        </w:rPr>
        <w:t>Berkheimer</w:t>
      </w:r>
      <w:r>
        <w:t>, 881 F.3d at 1367-1369.</w:t>
      </w:r>
    </w:p>
  </w:footnote>
  <w:footnote w:id="111">
    <w:p w14:paraId="5CFF2C27" w14:textId="4CD350D8" w:rsidR="00EE1FE5" w:rsidRPr="008B2F35" w:rsidRDefault="00EE1FE5" w:rsidP="00C015D6">
      <w:pPr>
        <w:pStyle w:val="FootnoteText"/>
        <w:spacing w:line="240" w:lineRule="auto"/>
      </w:pPr>
      <w:r>
        <w:rPr>
          <w:rStyle w:val="FootnoteReference"/>
        </w:rPr>
        <w:footnoteRef/>
      </w:r>
      <w:r>
        <w:t xml:space="preserve"> </w:t>
      </w:r>
      <w:r w:rsidR="008B2F35">
        <w:rPr>
          <w:i/>
        </w:rPr>
        <w:t>Berkheimer</w:t>
      </w:r>
      <w:r w:rsidR="008B2F35">
        <w:t>, 881 F.3d at 1367.</w:t>
      </w:r>
    </w:p>
  </w:footnote>
  <w:footnote w:id="112">
    <w:p w14:paraId="73467893" w14:textId="5F2FAA72" w:rsidR="00261336" w:rsidRPr="00261336" w:rsidRDefault="00261336" w:rsidP="00C015D6">
      <w:pPr>
        <w:pStyle w:val="FootnoteText"/>
        <w:spacing w:line="240" w:lineRule="auto"/>
      </w:pPr>
      <w:r>
        <w:rPr>
          <w:rStyle w:val="FootnoteReference"/>
        </w:rPr>
        <w:footnoteRef/>
      </w:r>
      <w:r>
        <w:t xml:space="preserve"> </w:t>
      </w:r>
      <w:r>
        <w:rPr>
          <w:i/>
        </w:rPr>
        <w:t xml:space="preserve">Id. </w:t>
      </w:r>
      <w:r>
        <w:t>at 1370.</w:t>
      </w:r>
    </w:p>
  </w:footnote>
  <w:footnote w:id="113">
    <w:p w14:paraId="0D32E69E" w14:textId="5DE281E2" w:rsidR="00CE34AE" w:rsidRPr="00187839" w:rsidRDefault="00CE34AE" w:rsidP="00C015D6">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114">
    <w:p w14:paraId="6E384304" w14:textId="1F61AFF8" w:rsidR="00E75303" w:rsidRPr="00543B47" w:rsidRDefault="00E75303" w:rsidP="00C015D6">
      <w:pPr>
        <w:pStyle w:val="FootnoteText"/>
        <w:spacing w:line="240" w:lineRule="auto"/>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115">
    <w:p w14:paraId="3BF8E773" w14:textId="36164920" w:rsidR="004535CE" w:rsidRPr="004535CE" w:rsidRDefault="004535CE" w:rsidP="00C015D6">
      <w:pPr>
        <w:pStyle w:val="FootnoteText"/>
        <w:spacing w:line="240" w:lineRule="auto"/>
      </w:pPr>
      <w:r>
        <w:rPr>
          <w:rStyle w:val="FootnoteReference"/>
        </w:rPr>
        <w:footnoteRef/>
      </w:r>
      <w:r>
        <w:t xml:space="preserve"> </w:t>
      </w:r>
      <w:r>
        <w:rPr>
          <w:i/>
        </w:rPr>
        <w:t xml:space="preserve">Id. </w:t>
      </w:r>
      <w:r>
        <w:t xml:space="preserve">at 1-2. </w:t>
      </w:r>
    </w:p>
  </w:footnote>
  <w:footnote w:id="116">
    <w:p w14:paraId="3E219A1E" w14:textId="4BAB43AA" w:rsidR="004535CE" w:rsidRPr="004535CE" w:rsidRDefault="004535CE" w:rsidP="00C015D6">
      <w:pPr>
        <w:pStyle w:val="FootnoteText"/>
        <w:spacing w:line="240" w:lineRule="auto"/>
      </w:pPr>
      <w:r>
        <w:rPr>
          <w:rStyle w:val="FootnoteReference"/>
        </w:rPr>
        <w:footnoteRef/>
      </w:r>
      <w:r>
        <w:t xml:space="preserve"> </w:t>
      </w:r>
      <w:r>
        <w:rPr>
          <w:i/>
        </w:rPr>
        <w:t xml:space="preserve">Id. </w:t>
      </w:r>
      <w:r>
        <w:t xml:space="preserve">at 2. </w:t>
      </w:r>
    </w:p>
  </w:footnote>
  <w:footnote w:id="117">
    <w:p w14:paraId="0D11A2F5" w14:textId="481A378B" w:rsidR="0016042D" w:rsidRPr="0016042D" w:rsidRDefault="0016042D" w:rsidP="00C015D6">
      <w:pPr>
        <w:pStyle w:val="FootnoteText"/>
        <w:spacing w:line="240" w:lineRule="auto"/>
      </w:pPr>
      <w:r>
        <w:rPr>
          <w:rStyle w:val="FootnoteReference"/>
        </w:rPr>
        <w:footnoteRef/>
      </w:r>
      <w:r>
        <w:t xml:space="preserve"> </w:t>
      </w:r>
      <w:r>
        <w:rPr>
          <w:i/>
        </w:rPr>
        <w:t xml:space="preserve">Id. </w:t>
      </w:r>
      <w:r>
        <w:t>at 3-5.</w:t>
      </w:r>
    </w:p>
  </w:footnote>
  <w:footnote w:id="118">
    <w:p w14:paraId="40DD8F82" w14:textId="1CA060AB" w:rsidR="004D2817" w:rsidRPr="004D2817" w:rsidRDefault="004D2817" w:rsidP="00C015D6">
      <w:pPr>
        <w:pStyle w:val="FootnoteText"/>
        <w:spacing w:line="240" w:lineRule="auto"/>
      </w:pPr>
      <w:r>
        <w:rPr>
          <w:rStyle w:val="FootnoteReference"/>
        </w:rPr>
        <w:footnoteRef/>
      </w:r>
      <w:r>
        <w:t xml:space="preserve"> </w:t>
      </w:r>
      <w:r>
        <w:rPr>
          <w:i/>
        </w:rPr>
        <w:t xml:space="preserve">Id. </w:t>
      </w:r>
      <w:r>
        <w:t xml:space="preserve">at 3-4. </w:t>
      </w:r>
    </w:p>
  </w:footnote>
  <w:footnote w:id="119">
    <w:p w14:paraId="643BA253" w14:textId="6698709B" w:rsidR="004D2817" w:rsidRPr="004D2817" w:rsidRDefault="004D2817" w:rsidP="00C015D6">
      <w:pPr>
        <w:pStyle w:val="FootnoteText"/>
        <w:spacing w:line="240" w:lineRule="auto"/>
      </w:pPr>
      <w:r>
        <w:rPr>
          <w:rStyle w:val="FootnoteReference"/>
        </w:rPr>
        <w:footnoteRef/>
      </w:r>
      <w:r>
        <w:t xml:space="preserve"> </w:t>
      </w:r>
      <w:r>
        <w:rPr>
          <w:i/>
        </w:rPr>
        <w:t>Id.</w:t>
      </w:r>
      <w:r>
        <w:t xml:space="preserve"> at 4. </w:t>
      </w:r>
    </w:p>
  </w:footnote>
  <w:footnote w:id="120">
    <w:p w14:paraId="3D12DDAD" w14:textId="4012600F" w:rsidR="009075EE" w:rsidRDefault="009075EE" w:rsidP="00C015D6">
      <w:pPr>
        <w:pStyle w:val="FootnoteText"/>
        <w:spacing w:line="240" w:lineRule="auto"/>
      </w:pPr>
      <w:r>
        <w:rPr>
          <w:rStyle w:val="FootnoteReference"/>
        </w:rPr>
        <w:footnoteRef/>
      </w:r>
      <w:r>
        <w:t xml:space="preserve"> M.P.E.P </w:t>
      </w:r>
      <w:r>
        <w:rPr>
          <w:rFonts w:cs="Times New Roman"/>
          <w:color w:val="FF0000"/>
        </w:rPr>
        <w:t>§ 2106.05(d)(II)</w:t>
      </w:r>
      <w:r w:rsidR="00D06D2B">
        <w:rPr>
          <w:rFonts w:cs="Times New Roman"/>
          <w:color w:val="FF0000"/>
        </w:rPr>
        <w:t xml:space="preserve">, </w:t>
      </w:r>
      <w:r w:rsidR="00D06D2B">
        <w:rPr>
          <w:rFonts w:cs="Times New Roman"/>
          <w:i/>
          <w:color w:val="FF0000"/>
        </w:rPr>
        <w:t>supra</w:t>
      </w:r>
      <w:r w:rsidR="00D06D2B">
        <w:rPr>
          <w:rFonts w:cs="Times New Roman"/>
          <w:color w:val="FF0000"/>
        </w:rPr>
        <w:t xml:space="preserve"> note 3</w:t>
      </w:r>
      <w:r>
        <w:rPr>
          <w:rFonts w:cs="Times New Roman"/>
          <w:color w:val="FF0000"/>
        </w:rPr>
        <w:t>.</w:t>
      </w:r>
    </w:p>
  </w:footnote>
  <w:footnote w:id="121">
    <w:p w14:paraId="2B3BA334" w14:textId="0434505A" w:rsidR="003A20F8" w:rsidRPr="003A20F8" w:rsidRDefault="003A20F8" w:rsidP="00C015D6">
      <w:pPr>
        <w:pStyle w:val="FootnoteText"/>
        <w:spacing w:line="240" w:lineRule="auto"/>
      </w:pPr>
      <w:r>
        <w:rPr>
          <w:rStyle w:val="FootnoteReference"/>
        </w:rPr>
        <w:footnoteRef/>
      </w:r>
      <w:r>
        <w:t xml:space="preserve"> </w:t>
      </w:r>
      <w:r>
        <w:rPr>
          <w:i/>
        </w:rPr>
        <w:t>Id.</w:t>
      </w:r>
      <w:r>
        <w:t xml:space="preserve"> at 4. </w:t>
      </w:r>
    </w:p>
  </w:footnote>
  <w:footnote w:id="122">
    <w:p w14:paraId="42A4106C" w14:textId="63174653" w:rsidR="00C2795B" w:rsidRPr="00760AA5" w:rsidRDefault="00C2795B" w:rsidP="00C015D6">
      <w:pPr>
        <w:pStyle w:val="FootnoteText"/>
        <w:spacing w:line="240" w:lineRule="auto"/>
      </w:pPr>
      <w:r>
        <w:rPr>
          <w:rStyle w:val="FootnoteReference"/>
        </w:rPr>
        <w:footnoteRef/>
      </w:r>
      <w:r>
        <w:t xml:space="preserve"> </w:t>
      </w:r>
      <w:r>
        <w:rPr>
          <w:i/>
        </w:rPr>
        <w:t>Id.</w:t>
      </w:r>
      <w:r>
        <w:t xml:space="preserve"> at </w:t>
      </w:r>
      <w:r w:rsidR="009A0892">
        <w:t>4; M.P.E.P. § 2144.03</w:t>
      </w:r>
      <w:r w:rsidR="00760AA5">
        <w:t xml:space="preserve">, </w:t>
      </w:r>
      <w:r w:rsidR="00760AA5">
        <w:rPr>
          <w:i/>
        </w:rPr>
        <w:t>supra</w:t>
      </w:r>
      <w:r w:rsidR="00760AA5">
        <w:t xml:space="preserve"> note 3. </w:t>
      </w:r>
    </w:p>
  </w:footnote>
  <w:footnote w:id="123">
    <w:p w14:paraId="1A3FFACE" w14:textId="7FD6015E" w:rsidR="00F92A3C" w:rsidRDefault="00F92A3C" w:rsidP="00C015D6">
      <w:pPr>
        <w:pStyle w:val="FootnoteText"/>
        <w:spacing w:line="240" w:lineRule="auto"/>
      </w:pPr>
      <w:r w:rsidRPr="00733D95">
        <w:rPr>
          <w:rStyle w:val="FootnoteReference"/>
          <w:highlight w:val="yellow"/>
        </w:rPr>
        <w:footnoteRef/>
      </w:r>
      <w:r w:rsidRPr="00733D95">
        <w:rPr>
          <w:highlight w:val="yellow"/>
        </w:rPr>
        <w:t xml:space="preserve"> </w:t>
      </w:r>
      <w:r w:rsidR="00733D95" w:rsidRPr="00733D95">
        <w:rPr>
          <w:highlight w:val="yellow"/>
        </w:rPr>
        <w:t>https://www.uspto.gov/patent/initiatives/patent-examiner-count-system</w:t>
      </w:r>
    </w:p>
  </w:footnote>
  <w:footnote w:id="124">
    <w:p w14:paraId="719CD912" w14:textId="22BC7B20" w:rsidR="00584203" w:rsidRPr="00187839" w:rsidRDefault="00584203"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125">
    <w:p w14:paraId="50AE4619" w14:textId="7DA07D8B" w:rsidR="00187839" w:rsidRPr="00187839" w:rsidRDefault="0018783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126">
    <w:p w14:paraId="7E2C7BF6" w14:textId="3C96D429" w:rsidR="00604ED8" w:rsidRDefault="00604ED8" w:rsidP="00C015D6">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127">
    <w:p w14:paraId="5BEF081B" w14:textId="1C0B628E" w:rsidR="00F52860" w:rsidRPr="00F52860" w:rsidRDefault="00F52860" w:rsidP="00C015D6">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128">
    <w:p w14:paraId="2980C8F7" w14:textId="1422E0E9" w:rsidR="008323E8" w:rsidRPr="00586BBD" w:rsidRDefault="008323E8" w:rsidP="00C015D6">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00C56BA3" w:rsidRPr="00586BBD">
        <w:rPr>
          <w:i/>
          <w:highlight w:val="yellow"/>
        </w:rPr>
        <w:t>Bilski</w:t>
      </w:r>
      <w:proofErr w:type="spellEnd"/>
      <w:r w:rsidR="00C56BA3" w:rsidRPr="00586BBD">
        <w:rPr>
          <w:i/>
          <w:highlight w:val="yellow"/>
        </w:rPr>
        <w:t xml:space="preserve"> v. </w:t>
      </w:r>
      <w:proofErr w:type="spellStart"/>
      <w:r w:rsidR="00C56BA3" w:rsidRPr="00586BBD">
        <w:rPr>
          <w:i/>
          <w:highlight w:val="yellow"/>
        </w:rPr>
        <w:t>Kappos</w:t>
      </w:r>
      <w:proofErr w:type="spellEnd"/>
      <w:r w:rsidR="00C56BA3" w:rsidRPr="00586BBD">
        <w:rPr>
          <w:highlight w:val="yellow"/>
        </w:rPr>
        <w:t>,</w:t>
      </w:r>
      <w:r w:rsidR="00C56BA3" w:rsidRPr="00586BBD">
        <w:rPr>
          <w:i/>
          <w:highlight w:val="yellow"/>
        </w:rPr>
        <w:t xml:space="preserve"> </w:t>
      </w:r>
      <w:r w:rsidR="00C56BA3" w:rsidRPr="00586BBD">
        <w:rPr>
          <w:rFonts w:cs="Times New Roman"/>
          <w:highlight w:val="yellow"/>
        </w:rPr>
        <w:t>561 U.S. at XX.</w:t>
      </w:r>
    </w:p>
  </w:footnote>
  <w:footnote w:id="129">
    <w:p w14:paraId="050B2101" w14:textId="611046DA" w:rsidR="008323E8" w:rsidRPr="00586BBD" w:rsidRDefault="008323E8" w:rsidP="00C015D6">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30">
    <w:p w14:paraId="7A4F9739" w14:textId="34CF9AF6" w:rsidR="00F14BC2" w:rsidRDefault="00F14BC2" w:rsidP="00C015D6">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31">
    <w:p w14:paraId="60B854F7" w14:textId="2C001322" w:rsidR="00F14BC2" w:rsidRDefault="00F14BC2" w:rsidP="00C015D6">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32">
    <w:p w14:paraId="5B899C48" w14:textId="77267488" w:rsidR="00D97C8E" w:rsidRDefault="00D97C8E" w:rsidP="00C015D6">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33">
    <w:p w14:paraId="70752A5E" w14:textId="2C91AB93" w:rsidR="00442225" w:rsidRDefault="00442225" w:rsidP="00C015D6">
      <w:pPr>
        <w:pStyle w:val="FootnoteText"/>
        <w:spacing w:line="240" w:lineRule="auto"/>
      </w:pPr>
      <w:r>
        <w:rPr>
          <w:rStyle w:val="FootnoteReference"/>
        </w:rPr>
        <w:footnoteRef/>
      </w:r>
      <w:r>
        <w:t xml:space="preserve"> 35 U.S.C. § 101. </w:t>
      </w:r>
    </w:p>
  </w:footnote>
  <w:footnote w:id="134">
    <w:p w14:paraId="707688CC" w14:textId="0D6EB256" w:rsidR="00347ADB" w:rsidRPr="00347ADB" w:rsidRDefault="00347ADB" w:rsidP="00C015D6">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35">
    <w:p w14:paraId="0889E616" w14:textId="1D743667" w:rsidR="00A852D0" w:rsidRDefault="00A852D0" w:rsidP="00C015D6">
      <w:pPr>
        <w:pStyle w:val="FootnoteText"/>
        <w:spacing w:line="240" w:lineRule="auto"/>
      </w:pPr>
      <w:r w:rsidRPr="000F37C9">
        <w:rPr>
          <w:rStyle w:val="FootnoteReference"/>
          <w:highlight w:val="yellow"/>
        </w:rPr>
        <w:footnoteRef/>
      </w:r>
      <w:r w:rsidRPr="000F37C9">
        <w:rPr>
          <w:highlight w:val="yellow"/>
        </w:rPr>
        <w:t xml:space="preserve"> Joshua A. </w:t>
      </w:r>
      <w:proofErr w:type="spellStart"/>
      <w:r w:rsidRPr="000F37C9">
        <w:rPr>
          <w:highlight w:val="yellow"/>
        </w:rPr>
        <w:t>Kresh</w:t>
      </w:r>
      <w:proofErr w:type="spellEnd"/>
      <w:r w:rsidRPr="000F37C9">
        <w:rPr>
          <w:highlight w:val="yellow"/>
        </w:rPr>
        <w:t xml:space="preserve">, </w:t>
      </w:r>
      <w:r w:rsidRPr="000F37C9">
        <w:rPr>
          <w:i/>
          <w:highlight w:val="yellow"/>
        </w:rPr>
        <w:t xml:space="preserve">Patent Eligibility After Mayo: How Did We Get Here and Where Do We </w:t>
      </w:r>
      <w:proofErr w:type="gramStart"/>
      <w:r w:rsidRPr="000F37C9">
        <w:rPr>
          <w:i/>
          <w:highlight w:val="yellow"/>
        </w:rPr>
        <w:t>Go?</w:t>
      </w:r>
      <w:r w:rsidRPr="000F37C9">
        <w:rPr>
          <w:highlight w:val="yellow"/>
        </w:rPr>
        <w:t>,</w:t>
      </w:r>
      <w:proofErr w:type="gramEnd"/>
      <w:r w:rsidRPr="000F37C9">
        <w:rPr>
          <w:highlight w:val="yellow"/>
        </w:rPr>
        <w:t xml:space="preserve"> 22 Fed. Circuit B.J. 521, </w:t>
      </w:r>
      <w:r w:rsidR="00E1466B" w:rsidRPr="000F37C9">
        <w:rPr>
          <w:highlight w:val="yellow"/>
        </w:rPr>
        <w:t>527</w:t>
      </w:r>
      <w:r w:rsidRPr="000F37C9">
        <w:rPr>
          <w:highlight w:val="yellow"/>
        </w:rPr>
        <w:t xml:space="preserve"> (2013)</w:t>
      </w:r>
      <w:r w:rsidR="00E1466B" w:rsidRPr="000F37C9">
        <w:rPr>
          <w:highlight w:val="yellow"/>
        </w:rPr>
        <w:t>.</w:t>
      </w:r>
    </w:p>
  </w:footnote>
  <w:footnote w:id="136">
    <w:p w14:paraId="4C63C944" w14:textId="1FD9252A" w:rsidR="003B53CE" w:rsidRPr="003B53CE" w:rsidRDefault="003B53CE" w:rsidP="00C015D6">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37">
    <w:p w14:paraId="4261B2D1" w14:textId="057E2800" w:rsidR="0014001E" w:rsidRPr="0014001E" w:rsidRDefault="0014001E" w:rsidP="00C015D6">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38">
    <w:p w14:paraId="6A06F359" w14:textId="02D29B03" w:rsidR="00FD243E" w:rsidRPr="00FD243E" w:rsidRDefault="00FD243E" w:rsidP="00C015D6">
      <w:pPr>
        <w:pStyle w:val="FootnoteText"/>
        <w:spacing w:line="240" w:lineRule="auto"/>
      </w:pPr>
      <w:r>
        <w:rPr>
          <w:rStyle w:val="FootnoteReference"/>
        </w:rPr>
        <w:footnoteRef/>
      </w:r>
      <w:r>
        <w:t xml:space="preserve"> </w:t>
      </w:r>
      <w:r>
        <w:rPr>
          <w:i/>
        </w:rPr>
        <w:t>Id.</w:t>
      </w:r>
    </w:p>
  </w:footnote>
  <w:footnote w:id="139">
    <w:p w14:paraId="01A27242" w14:textId="17B88A4E" w:rsidR="004748F9" w:rsidRPr="004748F9" w:rsidRDefault="004748F9" w:rsidP="00C015D6">
      <w:pPr>
        <w:pStyle w:val="FootnoteText"/>
        <w:spacing w:line="240" w:lineRule="auto"/>
      </w:pPr>
      <w:r>
        <w:rPr>
          <w:rStyle w:val="FootnoteReference"/>
        </w:rPr>
        <w:footnoteRef/>
      </w:r>
      <w:r>
        <w:t xml:space="preserve"> </w:t>
      </w:r>
      <w:r>
        <w:rPr>
          <w:i/>
        </w:rPr>
        <w:t>Id</w:t>
      </w:r>
      <w:r>
        <w:t xml:space="preserve">. </w:t>
      </w:r>
    </w:p>
  </w:footnote>
  <w:footnote w:id="140">
    <w:p w14:paraId="4F165DAD" w14:textId="4CAF91EF" w:rsidR="00F90BDD" w:rsidRDefault="00F90BDD" w:rsidP="00C015D6">
      <w:pPr>
        <w:pStyle w:val="FootnoteText"/>
        <w:spacing w:line="240" w:lineRule="auto"/>
      </w:pPr>
      <w:r>
        <w:rPr>
          <w:rStyle w:val="FootnoteReference"/>
        </w:rPr>
        <w:footnoteRef/>
      </w:r>
      <w:r>
        <w:t xml:space="preserve"> </w:t>
      </w:r>
      <w:r w:rsidR="00E174D0" w:rsidRPr="00BC6E0F">
        <w:rPr>
          <w:i/>
        </w:rPr>
        <w:t>Content Extraction &amp; Transmission LLC v. Wells Fargo Bank, Nat</w:t>
      </w:r>
      <w:r w:rsidR="00E174D0">
        <w:rPr>
          <w:i/>
        </w:rPr>
        <w:t>’l</w:t>
      </w:r>
      <w:r w:rsidR="00E174D0" w:rsidRPr="00BC6E0F">
        <w:rPr>
          <w:i/>
        </w:rPr>
        <w:t xml:space="preserve"> </w:t>
      </w:r>
      <w:proofErr w:type="spellStart"/>
      <w:r w:rsidR="00E174D0" w:rsidRPr="00BC6E0F">
        <w:rPr>
          <w:i/>
        </w:rPr>
        <w:t>Ass'n</w:t>
      </w:r>
      <w:proofErr w:type="spellEnd"/>
      <w:r w:rsidR="00E174D0">
        <w:t>, 776 F.3d 1343, 1345 (Fed. Cir. 2014).</w:t>
      </w:r>
    </w:p>
  </w:footnote>
  <w:footnote w:id="141">
    <w:p w14:paraId="442B10ED" w14:textId="1B02CD4F" w:rsidR="00BC6E0F" w:rsidRDefault="00BC6E0F" w:rsidP="00C015D6">
      <w:pPr>
        <w:pStyle w:val="FootnoteText"/>
        <w:spacing w:line="240" w:lineRule="auto"/>
      </w:pPr>
      <w:r>
        <w:rPr>
          <w:rStyle w:val="FootnoteReference"/>
        </w:rPr>
        <w:footnoteRef/>
      </w:r>
      <w:r>
        <w:t xml:space="preserve"> </w:t>
      </w:r>
      <w:r w:rsidR="00E174D0">
        <w:rPr>
          <w:i/>
        </w:rPr>
        <w:t>Id.</w:t>
      </w:r>
    </w:p>
  </w:footnote>
  <w:footnote w:id="142">
    <w:p w14:paraId="232C9C74" w14:textId="705067A1" w:rsidR="0066464C" w:rsidRPr="0066464C" w:rsidRDefault="0066464C" w:rsidP="00C015D6">
      <w:pPr>
        <w:pStyle w:val="FootnoteText"/>
        <w:spacing w:line="240" w:lineRule="auto"/>
      </w:pPr>
      <w:r>
        <w:rPr>
          <w:rStyle w:val="FootnoteReference"/>
        </w:rPr>
        <w:footnoteRef/>
      </w:r>
      <w:r>
        <w:t xml:space="preserve"> </w:t>
      </w:r>
      <w:r>
        <w:rPr>
          <w:i/>
        </w:rPr>
        <w:t xml:space="preserve">Id. </w:t>
      </w:r>
      <w:r>
        <w:t xml:space="preserve">at </w:t>
      </w:r>
      <w:r w:rsidR="00511FD3">
        <w:t>1347,</w:t>
      </w:r>
    </w:p>
  </w:footnote>
  <w:footnote w:id="143">
    <w:p w14:paraId="48938768" w14:textId="2D8E024A" w:rsidR="00205429" w:rsidRPr="00205429" w:rsidRDefault="00205429" w:rsidP="00C015D6">
      <w:pPr>
        <w:pStyle w:val="FootnoteText"/>
        <w:spacing w:line="240" w:lineRule="auto"/>
      </w:pPr>
      <w:r>
        <w:rPr>
          <w:rStyle w:val="FootnoteReference"/>
        </w:rPr>
        <w:footnoteRef/>
      </w:r>
      <w:r>
        <w:t xml:space="preserve"> </w:t>
      </w:r>
      <w:r>
        <w:rPr>
          <w:i/>
        </w:rPr>
        <w:t>Id.</w:t>
      </w:r>
    </w:p>
  </w:footnote>
  <w:footnote w:id="144">
    <w:p w14:paraId="4AFAC90A" w14:textId="0B473F63" w:rsidR="006B1B48" w:rsidRPr="006B1B48" w:rsidRDefault="006B1B48" w:rsidP="00C015D6">
      <w:pPr>
        <w:pStyle w:val="FootnoteText"/>
        <w:spacing w:line="240" w:lineRule="auto"/>
        <w:rPr>
          <w:i/>
        </w:rPr>
      </w:pPr>
      <w:r>
        <w:rPr>
          <w:rStyle w:val="FootnoteReference"/>
        </w:rPr>
        <w:footnoteRef/>
      </w:r>
      <w:r>
        <w:t xml:space="preserve"> </w:t>
      </w:r>
      <w:r>
        <w:rPr>
          <w:i/>
        </w:rPr>
        <w:t>Id.</w:t>
      </w:r>
    </w:p>
  </w:footnote>
  <w:footnote w:id="145">
    <w:p w14:paraId="09822B30" w14:textId="752C210F" w:rsidR="000E257D" w:rsidRPr="000E257D" w:rsidRDefault="000E257D" w:rsidP="00C015D6">
      <w:pPr>
        <w:pStyle w:val="FootnoteText"/>
        <w:spacing w:line="240" w:lineRule="auto"/>
      </w:pPr>
      <w:r>
        <w:rPr>
          <w:rStyle w:val="FootnoteReference"/>
        </w:rPr>
        <w:footnoteRef/>
      </w:r>
      <w:r>
        <w:t xml:space="preserve"> </w:t>
      </w:r>
      <w:r>
        <w:rPr>
          <w:i/>
        </w:rPr>
        <w:t xml:space="preserve">Id. </w:t>
      </w:r>
      <w:r>
        <w:t>at 1348.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2AE2"/>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5E"/>
    <w:rsid w:val="00021CE7"/>
    <w:rsid w:val="00023059"/>
    <w:rsid w:val="0002409B"/>
    <w:rsid w:val="0002502C"/>
    <w:rsid w:val="00026D1E"/>
    <w:rsid w:val="00031B0C"/>
    <w:rsid w:val="00031F83"/>
    <w:rsid w:val="000329E9"/>
    <w:rsid w:val="000331DA"/>
    <w:rsid w:val="00034080"/>
    <w:rsid w:val="00034919"/>
    <w:rsid w:val="000356D6"/>
    <w:rsid w:val="00040413"/>
    <w:rsid w:val="00041D04"/>
    <w:rsid w:val="00041F12"/>
    <w:rsid w:val="000448B7"/>
    <w:rsid w:val="00046358"/>
    <w:rsid w:val="000509F7"/>
    <w:rsid w:val="00051CA6"/>
    <w:rsid w:val="00053AD9"/>
    <w:rsid w:val="000541EA"/>
    <w:rsid w:val="00054BBF"/>
    <w:rsid w:val="000616D7"/>
    <w:rsid w:val="00061D8B"/>
    <w:rsid w:val="00062B61"/>
    <w:rsid w:val="00062E03"/>
    <w:rsid w:val="000631AF"/>
    <w:rsid w:val="00064BE8"/>
    <w:rsid w:val="00064E6E"/>
    <w:rsid w:val="00064FBC"/>
    <w:rsid w:val="00065219"/>
    <w:rsid w:val="00066447"/>
    <w:rsid w:val="00067B22"/>
    <w:rsid w:val="00070121"/>
    <w:rsid w:val="00070156"/>
    <w:rsid w:val="00070CC5"/>
    <w:rsid w:val="000737ED"/>
    <w:rsid w:val="00073D3A"/>
    <w:rsid w:val="00073D4B"/>
    <w:rsid w:val="0007465A"/>
    <w:rsid w:val="00076925"/>
    <w:rsid w:val="0007770E"/>
    <w:rsid w:val="00077F59"/>
    <w:rsid w:val="000802E0"/>
    <w:rsid w:val="00082A2E"/>
    <w:rsid w:val="00082EA5"/>
    <w:rsid w:val="000833A5"/>
    <w:rsid w:val="00084666"/>
    <w:rsid w:val="0008492F"/>
    <w:rsid w:val="000861E7"/>
    <w:rsid w:val="00087165"/>
    <w:rsid w:val="00087434"/>
    <w:rsid w:val="00087E24"/>
    <w:rsid w:val="00090802"/>
    <w:rsid w:val="00090E03"/>
    <w:rsid w:val="00091CA1"/>
    <w:rsid w:val="000925C3"/>
    <w:rsid w:val="00092B4F"/>
    <w:rsid w:val="00092B60"/>
    <w:rsid w:val="00093792"/>
    <w:rsid w:val="00094461"/>
    <w:rsid w:val="00094E18"/>
    <w:rsid w:val="000957CC"/>
    <w:rsid w:val="0009596F"/>
    <w:rsid w:val="000965E2"/>
    <w:rsid w:val="000966D8"/>
    <w:rsid w:val="0009798A"/>
    <w:rsid w:val="000A1424"/>
    <w:rsid w:val="000A2A87"/>
    <w:rsid w:val="000A2E03"/>
    <w:rsid w:val="000A3903"/>
    <w:rsid w:val="000A4181"/>
    <w:rsid w:val="000A5E60"/>
    <w:rsid w:val="000A77BC"/>
    <w:rsid w:val="000B0A07"/>
    <w:rsid w:val="000B0A5E"/>
    <w:rsid w:val="000B0EF4"/>
    <w:rsid w:val="000B1808"/>
    <w:rsid w:val="000B2689"/>
    <w:rsid w:val="000B4A18"/>
    <w:rsid w:val="000B4F42"/>
    <w:rsid w:val="000B6973"/>
    <w:rsid w:val="000B7D37"/>
    <w:rsid w:val="000C02DB"/>
    <w:rsid w:val="000C0C06"/>
    <w:rsid w:val="000C3254"/>
    <w:rsid w:val="000C5123"/>
    <w:rsid w:val="000C7260"/>
    <w:rsid w:val="000D028F"/>
    <w:rsid w:val="000D0BD7"/>
    <w:rsid w:val="000D1058"/>
    <w:rsid w:val="000D1576"/>
    <w:rsid w:val="000D191A"/>
    <w:rsid w:val="000D2B87"/>
    <w:rsid w:val="000D2EFB"/>
    <w:rsid w:val="000D2F64"/>
    <w:rsid w:val="000D4D15"/>
    <w:rsid w:val="000D561C"/>
    <w:rsid w:val="000D5C5D"/>
    <w:rsid w:val="000D79A2"/>
    <w:rsid w:val="000E0536"/>
    <w:rsid w:val="000E0603"/>
    <w:rsid w:val="000E155D"/>
    <w:rsid w:val="000E17C4"/>
    <w:rsid w:val="000E257D"/>
    <w:rsid w:val="000E4164"/>
    <w:rsid w:val="000E500D"/>
    <w:rsid w:val="000E5734"/>
    <w:rsid w:val="000E57E7"/>
    <w:rsid w:val="000E6345"/>
    <w:rsid w:val="000E7A0B"/>
    <w:rsid w:val="000F111D"/>
    <w:rsid w:val="000F28AF"/>
    <w:rsid w:val="000F37C9"/>
    <w:rsid w:val="000F4515"/>
    <w:rsid w:val="000F5A33"/>
    <w:rsid w:val="000F73F4"/>
    <w:rsid w:val="000F75DA"/>
    <w:rsid w:val="000F7D6C"/>
    <w:rsid w:val="001007EF"/>
    <w:rsid w:val="001010E0"/>
    <w:rsid w:val="001038AB"/>
    <w:rsid w:val="00104DD9"/>
    <w:rsid w:val="00105425"/>
    <w:rsid w:val="0010549A"/>
    <w:rsid w:val="001067A1"/>
    <w:rsid w:val="00110EA6"/>
    <w:rsid w:val="001116C9"/>
    <w:rsid w:val="00111B21"/>
    <w:rsid w:val="00112247"/>
    <w:rsid w:val="00112FF9"/>
    <w:rsid w:val="00113F5A"/>
    <w:rsid w:val="001171A4"/>
    <w:rsid w:val="00120382"/>
    <w:rsid w:val="00120C9A"/>
    <w:rsid w:val="00122A51"/>
    <w:rsid w:val="00122DA4"/>
    <w:rsid w:val="00122F16"/>
    <w:rsid w:val="00123047"/>
    <w:rsid w:val="00123215"/>
    <w:rsid w:val="00123E1C"/>
    <w:rsid w:val="00126150"/>
    <w:rsid w:val="00126432"/>
    <w:rsid w:val="00131839"/>
    <w:rsid w:val="00132F2C"/>
    <w:rsid w:val="00133D17"/>
    <w:rsid w:val="00135ED7"/>
    <w:rsid w:val="001360AE"/>
    <w:rsid w:val="00136FFE"/>
    <w:rsid w:val="0014001E"/>
    <w:rsid w:val="00140E92"/>
    <w:rsid w:val="00140F7C"/>
    <w:rsid w:val="00141EBB"/>
    <w:rsid w:val="001450FC"/>
    <w:rsid w:val="00146381"/>
    <w:rsid w:val="00153B39"/>
    <w:rsid w:val="00157622"/>
    <w:rsid w:val="0016042D"/>
    <w:rsid w:val="00160E3D"/>
    <w:rsid w:val="00162B75"/>
    <w:rsid w:val="00162DE3"/>
    <w:rsid w:val="00163030"/>
    <w:rsid w:val="0016331C"/>
    <w:rsid w:val="0016342C"/>
    <w:rsid w:val="00164E50"/>
    <w:rsid w:val="001656EF"/>
    <w:rsid w:val="001676FC"/>
    <w:rsid w:val="00170B95"/>
    <w:rsid w:val="00170FF6"/>
    <w:rsid w:val="001715A5"/>
    <w:rsid w:val="00172C6D"/>
    <w:rsid w:val="00174EED"/>
    <w:rsid w:val="00175C04"/>
    <w:rsid w:val="00175E1A"/>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5460"/>
    <w:rsid w:val="00196389"/>
    <w:rsid w:val="00196764"/>
    <w:rsid w:val="00196BDC"/>
    <w:rsid w:val="00196DDB"/>
    <w:rsid w:val="001A0888"/>
    <w:rsid w:val="001A0930"/>
    <w:rsid w:val="001A1C86"/>
    <w:rsid w:val="001A1F27"/>
    <w:rsid w:val="001A22FD"/>
    <w:rsid w:val="001A4487"/>
    <w:rsid w:val="001A4BD8"/>
    <w:rsid w:val="001A6A55"/>
    <w:rsid w:val="001B08AB"/>
    <w:rsid w:val="001B2DE9"/>
    <w:rsid w:val="001B4C2A"/>
    <w:rsid w:val="001B5B5A"/>
    <w:rsid w:val="001C0177"/>
    <w:rsid w:val="001C0D01"/>
    <w:rsid w:val="001C1A48"/>
    <w:rsid w:val="001C2304"/>
    <w:rsid w:val="001C2B7B"/>
    <w:rsid w:val="001C3940"/>
    <w:rsid w:val="001C3A3A"/>
    <w:rsid w:val="001C3C62"/>
    <w:rsid w:val="001C46F9"/>
    <w:rsid w:val="001C4709"/>
    <w:rsid w:val="001C4CA1"/>
    <w:rsid w:val="001C5401"/>
    <w:rsid w:val="001C56F6"/>
    <w:rsid w:val="001C5E6D"/>
    <w:rsid w:val="001C6B2C"/>
    <w:rsid w:val="001C76A5"/>
    <w:rsid w:val="001D0E9A"/>
    <w:rsid w:val="001D29A2"/>
    <w:rsid w:val="001D370D"/>
    <w:rsid w:val="001D4FBF"/>
    <w:rsid w:val="001D6DB5"/>
    <w:rsid w:val="001D7A2D"/>
    <w:rsid w:val="001D7F6D"/>
    <w:rsid w:val="001E0A7B"/>
    <w:rsid w:val="001E1703"/>
    <w:rsid w:val="001E2F70"/>
    <w:rsid w:val="001E3E18"/>
    <w:rsid w:val="001E50F2"/>
    <w:rsid w:val="001E549F"/>
    <w:rsid w:val="001E5AC0"/>
    <w:rsid w:val="001F4D74"/>
    <w:rsid w:val="001F6FB0"/>
    <w:rsid w:val="001F747F"/>
    <w:rsid w:val="001F7996"/>
    <w:rsid w:val="001F7B5F"/>
    <w:rsid w:val="00200F13"/>
    <w:rsid w:val="00201967"/>
    <w:rsid w:val="00203819"/>
    <w:rsid w:val="0020468E"/>
    <w:rsid w:val="00204D09"/>
    <w:rsid w:val="00205429"/>
    <w:rsid w:val="002055CF"/>
    <w:rsid w:val="0020767B"/>
    <w:rsid w:val="002076A8"/>
    <w:rsid w:val="00207F86"/>
    <w:rsid w:val="002111E1"/>
    <w:rsid w:val="0021317A"/>
    <w:rsid w:val="00213224"/>
    <w:rsid w:val="002141F9"/>
    <w:rsid w:val="002147BB"/>
    <w:rsid w:val="00214D5E"/>
    <w:rsid w:val="00216E3A"/>
    <w:rsid w:val="0021788A"/>
    <w:rsid w:val="00217F66"/>
    <w:rsid w:val="00220AAB"/>
    <w:rsid w:val="00221C85"/>
    <w:rsid w:val="00222719"/>
    <w:rsid w:val="0022412D"/>
    <w:rsid w:val="00224B05"/>
    <w:rsid w:val="00225A66"/>
    <w:rsid w:val="00226141"/>
    <w:rsid w:val="00227DE9"/>
    <w:rsid w:val="00227F5D"/>
    <w:rsid w:val="00230A17"/>
    <w:rsid w:val="00230BA4"/>
    <w:rsid w:val="002317DA"/>
    <w:rsid w:val="0023186C"/>
    <w:rsid w:val="00231A30"/>
    <w:rsid w:val="0023270F"/>
    <w:rsid w:val="002327E7"/>
    <w:rsid w:val="00236FC3"/>
    <w:rsid w:val="00240DAB"/>
    <w:rsid w:val="00241DA8"/>
    <w:rsid w:val="00242D61"/>
    <w:rsid w:val="00244BD7"/>
    <w:rsid w:val="00244D65"/>
    <w:rsid w:val="00245402"/>
    <w:rsid w:val="00245CB1"/>
    <w:rsid w:val="002469DF"/>
    <w:rsid w:val="002525F7"/>
    <w:rsid w:val="0025339F"/>
    <w:rsid w:val="0025424C"/>
    <w:rsid w:val="002567E8"/>
    <w:rsid w:val="00256FB0"/>
    <w:rsid w:val="00257080"/>
    <w:rsid w:val="00257366"/>
    <w:rsid w:val="00261336"/>
    <w:rsid w:val="00261537"/>
    <w:rsid w:val="002630F3"/>
    <w:rsid w:val="002654E3"/>
    <w:rsid w:val="00267940"/>
    <w:rsid w:val="00270777"/>
    <w:rsid w:val="0027437B"/>
    <w:rsid w:val="00274BC1"/>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3FE6"/>
    <w:rsid w:val="002A42D8"/>
    <w:rsid w:val="002A4402"/>
    <w:rsid w:val="002A48E3"/>
    <w:rsid w:val="002A4D95"/>
    <w:rsid w:val="002A641A"/>
    <w:rsid w:val="002A6A9F"/>
    <w:rsid w:val="002B024C"/>
    <w:rsid w:val="002B1E9D"/>
    <w:rsid w:val="002B3B73"/>
    <w:rsid w:val="002B4514"/>
    <w:rsid w:val="002B5D3E"/>
    <w:rsid w:val="002B6A3B"/>
    <w:rsid w:val="002C06B5"/>
    <w:rsid w:val="002C0C20"/>
    <w:rsid w:val="002C3089"/>
    <w:rsid w:val="002C3AE0"/>
    <w:rsid w:val="002C5CAF"/>
    <w:rsid w:val="002C62BF"/>
    <w:rsid w:val="002C6913"/>
    <w:rsid w:val="002C6953"/>
    <w:rsid w:val="002C70DA"/>
    <w:rsid w:val="002D065B"/>
    <w:rsid w:val="002D251A"/>
    <w:rsid w:val="002D47F2"/>
    <w:rsid w:val="002D4E38"/>
    <w:rsid w:val="002D65FB"/>
    <w:rsid w:val="002E3F2B"/>
    <w:rsid w:val="002E51C8"/>
    <w:rsid w:val="002E5260"/>
    <w:rsid w:val="002E5558"/>
    <w:rsid w:val="002E57D9"/>
    <w:rsid w:val="002E6D96"/>
    <w:rsid w:val="002E6E91"/>
    <w:rsid w:val="002E7E26"/>
    <w:rsid w:val="002F15ED"/>
    <w:rsid w:val="002F17B1"/>
    <w:rsid w:val="002F1BC6"/>
    <w:rsid w:val="002F3386"/>
    <w:rsid w:val="002F5050"/>
    <w:rsid w:val="002F506B"/>
    <w:rsid w:val="002F77A3"/>
    <w:rsid w:val="00302D1B"/>
    <w:rsid w:val="00302FAA"/>
    <w:rsid w:val="00302FDE"/>
    <w:rsid w:val="00303B93"/>
    <w:rsid w:val="003053BB"/>
    <w:rsid w:val="00306C3D"/>
    <w:rsid w:val="003102C8"/>
    <w:rsid w:val="00310BAD"/>
    <w:rsid w:val="003130BD"/>
    <w:rsid w:val="00313A5A"/>
    <w:rsid w:val="00314C49"/>
    <w:rsid w:val="003152A7"/>
    <w:rsid w:val="00320DD1"/>
    <w:rsid w:val="00323B4E"/>
    <w:rsid w:val="00324040"/>
    <w:rsid w:val="0032486C"/>
    <w:rsid w:val="00325DC6"/>
    <w:rsid w:val="0032678F"/>
    <w:rsid w:val="003306D2"/>
    <w:rsid w:val="003308BE"/>
    <w:rsid w:val="00330FED"/>
    <w:rsid w:val="003318B9"/>
    <w:rsid w:val="0033212D"/>
    <w:rsid w:val="0033246D"/>
    <w:rsid w:val="003338F6"/>
    <w:rsid w:val="00334DCB"/>
    <w:rsid w:val="00336F0C"/>
    <w:rsid w:val="003379BA"/>
    <w:rsid w:val="00340E88"/>
    <w:rsid w:val="0034159C"/>
    <w:rsid w:val="003415DE"/>
    <w:rsid w:val="0034193E"/>
    <w:rsid w:val="003422F1"/>
    <w:rsid w:val="00342D5C"/>
    <w:rsid w:val="00343CBD"/>
    <w:rsid w:val="00344420"/>
    <w:rsid w:val="00345ECE"/>
    <w:rsid w:val="00346002"/>
    <w:rsid w:val="003467A4"/>
    <w:rsid w:val="003467EE"/>
    <w:rsid w:val="00346B25"/>
    <w:rsid w:val="00347ADB"/>
    <w:rsid w:val="00350F95"/>
    <w:rsid w:val="003512F0"/>
    <w:rsid w:val="00352790"/>
    <w:rsid w:val="00353370"/>
    <w:rsid w:val="00356F2D"/>
    <w:rsid w:val="00357835"/>
    <w:rsid w:val="00360528"/>
    <w:rsid w:val="003611C3"/>
    <w:rsid w:val="003619E6"/>
    <w:rsid w:val="00361BEA"/>
    <w:rsid w:val="00363566"/>
    <w:rsid w:val="00363F14"/>
    <w:rsid w:val="0036481A"/>
    <w:rsid w:val="003668E5"/>
    <w:rsid w:val="00367E97"/>
    <w:rsid w:val="00370E19"/>
    <w:rsid w:val="0037200C"/>
    <w:rsid w:val="00372774"/>
    <w:rsid w:val="00373198"/>
    <w:rsid w:val="00373D4C"/>
    <w:rsid w:val="0037415D"/>
    <w:rsid w:val="0037443F"/>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742F"/>
    <w:rsid w:val="003877B6"/>
    <w:rsid w:val="00390BDE"/>
    <w:rsid w:val="0039378A"/>
    <w:rsid w:val="003939B8"/>
    <w:rsid w:val="003940BC"/>
    <w:rsid w:val="00397240"/>
    <w:rsid w:val="0039771A"/>
    <w:rsid w:val="003A063B"/>
    <w:rsid w:val="003A128F"/>
    <w:rsid w:val="003A20F8"/>
    <w:rsid w:val="003A2E8F"/>
    <w:rsid w:val="003A3348"/>
    <w:rsid w:val="003A3E41"/>
    <w:rsid w:val="003A5D15"/>
    <w:rsid w:val="003A745F"/>
    <w:rsid w:val="003A7530"/>
    <w:rsid w:val="003A7817"/>
    <w:rsid w:val="003A7B15"/>
    <w:rsid w:val="003A7F0B"/>
    <w:rsid w:val="003B1A58"/>
    <w:rsid w:val="003B4234"/>
    <w:rsid w:val="003B524E"/>
    <w:rsid w:val="003B53CE"/>
    <w:rsid w:val="003B65B8"/>
    <w:rsid w:val="003B6B86"/>
    <w:rsid w:val="003B7FF0"/>
    <w:rsid w:val="003C0529"/>
    <w:rsid w:val="003C06E5"/>
    <w:rsid w:val="003C07EF"/>
    <w:rsid w:val="003C2C70"/>
    <w:rsid w:val="003C2D67"/>
    <w:rsid w:val="003C2F0E"/>
    <w:rsid w:val="003C5D2A"/>
    <w:rsid w:val="003D041A"/>
    <w:rsid w:val="003D08A7"/>
    <w:rsid w:val="003D0FB0"/>
    <w:rsid w:val="003D10C8"/>
    <w:rsid w:val="003D1442"/>
    <w:rsid w:val="003D296A"/>
    <w:rsid w:val="003D2F52"/>
    <w:rsid w:val="003D33E0"/>
    <w:rsid w:val="003E01F8"/>
    <w:rsid w:val="003E5EEC"/>
    <w:rsid w:val="003E61E1"/>
    <w:rsid w:val="003E65F8"/>
    <w:rsid w:val="003E6D00"/>
    <w:rsid w:val="003F0305"/>
    <w:rsid w:val="003F04C9"/>
    <w:rsid w:val="003F09B1"/>
    <w:rsid w:val="003F0B31"/>
    <w:rsid w:val="003F7C4C"/>
    <w:rsid w:val="003F7D16"/>
    <w:rsid w:val="003F7F77"/>
    <w:rsid w:val="0040031A"/>
    <w:rsid w:val="00400744"/>
    <w:rsid w:val="004024FF"/>
    <w:rsid w:val="00402FDD"/>
    <w:rsid w:val="00404539"/>
    <w:rsid w:val="00406A59"/>
    <w:rsid w:val="00406B30"/>
    <w:rsid w:val="004079BB"/>
    <w:rsid w:val="00410531"/>
    <w:rsid w:val="0041094E"/>
    <w:rsid w:val="00411AC4"/>
    <w:rsid w:val="00411BFE"/>
    <w:rsid w:val="00411F48"/>
    <w:rsid w:val="00412B41"/>
    <w:rsid w:val="004132BB"/>
    <w:rsid w:val="00413848"/>
    <w:rsid w:val="00414ACD"/>
    <w:rsid w:val="004177E6"/>
    <w:rsid w:val="00420803"/>
    <w:rsid w:val="00420A56"/>
    <w:rsid w:val="00421DA6"/>
    <w:rsid w:val="00422980"/>
    <w:rsid w:val="00423D71"/>
    <w:rsid w:val="00424214"/>
    <w:rsid w:val="004243C4"/>
    <w:rsid w:val="00424492"/>
    <w:rsid w:val="00424B66"/>
    <w:rsid w:val="004253C3"/>
    <w:rsid w:val="00426AFE"/>
    <w:rsid w:val="00427B9A"/>
    <w:rsid w:val="004305E1"/>
    <w:rsid w:val="0043281B"/>
    <w:rsid w:val="00433FCA"/>
    <w:rsid w:val="00435482"/>
    <w:rsid w:val="00437BF1"/>
    <w:rsid w:val="00440208"/>
    <w:rsid w:val="00440340"/>
    <w:rsid w:val="00440A48"/>
    <w:rsid w:val="00440C8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2D9E"/>
    <w:rsid w:val="004535CE"/>
    <w:rsid w:val="004577B1"/>
    <w:rsid w:val="00460633"/>
    <w:rsid w:val="004617D9"/>
    <w:rsid w:val="00461ACC"/>
    <w:rsid w:val="00463584"/>
    <w:rsid w:val="0046379B"/>
    <w:rsid w:val="00463D5B"/>
    <w:rsid w:val="00464C79"/>
    <w:rsid w:val="00466EFC"/>
    <w:rsid w:val="004671D7"/>
    <w:rsid w:val="00471218"/>
    <w:rsid w:val="0047151A"/>
    <w:rsid w:val="004734AD"/>
    <w:rsid w:val="00473573"/>
    <w:rsid w:val="00473EF6"/>
    <w:rsid w:val="004748F9"/>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59B5"/>
    <w:rsid w:val="00497308"/>
    <w:rsid w:val="00497377"/>
    <w:rsid w:val="00497E90"/>
    <w:rsid w:val="004A22C3"/>
    <w:rsid w:val="004A344F"/>
    <w:rsid w:val="004A4EEB"/>
    <w:rsid w:val="004A53D9"/>
    <w:rsid w:val="004A60BA"/>
    <w:rsid w:val="004A658A"/>
    <w:rsid w:val="004A6DBA"/>
    <w:rsid w:val="004A6F0E"/>
    <w:rsid w:val="004B02A2"/>
    <w:rsid w:val="004B06B6"/>
    <w:rsid w:val="004B1643"/>
    <w:rsid w:val="004B1684"/>
    <w:rsid w:val="004B16D1"/>
    <w:rsid w:val="004B2387"/>
    <w:rsid w:val="004B3E81"/>
    <w:rsid w:val="004B431D"/>
    <w:rsid w:val="004B620C"/>
    <w:rsid w:val="004B639A"/>
    <w:rsid w:val="004C078D"/>
    <w:rsid w:val="004C12A5"/>
    <w:rsid w:val="004C36BB"/>
    <w:rsid w:val="004C37FD"/>
    <w:rsid w:val="004C419E"/>
    <w:rsid w:val="004C484F"/>
    <w:rsid w:val="004C5077"/>
    <w:rsid w:val="004C52DE"/>
    <w:rsid w:val="004C5EAF"/>
    <w:rsid w:val="004C7FE3"/>
    <w:rsid w:val="004D040B"/>
    <w:rsid w:val="004D2817"/>
    <w:rsid w:val="004D2B3B"/>
    <w:rsid w:val="004D3169"/>
    <w:rsid w:val="004D3351"/>
    <w:rsid w:val="004D3739"/>
    <w:rsid w:val="004D37E8"/>
    <w:rsid w:val="004D4182"/>
    <w:rsid w:val="004D47C1"/>
    <w:rsid w:val="004E02F3"/>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0681"/>
    <w:rsid w:val="00503560"/>
    <w:rsid w:val="00503CD0"/>
    <w:rsid w:val="00507D5D"/>
    <w:rsid w:val="00507E3E"/>
    <w:rsid w:val="00510902"/>
    <w:rsid w:val="00511FD3"/>
    <w:rsid w:val="00512487"/>
    <w:rsid w:val="005130ED"/>
    <w:rsid w:val="0051363C"/>
    <w:rsid w:val="00514E8A"/>
    <w:rsid w:val="0051688D"/>
    <w:rsid w:val="00517432"/>
    <w:rsid w:val="00517AAC"/>
    <w:rsid w:val="005222B1"/>
    <w:rsid w:val="00522CF2"/>
    <w:rsid w:val="00523272"/>
    <w:rsid w:val="0052477F"/>
    <w:rsid w:val="005248E3"/>
    <w:rsid w:val="00525DD5"/>
    <w:rsid w:val="00525EC0"/>
    <w:rsid w:val="0052600B"/>
    <w:rsid w:val="00530C79"/>
    <w:rsid w:val="005324E3"/>
    <w:rsid w:val="00535B8B"/>
    <w:rsid w:val="005364D3"/>
    <w:rsid w:val="00536FB3"/>
    <w:rsid w:val="0053736E"/>
    <w:rsid w:val="0053765A"/>
    <w:rsid w:val="00537AE1"/>
    <w:rsid w:val="0054099B"/>
    <w:rsid w:val="00542317"/>
    <w:rsid w:val="005428C0"/>
    <w:rsid w:val="00543B47"/>
    <w:rsid w:val="00543F69"/>
    <w:rsid w:val="00546A3E"/>
    <w:rsid w:val="0054793F"/>
    <w:rsid w:val="00547D34"/>
    <w:rsid w:val="00550C29"/>
    <w:rsid w:val="00551134"/>
    <w:rsid w:val="00551334"/>
    <w:rsid w:val="0055170E"/>
    <w:rsid w:val="005519D0"/>
    <w:rsid w:val="00554723"/>
    <w:rsid w:val="00554C5D"/>
    <w:rsid w:val="00555023"/>
    <w:rsid w:val="005551C3"/>
    <w:rsid w:val="00555AEE"/>
    <w:rsid w:val="005611DD"/>
    <w:rsid w:val="00561E1C"/>
    <w:rsid w:val="0056223A"/>
    <w:rsid w:val="0056239C"/>
    <w:rsid w:val="00562D19"/>
    <w:rsid w:val="00562F54"/>
    <w:rsid w:val="00564194"/>
    <w:rsid w:val="00566626"/>
    <w:rsid w:val="00567254"/>
    <w:rsid w:val="0056752B"/>
    <w:rsid w:val="00567587"/>
    <w:rsid w:val="00572FF2"/>
    <w:rsid w:val="005734AA"/>
    <w:rsid w:val="00573C93"/>
    <w:rsid w:val="00574002"/>
    <w:rsid w:val="005754AD"/>
    <w:rsid w:val="0057575A"/>
    <w:rsid w:val="0057674F"/>
    <w:rsid w:val="00577D88"/>
    <w:rsid w:val="00577E41"/>
    <w:rsid w:val="00580835"/>
    <w:rsid w:val="00580842"/>
    <w:rsid w:val="00581351"/>
    <w:rsid w:val="00582167"/>
    <w:rsid w:val="005821BF"/>
    <w:rsid w:val="0058374D"/>
    <w:rsid w:val="00584203"/>
    <w:rsid w:val="005843FC"/>
    <w:rsid w:val="005844B9"/>
    <w:rsid w:val="0058489B"/>
    <w:rsid w:val="00585998"/>
    <w:rsid w:val="00585F34"/>
    <w:rsid w:val="00586BBD"/>
    <w:rsid w:val="00587D17"/>
    <w:rsid w:val="005905D9"/>
    <w:rsid w:val="00590EFF"/>
    <w:rsid w:val="005915DA"/>
    <w:rsid w:val="0059164A"/>
    <w:rsid w:val="005932A3"/>
    <w:rsid w:val="00595676"/>
    <w:rsid w:val="00595B10"/>
    <w:rsid w:val="005960C9"/>
    <w:rsid w:val="0059726E"/>
    <w:rsid w:val="005976BE"/>
    <w:rsid w:val="00597DBB"/>
    <w:rsid w:val="005A0685"/>
    <w:rsid w:val="005A3DEC"/>
    <w:rsid w:val="005A3FEF"/>
    <w:rsid w:val="005A549F"/>
    <w:rsid w:val="005A6A56"/>
    <w:rsid w:val="005A70E1"/>
    <w:rsid w:val="005B09BA"/>
    <w:rsid w:val="005B0C5F"/>
    <w:rsid w:val="005B0DFB"/>
    <w:rsid w:val="005B1E00"/>
    <w:rsid w:val="005B1FA8"/>
    <w:rsid w:val="005B6291"/>
    <w:rsid w:val="005B720B"/>
    <w:rsid w:val="005C308E"/>
    <w:rsid w:val="005C43D6"/>
    <w:rsid w:val="005C4447"/>
    <w:rsid w:val="005C44F9"/>
    <w:rsid w:val="005C548F"/>
    <w:rsid w:val="005C5A02"/>
    <w:rsid w:val="005D0C52"/>
    <w:rsid w:val="005D204B"/>
    <w:rsid w:val="005D3C85"/>
    <w:rsid w:val="005D5D0A"/>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04B6"/>
    <w:rsid w:val="005F1F06"/>
    <w:rsid w:val="005F4BDD"/>
    <w:rsid w:val="005F4FE3"/>
    <w:rsid w:val="005F5FDE"/>
    <w:rsid w:val="005F608E"/>
    <w:rsid w:val="005F70DB"/>
    <w:rsid w:val="00603275"/>
    <w:rsid w:val="00604ED8"/>
    <w:rsid w:val="006058ED"/>
    <w:rsid w:val="00607841"/>
    <w:rsid w:val="006117DA"/>
    <w:rsid w:val="00611ADF"/>
    <w:rsid w:val="006120D1"/>
    <w:rsid w:val="00612B5F"/>
    <w:rsid w:val="006148D6"/>
    <w:rsid w:val="0061584A"/>
    <w:rsid w:val="0062037E"/>
    <w:rsid w:val="00620F5C"/>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C6D"/>
    <w:rsid w:val="00635F48"/>
    <w:rsid w:val="00636C7D"/>
    <w:rsid w:val="00636D7D"/>
    <w:rsid w:val="00637F36"/>
    <w:rsid w:val="0064307B"/>
    <w:rsid w:val="00643B3C"/>
    <w:rsid w:val="00644C0F"/>
    <w:rsid w:val="006450DC"/>
    <w:rsid w:val="00645C20"/>
    <w:rsid w:val="00652AAF"/>
    <w:rsid w:val="0065321B"/>
    <w:rsid w:val="00653704"/>
    <w:rsid w:val="00654572"/>
    <w:rsid w:val="0065491B"/>
    <w:rsid w:val="00654DA1"/>
    <w:rsid w:val="00656EFD"/>
    <w:rsid w:val="006574A9"/>
    <w:rsid w:val="00657F19"/>
    <w:rsid w:val="00660B5C"/>
    <w:rsid w:val="00661408"/>
    <w:rsid w:val="00661F75"/>
    <w:rsid w:val="006622BC"/>
    <w:rsid w:val="006630ED"/>
    <w:rsid w:val="0066316B"/>
    <w:rsid w:val="00663718"/>
    <w:rsid w:val="0066464C"/>
    <w:rsid w:val="006646AF"/>
    <w:rsid w:val="006647EB"/>
    <w:rsid w:val="006702D3"/>
    <w:rsid w:val="00672861"/>
    <w:rsid w:val="0067354B"/>
    <w:rsid w:val="00677DE4"/>
    <w:rsid w:val="00681705"/>
    <w:rsid w:val="00681777"/>
    <w:rsid w:val="00681922"/>
    <w:rsid w:val="00683F90"/>
    <w:rsid w:val="00684E6B"/>
    <w:rsid w:val="006851A2"/>
    <w:rsid w:val="00685946"/>
    <w:rsid w:val="00686150"/>
    <w:rsid w:val="0068652E"/>
    <w:rsid w:val="00686D30"/>
    <w:rsid w:val="00686E49"/>
    <w:rsid w:val="00686FAE"/>
    <w:rsid w:val="00687688"/>
    <w:rsid w:val="00687A49"/>
    <w:rsid w:val="006915F4"/>
    <w:rsid w:val="0069281A"/>
    <w:rsid w:val="0069290B"/>
    <w:rsid w:val="00692CA8"/>
    <w:rsid w:val="006938A5"/>
    <w:rsid w:val="00695445"/>
    <w:rsid w:val="00695531"/>
    <w:rsid w:val="006960B9"/>
    <w:rsid w:val="00697561"/>
    <w:rsid w:val="00697B76"/>
    <w:rsid w:val="006A02B5"/>
    <w:rsid w:val="006A0586"/>
    <w:rsid w:val="006A1206"/>
    <w:rsid w:val="006A1615"/>
    <w:rsid w:val="006A34C8"/>
    <w:rsid w:val="006B1948"/>
    <w:rsid w:val="006B1B48"/>
    <w:rsid w:val="006B4078"/>
    <w:rsid w:val="006B431F"/>
    <w:rsid w:val="006B459F"/>
    <w:rsid w:val="006B4DC5"/>
    <w:rsid w:val="006B576D"/>
    <w:rsid w:val="006B6344"/>
    <w:rsid w:val="006B6357"/>
    <w:rsid w:val="006B65FA"/>
    <w:rsid w:val="006B6692"/>
    <w:rsid w:val="006B66FA"/>
    <w:rsid w:val="006B676D"/>
    <w:rsid w:val="006B76BC"/>
    <w:rsid w:val="006C0F0E"/>
    <w:rsid w:val="006C22D8"/>
    <w:rsid w:val="006C3006"/>
    <w:rsid w:val="006C4E44"/>
    <w:rsid w:val="006C4FC2"/>
    <w:rsid w:val="006C50A9"/>
    <w:rsid w:val="006C590B"/>
    <w:rsid w:val="006C5E1E"/>
    <w:rsid w:val="006C7F34"/>
    <w:rsid w:val="006D0B52"/>
    <w:rsid w:val="006D2B6C"/>
    <w:rsid w:val="006D36C1"/>
    <w:rsid w:val="006D4134"/>
    <w:rsid w:val="006D43B5"/>
    <w:rsid w:val="006D4CC9"/>
    <w:rsid w:val="006D5A13"/>
    <w:rsid w:val="006D74C3"/>
    <w:rsid w:val="006D7948"/>
    <w:rsid w:val="006D7A73"/>
    <w:rsid w:val="006D7D42"/>
    <w:rsid w:val="006E0169"/>
    <w:rsid w:val="006E1D2A"/>
    <w:rsid w:val="006E37CF"/>
    <w:rsid w:val="006E452B"/>
    <w:rsid w:val="006E7123"/>
    <w:rsid w:val="006E73EF"/>
    <w:rsid w:val="006F06A9"/>
    <w:rsid w:val="006F09A2"/>
    <w:rsid w:val="006F1634"/>
    <w:rsid w:val="006F1E96"/>
    <w:rsid w:val="006F2899"/>
    <w:rsid w:val="006F421D"/>
    <w:rsid w:val="006F58B5"/>
    <w:rsid w:val="006F5BB9"/>
    <w:rsid w:val="006F5DE8"/>
    <w:rsid w:val="006F6BB8"/>
    <w:rsid w:val="00700665"/>
    <w:rsid w:val="00700B17"/>
    <w:rsid w:val="00702C5F"/>
    <w:rsid w:val="00703AFB"/>
    <w:rsid w:val="007040C2"/>
    <w:rsid w:val="00706CD2"/>
    <w:rsid w:val="00707339"/>
    <w:rsid w:val="00710212"/>
    <w:rsid w:val="007121BD"/>
    <w:rsid w:val="00712C0F"/>
    <w:rsid w:val="00713300"/>
    <w:rsid w:val="00713A69"/>
    <w:rsid w:val="00713C65"/>
    <w:rsid w:val="00713F27"/>
    <w:rsid w:val="00714ED2"/>
    <w:rsid w:val="007155DC"/>
    <w:rsid w:val="007161E7"/>
    <w:rsid w:val="00721725"/>
    <w:rsid w:val="00721928"/>
    <w:rsid w:val="00722617"/>
    <w:rsid w:val="0072333C"/>
    <w:rsid w:val="00723556"/>
    <w:rsid w:val="00724FC2"/>
    <w:rsid w:val="007257E0"/>
    <w:rsid w:val="00727014"/>
    <w:rsid w:val="00727965"/>
    <w:rsid w:val="00727DD8"/>
    <w:rsid w:val="00731346"/>
    <w:rsid w:val="007328A4"/>
    <w:rsid w:val="00733C03"/>
    <w:rsid w:val="00733D95"/>
    <w:rsid w:val="0073414A"/>
    <w:rsid w:val="007350FB"/>
    <w:rsid w:val="00735B5B"/>
    <w:rsid w:val="0073648C"/>
    <w:rsid w:val="00740706"/>
    <w:rsid w:val="00741836"/>
    <w:rsid w:val="00741DDF"/>
    <w:rsid w:val="00742440"/>
    <w:rsid w:val="00742634"/>
    <w:rsid w:val="007426D8"/>
    <w:rsid w:val="00743501"/>
    <w:rsid w:val="0074598A"/>
    <w:rsid w:val="0074685C"/>
    <w:rsid w:val="007470BF"/>
    <w:rsid w:val="00747BF0"/>
    <w:rsid w:val="007510E6"/>
    <w:rsid w:val="007510F5"/>
    <w:rsid w:val="007531E8"/>
    <w:rsid w:val="0075378D"/>
    <w:rsid w:val="00753A33"/>
    <w:rsid w:val="007541BB"/>
    <w:rsid w:val="00754BC0"/>
    <w:rsid w:val="00760AA5"/>
    <w:rsid w:val="00764F51"/>
    <w:rsid w:val="00765DB7"/>
    <w:rsid w:val="0076671A"/>
    <w:rsid w:val="00771849"/>
    <w:rsid w:val="007743D8"/>
    <w:rsid w:val="007761E1"/>
    <w:rsid w:val="007766EA"/>
    <w:rsid w:val="00776B77"/>
    <w:rsid w:val="0077794C"/>
    <w:rsid w:val="007804DE"/>
    <w:rsid w:val="00780CC5"/>
    <w:rsid w:val="00785157"/>
    <w:rsid w:val="00785839"/>
    <w:rsid w:val="007859F0"/>
    <w:rsid w:val="00786A71"/>
    <w:rsid w:val="00790B29"/>
    <w:rsid w:val="00791077"/>
    <w:rsid w:val="00791732"/>
    <w:rsid w:val="00791C94"/>
    <w:rsid w:val="00792949"/>
    <w:rsid w:val="00793456"/>
    <w:rsid w:val="0079558B"/>
    <w:rsid w:val="007960EE"/>
    <w:rsid w:val="007972DA"/>
    <w:rsid w:val="007A0E51"/>
    <w:rsid w:val="007A32BB"/>
    <w:rsid w:val="007A406B"/>
    <w:rsid w:val="007A4CDE"/>
    <w:rsid w:val="007A55F9"/>
    <w:rsid w:val="007A5772"/>
    <w:rsid w:val="007A6610"/>
    <w:rsid w:val="007A7269"/>
    <w:rsid w:val="007B1D56"/>
    <w:rsid w:val="007B248F"/>
    <w:rsid w:val="007B3933"/>
    <w:rsid w:val="007B3E6D"/>
    <w:rsid w:val="007B4360"/>
    <w:rsid w:val="007B4988"/>
    <w:rsid w:val="007B5B12"/>
    <w:rsid w:val="007B5C08"/>
    <w:rsid w:val="007B694F"/>
    <w:rsid w:val="007B6A58"/>
    <w:rsid w:val="007B7789"/>
    <w:rsid w:val="007C30DA"/>
    <w:rsid w:val="007C47E1"/>
    <w:rsid w:val="007C770A"/>
    <w:rsid w:val="007D197D"/>
    <w:rsid w:val="007D22FB"/>
    <w:rsid w:val="007D242C"/>
    <w:rsid w:val="007D24D4"/>
    <w:rsid w:val="007D39A4"/>
    <w:rsid w:val="007D65E9"/>
    <w:rsid w:val="007D662C"/>
    <w:rsid w:val="007E0A96"/>
    <w:rsid w:val="007E1601"/>
    <w:rsid w:val="007E1D95"/>
    <w:rsid w:val="007E2843"/>
    <w:rsid w:val="007E28CA"/>
    <w:rsid w:val="007E380E"/>
    <w:rsid w:val="007E43AA"/>
    <w:rsid w:val="007E4B5C"/>
    <w:rsid w:val="007E53A3"/>
    <w:rsid w:val="007E67D2"/>
    <w:rsid w:val="007E77B4"/>
    <w:rsid w:val="007F00B1"/>
    <w:rsid w:val="007F0C78"/>
    <w:rsid w:val="007F15FB"/>
    <w:rsid w:val="007F27EE"/>
    <w:rsid w:val="007F36CA"/>
    <w:rsid w:val="007F3759"/>
    <w:rsid w:val="007F5570"/>
    <w:rsid w:val="007F66BB"/>
    <w:rsid w:val="0080145E"/>
    <w:rsid w:val="00803CE2"/>
    <w:rsid w:val="00806493"/>
    <w:rsid w:val="008071AA"/>
    <w:rsid w:val="00807F85"/>
    <w:rsid w:val="008106B8"/>
    <w:rsid w:val="00812684"/>
    <w:rsid w:val="008128ED"/>
    <w:rsid w:val="00812DC6"/>
    <w:rsid w:val="00813074"/>
    <w:rsid w:val="0081390E"/>
    <w:rsid w:val="00823476"/>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7CB"/>
    <w:rsid w:val="00840EC7"/>
    <w:rsid w:val="00840EC8"/>
    <w:rsid w:val="00841442"/>
    <w:rsid w:val="00841AA4"/>
    <w:rsid w:val="008439D5"/>
    <w:rsid w:val="00843E07"/>
    <w:rsid w:val="00843F26"/>
    <w:rsid w:val="008452BB"/>
    <w:rsid w:val="008457BB"/>
    <w:rsid w:val="00845C08"/>
    <w:rsid w:val="00847645"/>
    <w:rsid w:val="0085239B"/>
    <w:rsid w:val="00853C21"/>
    <w:rsid w:val="00853FAB"/>
    <w:rsid w:val="00854EF9"/>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2427"/>
    <w:rsid w:val="00882474"/>
    <w:rsid w:val="008836BC"/>
    <w:rsid w:val="00884029"/>
    <w:rsid w:val="008843BC"/>
    <w:rsid w:val="0088460F"/>
    <w:rsid w:val="008848AD"/>
    <w:rsid w:val="00884940"/>
    <w:rsid w:val="00885998"/>
    <w:rsid w:val="00886DD0"/>
    <w:rsid w:val="00891191"/>
    <w:rsid w:val="00892368"/>
    <w:rsid w:val="00894735"/>
    <w:rsid w:val="00895B69"/>
    <w:rsid w:val="00896241"/>
    <w:rsid w:val="0089657F"/>
    <w:rsid w:val="00896FE0"/>
    <w:rsid w:val="008A0C66"/>
    <w:rsid w:val="008A2A09"/>
    <w:rsid w:val="008A2A7F"/>
    <w:rsid w:val="008A440F"/>
    <w:rsid w:val="008A6760"/>
    <w:rsid w:val="008A6BB5"/>
    <w:rsid w:val="008B1CED"/>
    <w:rsid w:val="008B215E"/>
    <w:rsid w:val="008B2F35"/>
    <w:rsid w:val="008B4625"/>
    <w:rsid w:val="008B6215"/>
    <w:rsid w:val="008B79D1"/>
    <w:rsid w:val="008B7A00"/>
    <w:rsid w:val="008B7F4E"/>
    <w:rsid w:val="008C1838"/>
    <w:rsid w:val="008C2392"/>
    <w:rsid w:val="008C36BC"/>
    <w:rsid w:val="008C4375"/>
    <w:rsid w:val="008C446C"/>
    <w:rsid w:val="008C5C63"/>
    <w:rsid w:val="008C5D09"/>
    <w:rsid w:val="008D044F"/>
    <w:rsid w:val="008D0D02"/>
    <w:rsid w:val="008D30E1"/>
    <w:rsid w:val="008D456E"/>
    <w:rsid w:val="008D6022"/>
    <w:rsid w:val="008D65CA"/>
    <w:rsid w:val="008D6B64"/>
    <w:rsid w:val="008D7161"/>
    <w:rsid w:val="008D726A"/>
    <w:rsid w:val="008D747E"/>
    <w:rsid w:val="008E0C0B"/>
    <w:rsid w:val="008E0FBA"/>
    <w:rsid w:val="008E35C2"/>
    <w:rsid w:val="008E3DE3"/>
    <w:rsid w:val="008E650B"/>
    <w:rsid w:val="008E73E8"/>
    <w:rsid w:val="008E7715"/>
    <w:rsid w:val="008E7835"/>
    <w:rsid w:val="008E7CDC"/>
    <w:rsid w:val="008E7F60"/>
    <w:rsid w:val="008F0384"/>
    <w:rsid w:val="008F090C"/>
    <w:rsid w:val="008F17AB"/>
    <w:rsid w:val="008F20C0"/>
    <w:rsid w:val="008F29A9"/>
    <w:rsid w:val="008F4123"/>
    <w:rsid w:val="008F44F7"/>
    <w:rsid w:val="008F5BA6"/>
    <w:rsid w:val="008F5FB1"/>
    <w:rsid w:val="008F7343"/>
    <w:rsid w:val="009051DF"/>
    <w:rsid w:val="00905570"/>
    <w:rsid w:val="00906576"/>
    <w:rsid w:val="0090702D"/>
    <w:rsid w:val="009075EE"/>
    <w:rsid w:val="00907D02"/>
    <w:rsid w:val="00910952"/>
    <w:rsid w:val="0091273A"/>
    <w:rsid w:val="00914094"/>
    <w:rsid w:val="009145C0"/>
    <w:rsid w:val="009202F4"/>
    <w:rsid w:val="009205B8"/>
    <w:rsid w:val="00921DF7"/>
    <w:rsid w:val="00921E21"/>
    <w:rsid w:val="00924168"/>
    <w:rsid w:val="0092426D"/>
    <w:rsid w:val="00925138"/>
    <w:rsid w:val="00925A89"/>
    <w:rsid w:val="00926925"/>
    <w:rsid w:val="00926A09"/>
    <w:rsid w:val="0093009C"/>
    <w:rsid w:val="00930143"/>
    <w:rsid w:val="0093031F"/>
    <w:rsid w:val="00930967"/>
    <w:rsid w:val="00930A74"/>
    <w:rsid w:val="009314D7"/>
    <w:rsid w:val="00933EBD"/>
    <w:rsid w:val="00934DDF"/>
    <w:rsid w:val="0093534C"/>
    <w:rsid w:val="009365E3"/>
    <w:rsid w:val="00936A1D"/>
    <w:rsid w:val="00937297"/>
    <w:rsid w:val="00937682"/>
    <w:rsid w:val="0094033F"/>
    <w:rsid w:val="00941EFB"/>
    <w:rsid w:val="00942D09"/>
    <w:rsid w:val="009432A0"/>
    <w:rsid w:val="00943CEC"/>
    <w:rsid w:val="009461D0"/>
    <w:rsid w:val="00947401"/>
    <w:rsid w:val="00947635"/>
    <w:rsid w:val="00950C15"/>
    <w:rsid w:val="00952E09"/>
    <w:rsid w:val="00952FE8"/>
    <w:rsid w:val="00953CA6"/>
    <w:rsid w:val="00953DE5"/>
    <w:rsid w:val="009606B3"/>
    <w:rsid w:val="009607A6"/>
    <w:rsid w:val="00964480"/>
    <w:rsid w:val="009654AE"/>
    <w:rsid w:val="00965A40"/>
    <w:rsid w:val="00966C28"/>
    <w:rsid w:val="00966E44"/>
    <w:rsid w:val="00967D01"/>
    <w:rsid w:val="0097093C"/>
    <w:rsid w:val="0097244C"/>
    <w:rsid w:val="009729B0"/>
    <w:rsid w:val="0097376F"/>
    <w:rsid w:val="009753D8"/>
    <w:rsid w:val="00975BA1"/>
    <w:rsid w:val="00976316"/>
    <w:rsid w:val="009771A8"/>
    <w:rsid w:val="00977877"/>
    <w:rsid w:val="00980279"/>
    <w:rsid w:val="009809BF"/>
    <w:rsid w:val="00981E8B"/>
    <w:rsid w:val="00982936"/>
    <w:rsid w:val="00983017"/>
    <w:rsid w:val="009833EE"/>
    <w:rsid w:val="00984683"/>
    <w:rsid w:val="00984962"/>
    <w:rsid w:val="009942A4"/>
    <w:rsid w:val="00994CE2"/>
    <w:rsid w:val="009963E0"/>
    <w:rsid w:val="009974F1"/>
    <w:rsid w:val="00997B01"/>
    <w:rsid w:val="00997E2D"/>
    <w:rsid w:val="009A0892"/>
    <w:rsid w:val="009A200C"/>
    <w:rsid w:val="009A3272"/>
    <w:rsid w:val="009A3F1F"/>
    <w:rsid w:val="009A3FA4"/>
    <w:rsid w:val="009A40CE"/>
    <w:rsid w:val="009A43A0"/>
    <w:rsid w:val="009A45F3"/>
    <w:rsid w:val="009A729B"/>
    <w:rsid w:val="009A7DEC"/>
    <w:rsid w:val="009B1884"/>
    <w:rsid w:val="009B2B47"/>
    <w:rsid w:val="009B3EDE"/>
    <w:rsid w:val="009B407A"/>
    <w:rsid w:val="009B58C5"/>
    <w:rsid w:val="009C100D"/>
    <w:rsid w:val="009C1965"/>
    <w:rsid w:val="009C21B7"/>
    <w:rsid w:val="009C377C"/>
    <w:rsid w:val="009C3E9B"/>
    <w:rsid w:val="009C3F3E"/>
    <w:rsid w:val="009C423A"/>
    <w:rsid w:val="009C560A"/>
    <w:rsid w:val="009C587D"/>
    <w:rsid w:val="009C5B36"/>
    <w:rsid w:val="009C672E"/>
    <w:rsid w:val="009C6D5B"/>
    <w:rsid w:val="009C710B"/>
    <w:rsid w:val="009C71E2"/>
    <w:rsid w:val="009D0A4C"/>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13C1"/>
    <w:rsid w:val="00A023E9"/>
    <w:rsid w:val="00A02FE7"/>
    <w:rsid w:val="00A03E0F"/>
    <w:rsid w:val="00A04636"/>
    <w:rsid w:val="00A055C3"/>
    <w:rsid w:val="00A07C3E"/>
    <w:rsid w:val="00A12B2D"/>
    <w:rsid w:val="00A12B47"/>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295"/>
    <w:rsid w:val="00A33C85"/>
    <w:rsid w:val="00A34E21"/>
    <w:rsid w:val="00A34E4C"/>
    <w:rsid w:val="00A35FB8"/>
    <w:rsid w:val="00A371CA"/>
    <w:rsid w:val="00A403F9"/>
    <w:rsid w:val="00A40585"/>
    <w:rsid w:val="00A424E3"/>
    <w:rsid w:val="00A42D6D"/>
    <w:rsid w:val="00A432A4"/>
    <w:rsid w:val="00A441D3"/>
    <w:rsid w:val="00A4547B"/>
    <w:rsid w:val="00A468FE"/>
    <w:rsid w:val="00A510E7"/>
    <w:rsid w:val="00A51885"/>
    <w:rsid w:val="00A52F44"/>
    <w:rsid w:val="00A55113"/>
    <w:rsid w:val="00A5604C"/>
    <w:rsid w:val="00A561E7"/>
    <w:rsid w:val="00A578A4"/>
    <w:rsid w:val="00A57DCE"/>
    <w:rsid w:val="00A60919"/>
    <w:rsid w:val="00A6263B"/>
    <w:rsid w:val="00A62F8F"/>
    <w:rsid w:val="00A635CD"/>
    <w:rsid w:val="00A644CA"/>
    <w:rsid w:val="00A66C8D"/>
    <w:rsid w:val="00A67416"/>
    <w:rsid w:val="00A67E45"/>
    <w:rsid w:val="00A72878"/>
    <w:rsid w:val="00A7291A"/>
    <w:rsid w:val="00A731A1"/>
    <w:rsid w:val="00A73377"/>
    <w:rsid w:val="00A73966"/>
    <w:rsid w:val="00A74008"/>
    <w:rsid w:val="00A742AB"/>
    <w:rsid w:val="00A74846"/>
    <w:rsid w:val="00A765F2"/>
    <w:rsid w:val="00A766E6"/>
    <w:rsid w:val="00A80202"/>
    <w:rsid w:val="00A81947"/>
    <w:rsid w:val="00A82618"/>
    <w:rsid w:val="00A83E83"/>
    <w:rsid w:val="00A8414D"/>
    <w:rsid w:val="00A84B8F"/>
    <w:rsid w:val="00A84DF2"/>
    <w:rsid w:val="00A852D0"/>
    <w:rsid w:val="00A864CA"/>
    <w:rsid w:val="00A90468"/>
    <w:rsid w:val="00A910A7"/>
    <w:rsid w:val="00A918B6"/>
    <w:rsid w:val="00A92CF2"/>
    <w:rsid w:val="00A92D17"/>
    <w:rsid w:val="00A933BE"/>
    <w:rsid w:val="00A93669"/>
    <w:rsid w:val="00A937F2"/>
    <w:rsid w:val="00A93F9B"/>
    <w:rsid w:val="00A940F8"/>
    <w:rsid w:val="00A94485"/>
    <w:rsid w:val="00A9495E"/>
    <w:rsid w:val="00A94A51"/>
    <w:rsid w:val="00A94E41"/>
    <w:rsid w:val="00A9598D"/>
    <w:rsid w:val="00AA091A"/>
    <w:rsid w:val="00AA1255"/>
    <w:rsid w:val="00AA22DA"/>
    <w:rsid w:val="00AA22EE"/>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4437"/>
    <w:rsid w:val="00AC5392"/>
    <w:rsid w:val="00AC6BB4"/>
    <w:rsid w:val="00AC73DD"/>
    <w:rsid w:val="00AC7784"/>
    <w:rsid w:val="00AD1352"/>
    <w:rsid w:val="00AD1AA4"/>
    <w:rsid w:val="00AD1BAF"/>
    <w:rsid w:val="00AD268B"/>
    <w:rsid w:val="00AD41A5"/>
    <w:rsid w:val="00AD4814"/>
    <w:rsid w:val="00AD4AB5"/>
    <w:rsid w:val="00AD7E46"/>
    <w:rsid w:val="00AE0DBD"/>
    <w:rsid w:val="00AE1608"/>
    <w:rsid w:val="00AE1811"/>
    <w:rsid w:val="00AE20D5"/>
    <w:rsid w:val="00AE2C9B"/>
    <w:rsid w:val="00AE32C9"/>
    <w:rsid w:val="00AE47F9"/>
    <w:rsid w:val="00AE482F"/>
    <w:rsid w:val="00AE489E"/>
    <w:rsid w:val="00AE4DC3"/>
    <w:rsid w:val="00AE50E7"/>
    <w:rsid w:val="00AE6A6A"/>
    <w:rsid w:val="00AE7038"/>
    <w:rsid w:val="00AE7461"/>
    <w:rsid w:val="00AE7845"/>
    <w:rsid w:val="00AE7D84"/>
    <w:rsid w:val="00AF02BA"/>
    <w:rsid w:val="00AF250C"/>
    <w:rsid w:val="00AF29A6"/>
    <w:rsid w:val="00AF2DDB"/>
    <w:rsid w:val="00AF4D0E"/>
    <w:rsid w:val="00AF53C0"/>
    <w:rsid w:val="00AF5889"/>
    <w:rsid w:val="00AF6813"/>
    <w:rsid w:val="00AF743A"/>
    <w:rsid w:val="00AF7C17"/>
    <w:rsid w:val="00B00D3E"/>
    <w:rsid w:val="00B00EAA"/>
    <w:rsid w:val="00B02282"/>
    <w:rsid w:val="00B032EC"/>
    <w:rsid w:val="00B035E5"/>
    <w:rsid w:val="00B0382B"/>
    <w:rsid w:val="00B04025"/>
    <w:rsid w:val="00B04668"/>
    <w:rsid w:val="00B04C07"/>
    <w:rsid w:val="00B04C28"/>
    <w:rsid w:val="00B057A5"/>
    <w:rsid w:val="00B06714"/>
    <w:rsid w:val="00B07BAF"/>
    <w:rsid w:val="00B12102"/>
    <w:rsid w:val="00B12E69"/>
    <w:rsid w:val="00B142F7"/>
    <w:rsid w:val="00B14411"/>
    <w:rsid w:val="00B149DE"/>
    <w:rsid w:val="00B14AE5"/>
    <w:rsid w:val="00B1523F"/>
    <w:rsid w:val="00B22C5C"/>
    <w:rsid w:val="00B25827"/>
    <w:rsid w:val="00B314E9"/>
    <w:rsid w:val="00B342AA"/>
    <w:rsid w:val="00B34A69"/>
    <w:rsid w:val="00B40183"/>
    <w:rsid w:val="00B402ED"/>
    <w:rsid w:val="00B40522"/>
    <w:rsid w:val="00B4096D"/>
    <w:rsid w:val="00B40A6D"/>
    <w:rsid w:val="00B41273"/>
    <w:rsid w:val="00B41B4B"/>
    <w:rsid w:val="00B41F6A"/>
    <w:rsid w:val="00B427BB"/>
    <w:rsid w:val="00B44B11"/>
    <w:rsid w:val="00B44F75"/>
    <w:rsid w:val="00B45CA6"/>
    <w:rsid w:val="00B47073"/>
    <w:rsid w:val="00B47BE1"/>
    <w:rsid w:val="00B52A5C"/>
    <w:rsid w:val="00B52C41"/>
    <w:rsid w:val="00B5337E"/>
    <w:rsid w:val="00B5386D"/>
    <w:rsid w:val="00B53D4E"/>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56EE"/>
    <w:rsid w:val="00B86205"/>
    <w:rsid w:val="00B867A8"/>
    <w:rsid w:val="00B86E2C"/>
    <w:rsid w:val="00B9015B"/>
    <w:rsid w:val="00B92109"/>
    <w:rsid w:val="00B927DC"/>
    <w:rsid w:val="00B92E47"/>
    <w:rsid w:val="00B943A6"/>
    <w:rsid w:val="00B94CF2"/>
    <w:rsid w:val="00B95561"/>
    <w:rsid w:val="00B973FB"/>
    <w:rsid w:val="00B975DE"/>
    <w:rsid w:val="00B9770F"/>
    <w:rsid w:val="00BA01D7"/>
    <w:rsid w:val="00BA1FC1"/>
    <w:rsid w:val="00BA2635"/>
    <w:rsid w:val="00BA30AA"/>
    <w:rsid w:val="00BA3637"/>
    <w:rsid w:val="00BA3E2B"/>
    <w:rsid w:val="00BA450C"/>
    <w:rsid w:val="00BA4552"/>
    <w:rsid w:val="00BA5799"/>
    <w:rsid w:val="00BA57D4"/>
    <w:rsid w:val="00BA6326"/>
    <w:rsid w:val="00BB0440"/>
    <w:rsid w:val="00BB0E77"/>
    <w:rsid w:val="00BB3A78"/>
    <w:rsid w:val="00BB4874"/>
    <w:rsid w:val="00BB54D0"/>
    <w:rsid w:val="00BB59C6"/>
    <w:rsid w:val="00BB5CE6"/>
    <w:rsid w:val="00BB6547"/>
    <w:rsid w:val="00BB79C7"/>
    <w:rsid w:val="00BC01DA"/>
    <w:rsid w:val="00BC06F0"/>
    <w:rsid w:val="00BC43A5"/>
    <w:rsid w:val="00BC6226"/>
    <w:rsid w:val="00BC6375"/>
    <w:rsid w:val="00BC6E0F"/>
    <w:rsid w:val="00BC7A58"/>
    <w:rsid w:val="00BD0188"/>
    <w:rsid w:val="00BD0C9A"/>
    <w:rsid w:val="00BD41BD"/>
    <w:rsid w:val="00BD4244"/>
    <w:rsid w:val="00BD5475"/>
    <w:rsid w:val="00BD5FE8"/>
    <w:rsid w:val="00BD6B48"/>
    <w:rsid w:val="00BE147F"/>
    <w:rsid w:val="00BE1A3F"/>
    <w:rsid w:val="00BE2A90"/>
    <w:rsid w:val="00BE510E"/>
    <w:rsid w:val="00BE68DF"/>
    <w:rsid w:val="00BE7486"/>
    <w:rsid w:val="00BF09FB"/>
    <w:rsid w:val="00BF0CFC"/>
    <w:rsid w:val="00BF2962"/>
    <w:rsid w:val="00BF2BFA"/>
    <w:rsid w:val="00BF4A72"/>
    <w:rsid w:val="00BF5DE2"/>
    <w:rsid w:val="00BF6F7B"/>
    <w:rsid w:val="00C00978"/>
    <w:rsid w:val="00C01118"/>
    <w:rsid w:val="00C015D6"/>
    <w:rsid w:val="00C02C23"/>
    <w:rsid w:val="00C02FBB"/>
    <w:rsid w:val="00C045B5"/>
    <w:rsid w:val="00C05727"/>
    <w:rsid w:val="00C06903"/>
    <w:rsid w:val="00C0752F"/>
    <w:rsid w:val="00C07E72"/>
    <w:rsid w:val="00C106F1"/>
    <w:rsid w:val="00C10DA6"/>
    <w:rsid w:val="00C1236E"/>
    <w:rsid w:val="00C15631"/>
    <w:rsid w:val="00C17D4D"/>
    <w:rsid w:val="00C17F96"/>
    <w:rsid w:val="00C20965"/>
    <w:rsid w:val="00C21B08"/>
    <w:rsid w:val="00C21E18"/>
    <w:rsid w:val="00C2331F"/>
    <w:rsid w:val="00C2340A"/>
    <w:rsid w:val="00C244C2"/>
    <w:rsid w:val="00C2476D"/>
    <w:rsid w:val="00C2493D"/>
    <w:rsid w:val="00C25556"/>
    <w:rsid w:val="00C25ADA"/>
    <w:rsid w:val="00C25E59"/>
    <w:rsid w:val="00C273B3"/>
    <w:rsid w:val="00C273C3"/>
    <w:rsid w:val="00C2795B"/>
    <w:rsid w:val="00C30DA6"/>
    <w:rsid w:val="00C30F99"/>
    <w:rsid w:val="00C31118"/>
    <w:rsid w:val="00C34535"/>
    <w:rsid w:val="00C34E05"/>
    <w:rsid w:val="00C37682"/>
    <w:rsid w:val="00C401B5"/>
    <w:rsid w:val="00C423AB"/>
    <w:rsid w:val="00C43B63"/>
    <w:rsid w:val="00C448AA"/>
    <w:rsid w:val="00C45F64"/>
    <w:rsid w:val="00C46A75"/>
    <w:rsid w:val="00C506A1"/>
    <w:rsid w:val="00C506A8"/>
    <w:rsid w:val="00C52A52"/>
    <w:rsid w:val="00C53AFD"/>
    <w:rsid w:val="00C54E84"/>
    <w:rsid w:val="00C55EEA"/>
    <w:rsid w:val="00C56BA3"/>
    <w:rsid w:val="00C576ED"/>
    <w:rsid w:val="00C61570"/>
    <w:rsid w:val="00C63C49"/>
    <w:rsid w:val="00C65CF8"/>
    <w:rsid w:val="00C7026F"/>
    <w:rsid w:val="00C703EB"/>
    <w:rsid w:val="00C7095C"/>
    <w:rsid w:val="00C71B70"/>
    <w:rsid w:val="00C722B1"/>
    <w:rsid w:val="00C73145"/>
    <w:rsid w:val="00C7501A"/>
    <w:rsid w:val="00C7759C"/>
    <w:rsid w:val="00C80CED"/>
    <w:rsid w:val="00C837DD"/>
    <w:rsid w:val="00C85B0E"/>
    <w:rsid w:val="00C87660"/>
    <w:rsid w:val="00C87C05"/>
    <w:rsid w:val="00C90866"/>
    <w:rsid w:val="00C90DFB"/>
    <w:rsid w:val="00C926EC"/>
    <w:rsid w:val="00C96A91"/>
    <w:rsid w:val="00CA0CF1"/>
    <w:rsid w:val="00CA1160"/>
    <w:rsid w:val="00CA319E"/>
    <w:rsid w:val="00CA3ED0"/>
    <w:rsid w:val="00CA5446"/>
    <w:rsid w:val="00CA561D"/>
    <w:rsid w:val="00CA5A6D"/>
    <w:rsid w:val="00CA6EE7"/>
    <w:rsid w:val="00CA6EF2"/>
    <w:rsid w:val="00CA7671"/>
    <w:rsid w:val="00CB03D8"/>
    <w:rsid w:val="00CB0423"/>
    <w:rsid w:val="00CB3B6B"/>
    <w:rsid w:val="00CB4B9A"/>
    <w:rsid w:val="00CB5025"/>
    <w:rsid w:val="00CB5F3F"/>
    <w:rsid w:val="00CB60D7"/>
    <w:rsid w:val="00CB753F"/>
    <w:rsid w:val="00CB7DC8"/>
    <w:rsid w:val="00CC2438"/>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58DA"/>
    <w:rsid w:val="00D06D2B"/>
    <w:rsid w:val="00D06F3C"/>
    <w:rsid w:val="00D11C59"/>
    <w:rsid w:val="00D12906"/>
    <w:rsid w:val="00D13E79"/>
    <w:rsid w:val="00D14959"/>
    <w:rsid w:val="00D14BDC"/>
    <w:rsid w:val="00D14C5A"/>
    <w:rsid w:val="00D14F80"/>
    <w:rsid w:val="00D1550A"/>
    <w:rsid w:val="00D159E3"/>
    <w:rsid w:val="00D15B48"/>
    <w:rsid w:val="00D16540"/>
    <w:rsid w:val="00D214D6"/>
    <w:rsid w:val="00D23B0D"/>
    <w:rsid w:val="00D2540C"/>
    <w:rsid w:val="00D27B93"/>
    <w:rsid w:val="00D30006"/>
    <w:rsid w:val="00D31451"/>
    <w:rsid w:val="00D3265A"/>
    <w:rsid w:val="00D3455C"/>
    <w:rsid w:val="00D36EAF"/>
    <w:rsid w:val="00D40CC4"/>
    <w:rsid w:val="00D40F26"/>
    <w:rsid w:val="00D43FB6"/>
    <w:rsid w:val="00D4549A"/>
    <w:rsid w:val="00D45590"/>
    <w:rsid w:val="00D510C1"/>
    <w:rsid w:val="00D52680"/>
    <w:rsid w:val="00D53451"/>
    <w:rsid w:val="00D550D4"/>
    <w:rsid w:val="00D56B8F"/>
    <w:rsid w:val="00D60DDE"/>
    <w:rsid w:val="00D61922"/>
    <w:rsid w:val="00D6258F"/>
    <w:rsid w:val="00D64420"/>
    <w:rsid w:val="00D6569A"/>
    <w:rsid w:val="00D7019E"/>
    <w:rsid w:val="00D721BA"/>
    <w:rsid w:val="00D73A64"/>
    <w:rsid w:val="00D74905"/>
    <w:rsid w:val="00D74D3E"/>
    <w:rsid w:val="00D774CF"/>
    <w:rsid w:val="00D8277F"/>
    <w:rsid w:val="00D83BBB"/>
    <w:rsid w:val="00D83BD3"/>
    <w:rsid w:val="00D84083"/>
    <w:rsid w:val="00D87DB9"/>
    <w:rsid w:val="00D90F97"/>
    <w:rsid w:val="00D91558"/>
    <w:rsid w:val="00D91BB7"/>
    <w:rsid w:val="00D922AF"/>
    <w:rsid w:val="00D94406"/>
    <w:rsid w:val="00D94863"/>
    <w:rsid w:val="00D94D8F"/>
    <w:rsid w:val="00D957A2"/>
    <w:rsid w:val="00D95814"/>
    <w:rsid w:val="00D95DF3"/>
    <w:rsid w:val="00D970EA"/>
    <w:rsid w:val="00D97708"/>
    <w:rsid w:val="00D97867"/>
    <w:rsid w:val="00D979B2"/>
    <w:rsid w:val="00D97C8E"/>
    <w:rsid w:val="00DA1BB6"/>
    <w:rsid w:val="00DA2916"/>
    <w:rsid w:val="00DA299A"/>
    <w:rsid w:val="00DA2C5D"/>
    <w:rsid w:val="00DA394E"/>
    <w:rsid w:val="00DA646A"/>
    <w:rsid w:val="00DA6632"/>
    <w:rsid w:val="00DA6660"/>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1FB0"/>
    <w:rsid w:val="00DC3FEE"/>
    <w:rsid w:val="00DC4439"/>
    <w:rsid w:val="00DC4C24"/>
    <w:rsid w:val="00DC52B8"/>
    <w:rsid w:val="00DC6B9B"/>
    <w:rsid w:val="00DD169B"/>
    <w:rsid w:val="00DD25FD"/>
    <w:rsid w:val="00DD342B"/>
    <w:rsid w:val="00DD44D8"/>
    <w:rsid w:val="00DD44EB"/>
    <w:rsid w:val="00DD477E"/>
    <w:rsid w:val="00DD4D90"/>
    <w:rsid w:val="00DD4F57"/>
    <w:rsid w:val="00DD5D16"/>
    <w:rsid w:val="00DD63C5"/>
    <w:rsid w:val="00DE19EC"/>
    <w:rsid w:val="00DE1D7E"/>
    <w:rsid w:val="00DE2270"/>
    <w:rsid w:val="00DE5720"/>
    <w:rsid w:val="00DE599B"/>
    <w:rsid w:val="00DE5BBB"/>
    <w:rsid w:val="00DE7CC2"/>
    <w:rsid w:val="00DF0887"/>
    <w:rsid w:val="00DF0AA5"/>
    <w:rsid w:val="00DF3953"/>
    <w:rsid w:val="00DF3A1A"/>
    <w:rsid w:val="00DF4947"/>
    <w:rsid w:val="00DF4EB9"/>
    <w:rsid w:val="00DF5A9B"/>
    <w:rsid w:val="00E01265"/>
    <w:rsid w:val="00E01339"/>
    <w:rsid w:val="00E02E80"/>
    <w:rsid w:val="00E02FE0"/>
    <w:rsid w:val="00E0360B"/>
    <w:rsid w:val="00E07FB0"/>
    <w:rsid w:val="00E115BE"/>
    <w:rsid w:val="00E1233A"/>
    <w:rsid w:val="00E125B8"/>
    <w:rsid w:val="00E13050"/>
    <w:rsid w:val="00E145D5"/>
    <w:rsid w:val="00E1466B"/>
    <w:rsid w:val="00E152D6"/>
    <w:rsid w:val="00E15866"/>
    <w:rsid w:val="00E15D4A"/>
    <w:rsid w:val="00E1613D"/>
    <w:rsid w:val="00E174D0"/>
    <w:rsid w:val="00E17689"/>
    <w:rsid w:val="00E20144"/>
    <w:rsid w:val="00E23289"/>
    <w:rsid w:val="00E23E4B"/>
    <w:rsid w:val="00E25B11"/>
    <w:rsid w:val="00E25E5D"/>
    <w:rsid w:val="00E25ED1"/>
    <w:rsid w:val="00E2793F"/>
    <w:rsid w:val="00E310DA"/>
    <w:rsid w:val="00E34D15"/>
    <w:rsid w:val="00E35A23"/>
    <w:rsid w:val="00E36390"/>
    <w:rsid w:val="00E36E3A"/>
    <w:rsid w:val="00E37CC8"/>
    <w:rsid w:val="00E40600"/>
    <w:rsid w:val="00E410D5"/>
    <w:rsid w:val="00E41548"/>
    <w:rsid w:val="00E43E6B"/>
    <w:rsid w:val="00E44BC2"/>
    <w:rsid w:val="00E44E50"/>
    <w:rsid w:val="00E44EC1"/>
    <w:rsid w:val="00E455E6"/>
    <w:rsid w:val="00E464F6"/>
    <w:rsid w:val="00E51F91"/>
    <w:rsid w:val="00E52A65"/>
    <w:rsid w:val="00E538C3"/>
    <w:rsid w:val="00E53D57"/>
    <w:rsid w:val="00E54E33"/>
    <w:rsid w:val="00E562D6"/>
    <w:rsid w:val="00E5670D"/>
    <w:rsid w:val="00E61737"/>
    <w:rsid w:val="00E65B93"/>
    <w:rsid w:val="00E664C6"/>
    <w:rsid w:val="00E6680A"/>
    <w:rsid w:val="00E67AD2"/>
    <w:rsid w:val="00E70ACB"/>
    <w:rsid w:val="00E7135B"/>
    <w:rsid w:val="00E75303"/>
    <w:rsid w:val="00E7626B"/>
    <w:rsid w:val="00E76F58"/>
    <w:rsid w:val="00E8145C"/>
    <w:rsid w:val="00E81CCE"/>
    <w:rsid w:val="00E82053"/>
    <w:rsid w:val="00E8208B"/>
    <w:rsid w:val="00E84753"/>
    <w:rsid w:val="00E849C1"/>
    <w:rsid w:val="00E85688"/>
    <w:rsid w:val="00E857CC"/>
    <w:rsid w:val="00E864FB"/>
    <w:rsid w:val="00E866F1"/>
    <w:rsid w:val="00E90B27"/>
    <w:rsid w:val="00E913FD"/>
    <w:rsid w:val="00E925D2"/>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59D3"/>
    <w:rsid w:val="00EB65EA"/>
    <w:rsid w:val="00EC269B"/>
    <w:rsid w:val="00EC36E3"/>
    <w:rsid w:val="00EC40DC"/>
    <w:rsid w:val="00EC49B6"/>
    <w:rsid w:val="00EC5A84"/>
    <w:rsid w:val="00EC5F51"/>
    <w:rsid w:val="00EC7338"/>
    <w:rsid w:val="00EC7603"/>
    <w:rsid w:val="00ED1443"/>
    <w:rsid w:val="00ED1D19"/>
    <w:rsid w:val="00ED38A7"/>
    <w:rsid w:val="00ED3CA2"/>
    <w:rsid w:val="00ED47EB"/>
    <w:rsid w:val="00ED6A7A"/>
    <w:rsid w:val="00ED6D8D"/>
    <w:rsid w:val="00EE08DA"/>
    <w:rsid w:val="00EE0D1E"/>
    <w:rsid w:val="00EE149C"/>
    <w:rsid w:val="00EE1FE5"/>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6BC6"/>
    <w:rsid w:val="00EF78EF"/>
    <w:rsid w:val="00EF7D93"/>
    <w:rsid w:val="00F002AD"/>
    <w:rsid w:val="00F0073C"/>
    <w:rsid w:val="00F02181"/>
    <w:rsid w:val="00F03766"/>
    <w:rsid w:val="00F04A3B"/>
    <w:rsid w:val="00F078FF"/>
    <w:rsid w:val="00F07F6D"/>
    <w:rsid w:val="00F1125C"/>
    <w:rsid w:val="00F11409"/>
    <w:rsid w:val="00F11EAE"/>
    <w:rsid w:val="00F13485"/>
    <w:rsid w:val="00F146AA"/>
    <w:rsid w:val="00F147BD"/>
    <w:rsid w:val="00F14BC2"/>
    <w:rsid w:val="00F1612A"/>
    <w:rsid w:val="00F17CC8"/>
    <w:rsid w:val="00F200D0"/>
    <w:rsid w:val="00F2022D"/>
    <w:rsid w:val="00F20C04"/>
    <w:rsid w:val="00F22376"/>
    <w:rsid w:val="00F230D0"/>
    <w:rsid w:val="00F245E7"/>
    <w:rsid w:val="00F31E2F"/>
    <w:rsid w:val="00F31EEC"/>
    <w:rsid w:val="00F323D9"/>
    <w:rsid w:val="00F3286C"/>
    <w:rsid w:val="00F32B98"/>
    <w:rsid w:val="00F33C28"/>
    <w:rsid w:val="00F342D0"/>
    <w:rsid w:val="00F3500C"/>
    <w:rsid w:val="00F35AC6"/>
    <w:rsid w:val="00F368B2"/>
    <w:rsid w:val="00F40816"/>
    <w:rsid w:val="00F40A20"/>
    <w:rsid w:val="00F41F45"/>
    <w:rsid w:val="00F4531E"/>
    <w:rsid w:val="00F46462"/>
    <w:rsid w:val="00F47184"/>
    <w:rsid w:val="00F47A26"/>
    <w:rsid w:val="00F50833"/>
    <w:rsid w:val="00F5159A"/>
    <w:rsid w:val="00F51B1F"/>
    <w:rsid w:val="00F52860"/>
    <w:rsid w:val="00F53385"/>
    <w:rsid w:val="00F53BC5"/>
    <w:rsid w:val="00F549F4"/>
    <w:rsid w:val="00F57C8F"/>
    <w:rsid w:val="00F600C8"/>
    <w:rsid w:val="00F61CC0"/>
    <w:rsid w:val="00F61CC1"/>
    <w:rsid w:val="00F62AD9"/>
    <w:rsid w:val="00F63071"/>
    <w:rsid w:val="00F637B4"/>
    <w:rsid w:val="00F63F2E"/>
    <w:rsid w:val="00F6495F"/>
    <w:rsid w:val="00F6567C"/>
    <w:rsid w:val="00F65B5A"/>
    <w:rsid w:val="00F66592"/>
    <w:rsid w:val="00F66766"/>
    <w:rsid w:val="00F66E0D"/>
    <w:rsid w:val="00F66EB7"/>
    <w:rsid w:val="00F676D4"/>
    <w:rsid w:val="00F701C5"/>
    <w:rsid w:val="00F70AAE"/>
    <w:rsid w:val="00F716BA"/>
    <w:rsid w:val="00F71BB4"/>
    <w:rsid w:val="00F73A9A"/>
    <w:rsid w:val="00F73AC4"/>
    <w:rsid w:val="00F7436C"/>
    <w:rsid w:val="00F7683F"/>
    <w:rsid w:val="00F772E3"/>
    <w:rsid w:val="00F77903"/>
    <w:rsid w:val="00F77BB2"/>
    <w:rsid w:val="00F80349"/>
    <w:rsid w:val="00F8042C"/>
    <w:rsid w:val="00F81E05"/>
    <w:rsid w:val="00F8340D"/>
    <w:rsid w:val="00F8348F"/>
    <w:rsid w:val="00F844EB"/>
    <w:rsid w:val="00F84B82"/>
    <w:rsid w:val="00F85524"/>
    <w:rsid w:val="00F856AA"/>
    <w:rsid w:val="00F85E04"/>
    <w:rsid w:val="00F87551"/>
    <w:rsid w:val="00F9017E"/>
    <w:rsid w:val="00F908D4"/>
    <w:rsid w:val="00F90BDD"/>
    <w:rsid w:val="00F922AD"/>
    <w:rsid w:val="00F92A3C"/>
    <w:rsid w:val="00F93212"/>
    <w:rsid w:val="00F93DD1"/>
    <w:rsid w:val="00F96B5B"/>
    <w:rsid w:val="00F9772F"/>
    <w:rsid w:val="00F97A80"/>
    <w:rsid w:val="00F97DD5"/>
    <w:rsid w:val="00FA0922"/>
    <w:rsid w:val="00FA0E19"/>
    <w:rsid w:val="00FA104C"/>
    <w:rsid w:val="00FA1AC5"/>
    <w:rsid w:val="00FA3E98"/>
    <w:rsid w:val="00FA791C"/>
    <w:rsid w:val="00FB01CF"/>
    <w:rsid w:val="00FB1089"/>
    <w:rsid w:val="00FB2539"/>
    <w:rsid w:val="00FB343A"/>
    <w:rsid w:val="00FB417F"/>
    <w:rsid w:val="00FB5B5C"/>
    <w:rsid w:val="00FC0633"/>
    <w:rsid w:val="00FC189C"/>
    <w:rsid w:val="00FC20AE"/>
    <w:rsid w:val="00FC3E4B"/>
    <w:rsid w:val="00FC7C9D"/>
    <w:rsid w:val="00FC7E2A"/>
    <w:rsid w:val="00FD04BF"/>
    <w:rsid w:val="00FD1B9B"/>
    <w:rsid w:val="00FD243E"/>
    <w:rsid w:val="00FD26EF"/>
    <w:rsid w:val="00FD2CB6"/>
    <w:rsid w:val="00FD33E3"/>
    <w:rsid w:val="00FD4F23"/>
    <w:rsid w:val="00FD5B3F"/>
    <w:rsid w:val="00FD6593"/>
    <w:rsid w:val="00FD6DF8"/>
    <w:rsid w:val="00FD6ECF"/>
    <w:rsid w:val="00FD73DE"/>
    <w:rsid w:val="00FE1841"/>
    <w:rsid w:val="00FE1A45"/>
    <w:rsid w:val="00FE2EA9"/>
    <w:rsid w:val="00FE44F1"/>
    <w:rsid w:val="00FE5782"/>
    <w:rsid w:val="00FE7E7C"/>
    <w:rsid w:val="00FF4F7F"/>
    <w:rsid w:val="00FF55EB"/>
    <w:rsid w:val="00FF573F"/>
    <w:rsid w:val="00FF769C"/>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48B23-2D7F-4652-AB31-B3FD5DDF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27</Pages>
  <Words>6390</Words>
  <Characters>34124</Characters>
  <Application>Microsoft Office Word</Application>
  <DocSecurity>0</DocSecurity>
  <Lines>467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1354</cp:revision>
  <dcterms:created xsi:type="dcterms:W3CDTF">2019-01-10T13:54:00Z</dcterms:created>
  <dcterms:modified xsi:type="dcterms:W3CDTF">2019-01-25T21:34:00Z</dcterms:modified>
</cp:coreProperties>
</file>