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2AEE4" w14:textId="4F444616" w:rsidR="008E7715" w:rsidRDefault="00034080" w:rsidP="00BF0CFC">
      <w:pPr>
        <w:pStyle w:val="Title"/>
        <w:spacing w:line="480" w:lineRule="auto"/>
      </w:pPr>
      <w:r>
        <w:t>The Har</w:t>
      </w:r>
      <w:r w:rsidR="00313A5A">
        <w:t>d</w:t>
      </w:r>
      <w:r>
        <w:t xml:space="preserve"> Side of Patenting Software</w:t>
      </w:r>
    </w:p>
    <w:p w14:paraId="06D7D926" w14:textId="5954A423" w:rsidR="008E7715" w:rsidRDefault="008E7715" w:rsidP="00BF0CFC">
      <w:pPr>
        <w:pStyle w:val="Heading1"/>
        <w:numPr>
          <w:ilvl w:val="0"/>
          <w:numId w:val="2"/>
        </w:numPr>
        <w:spacing w:line="480" w:lineRule="auto"/>
        <w:ind w:left="720"/>
      </w:pPr>
      <w:r>
        <w:t>INTRODUCTION</w:t>
      </w:r>
    </w:p>
    <w:p w14:paraId="1F29C182" w14:textId="04B72649" w:rsidR="00020A90" w:rsidRPr="000D4D15" w:rsidRDefault="0051363C" w:rsidP="00BF0CFC">
      <w:pPr>
        <w:spacing w:line="480" w:lineRule="auto"/>
        <w:ind w:firstLine="720"/>
      </w:pPr>
      <w:r>
        <w:t xml:space="preserve">The first patent granted by the United States of America was granted to Samuel Hopkins for </w:t>
      </w:r>
      <w:r w:rsidR="000356D6">
        <w:t>an improved method for creating pot ash and pearl ash.</w:t>
      </w:r>
      <w:r w:rsidR="00AE7D84">
        <w:rPr>
          <w:rStyle w:val="FootnoteReference"/>
        </w:rPr>
        <w:footnoteReference w:id="1"/>
      </w:r>
      <w:r w:rsidR="000356D6">
        <w:t xml:space="preserve"> </w:t>
      </w:r>
      <w:r w:rsidR="003306D2">
        <w:t xml:space="preserve">Today, computers and software reign supreme, creating a </w:t>
      </w:r>
      <w:r w:rsidR="00C71B70">
        <w:t>global economy heavily dependent on instant communication.</w:t>
      </w:r>
      <w:r w:rsidR="003F7F77">
        <w:t xml:space="preserve"> </w:t>
      </w:r>
      <w:r w:rsidR="00561E1C">
        <w:t xml:space="preserve">The United States Patent and Trademark Office </w:t>
      </w:r>
      <w:r w:rsidR="00AD1352">
        <w:t xml:space="preserve">(“USPTO”) </w:t>
      </w:r>
      <w:r w:rsidR="000E5734">
        <w:t>recent</w:t>
      </w:r>
      <w:r w:rsidR="00AD1352">
        <w:t>ly</w:t>
      </w:r>
      <w:r w:rsidR="000E5734">
        <w:t xml:space="preserve"> issued its ten millionth patent.</w:t>
      </w:r>
      <w:r w:rsidR="00C7501A">
        <w:rPr>
          <w:rStyle w:val="FootnoteReference"/>
        </w:rPr>
        <w:footnoteReference w:id="2"/>
      </w:r>
      <w:r w:rsidR="000E5734">
        <w:t xml:space="preserve"> </w:t>
      </w:r>
      <w:r w:rsidR="00B04025">
        <w:t xml:space="preserve">Computers have changed the </w:t>
      </w:r>
      <w:r w:rsidR="00574002">
        <w:t>face of the world</w:t>
      </w:r>
      <w:r w:rsidR="00051CA6">
        <w:t xml:space="preserve">, and </w:t>
      </w:r>
      <w:r w:rsidR="00AD1352">
        <w:t xml:space="preserve">each year half of the patents issued by </w:t>
      </w:r>
      <w:r w:rsidR="00267940">
        <w:t>the USPTO are related to software.</w:t>
      </w:r>
      <w:r w:rsidR="00FE44F1">
        <w:rPr>
          <w:rStyle w:val="FootnoteReference"/>
        </w:rPr>
        <w:footnoteReference w:id="3"/>
      </w:r>
      <w:r w:rsidR="0029185C">
        <w:t xml:space="preserve"> Despite the </w:t>
      </w:r>
      <w:r w:rsidR="00C87660">
        <w:t xml:space="preserve">increasing </w:t>
      </w:r>
      <w:r w:rsidR="00034080">
        <w:t>presence</w:t>
      </w:r>
      <w:r w:rsidR="00535B8B">
        <w:t xml:space="preserve"> of the computer based technology in life, </w:t>
      </w:r>
      <w:r w:rsidR="006120D1">
        <w:t>software patents can be difficult to obtain</w:t>
      </w:r>
      <w:r w:rsidR="000E500D">
        <w:t xml:space="preserve"> and defend</w:t>
      </w:r>
      <w:r w:rsidR="006120D1">
        <w:t>.</w:t>
      </w:r>
      <w:r w:rsidR="00414ACD">
        <w:rPr>
          <w:rStyle w:val="FootnoteReference"/>
        </w:rPr>
        <w:footnoteReference w:id="4"/>
      </w:r>
      <w:r w:rsidR="006120D1">
        <w:t xml:space="preserve"> </w:t>
      </w:r>
      <w:r w:rsidR="00330FED">
        <w:t xml:space="preserve">In the wake of </w:t>
      </w:r>
      <w:r w:rsidR="001F4D74">
        <w:t xml:space="preserve">the </w:t>
      </w:r>
      <w:r w:rsidR="00330FED">
        <w:rPr>
          <w:i/>
        </w:rPr>
        <w:t>B</w:t>
      </w:r>
      <w:r w:rsidR="001F4D74">
        <w:rPr>
          <w:i/>
        </w:rPr>
        <w:t>erkheimer v. HP</w:t>
      </w:r>
      <w:r w:rsidR="001F4D74">
        <w:t xml:space="preserve"> decision</w:t>
      </w:r>
      <w:r w:rsidR="00B057A5">
        <w:rPr>
          <w:rStyle w:val="FootnoteReference"/>
        </w:rPr>
        <w:footnoteReference w:id="5"/>
      </w:r>
      <w:r w:rsidR="001F4D74">
        <w:t xml:space="preserve">, the USPTO issued the Berkheimer </w:t>
      </w:r>
      <w:r w:rsidR="00092B4F">
        <w:t>Memo</w:t>
      </w:r>
      <w:r w:rsidR="00B057A5">
        <w:rPr>
          <w:rStyle w:val="FootnoteReference"/>
        </w:rPr>
        <w:footnoteReference w:id="6"/>
      </w:r>
      <w:r w:rsidR="00092B4F">
        <w:t xml:space="preserve">, which severely limited how patent examiners </w:t>
      </w:r>
      <w:r w:rsidR="008E3DE3">
        <w:t>reject patent applications for not meeting the req</w:t>
      </w:r>
      <w:r w:rsidR="00B057A5">
        <w:t>uirements for patent eligibility contained and implied by 35 U.S.C. § 101.</w:t>
      </w:r>
      <w:r w:rsidR="00CF79D8">
        <w:t xml:space="preserve"> </w:t>
      </w:r>
      <w:r w:rsidR="006B6357">
        <w:t>This change has eased the burden of applicant seeking software patents</w:t>
      </w:r>
      <w:r w:rsidR="000D0BD7">
        <w:t xml:space="preserve">, however it has created </w:t>
      </w:r>
      <w:r w:rsidR="006D7A73">
        <w:t xml:space="preserve">diverging standard between the judicial system, and the USPTO’s </w:t>
      </w:r>
      <w:r w:rsidR="00FE7E7C">
        <w:t>standard for approval, which may lead to granting invalid patents.</w:t>
      </w:r>
      <w:r w:rsidR="000D0BD7">
        <w:t xml:space="preserve"> </w:t>
      </w:r>
      <w:r w:rsidR="00872B1B">
        <w:t xml:space="preserve">The </w:t>
      </w:r>
      <w:r w:rsidR="00830921">
        <w:t xml:space="preserve">patent system has too long shoe-horned </w:t>
      </w:r>
      <w:r w:rsidR="00F1125C">
        <w:t xml:space="preserve">software patents into an </w:t>
      </w:r>
      <w:r w:rsidR="00572FF2">
        <w:t>antiquated</w:t>
      </w:r>
      <w:r w:rsidR="00F1125C">
        <w:t xml:space="preserve"> system </w:t>
      </w:r>
      <w:r w:rsidR="00572FF2">
        <w:t xml:space="preserve">designed to </w:t>
      </w:r>
      <w:r w:rsidR="009145C0">
        <w:t xml:space="preserve">encourage innovation of only physical inventions. This note will </w:t>
      </w:r>
      <w:r w:rsidR="00480F67">
        <w:t xml:space="preserve">guide readers through the legislative history and standards regarding </w:t>
      </w:r>
      <w:r w:rsidR="000D4D15">
        <w:t xml:space="preserve">software patents, the repercussions of the </w:t>
      </w:r>
      <w:r w:rsidR="000D4D15">
        <w:rPr>
          <w:i/>
        </w:rPr>
        <w:lastRenderedPageBreak/>
        <w:t xml:space="preserve">Berkheimer </w:t>
      </w:r>
      <w:r w:rsidR="000D4D15">
        <w:t xml:space="preserve">decision, and </w:t>
      </w:r>
      <w:r w:rsidR="00DB2AE3">
        <w:t xml:space="preserve">a possible solution to this patent software dilemma: updating the </w:t>
      </w:r>
      <w:r w:rsidR="008F5FB1">
        <w:t xml:space="preserve">United States </w:t>
      </w:r>
      <w:r w:rsidR="00DB2AE3">
        <w:t>patent system</w:t>
      </w:r>
      <w:r w:rsidR="008F5FB1">
        <w:t>.</w:t>
      </w:r>
      <w:r w:rsidR="00DB2AE3">
        <w:t xml:space="preserve"> </w:t>
      </w:r>
    </w:p>
    <w:p w14:paraId="74A1374B" w14:textId="3B31F9F3" w:rsidR="008E7715" w:rsidRDefault="008E7715" w:rsidP="00BF0CFC">
      <w:pPr>
        <w:pStyle w:val="Heading1"/>
        <w:numPr>
          <w:ilvl w:val="0"/>
          <w:numId w:val="2"/>
        </w:numPr>
        <w:spacing w:line="480" w:lineRule="auto"/>
        <w:ind w:left="720"/>
      </w:pPr>
      <w:r>
        <w:t>BACKGROUND</w:t>
      </w:r>
    </w:p>
    <w:p w14:paraId="20325A4A" w14:textId="33DCC989" w:rsidR="00727014" w:rsidRDefault="008E7715" w:rsidP="00BF0CFC">
      <w:pPr>
        <w:spacing w:line="480" w:lineRule="auto"/>
      </w:pPr>
      <w:r>
        <w:tab/>
        <w:t xml:space="preserve">The United States Patent System </w:t>
      </w:r>
      <w:r w:rsidR="005960C9">
        <w:t xml:space="preserve">is rooted </w:t>
      </w:r>
      <w:r>
        <w:t>in the Constitution</w:t>
      </w:r>
      <w:r>
        <w:rPr>
          <w:rStyle w:val="FootnoteReference"/>
        </w:rPr>
        <w:footnoteReference w:id="7"/>
      </w:r>
      <w:r w:rsidR="00E07FB0">
        <w:t xml:space="preserve"> and first laid out </w:t>
      </w:r>
      <w:r w:rsidR="007B4360">
        <w:t xml:space="preserve">in law </w:t>
      </w:r>
      <w:r w:rsidR="00E07FB0">
        <w:t xml:space="preserve">by the </w:t>
      </w:r>
      <w:r w:rsidR="009E4DC9">
        <w:t>Patent Act of 1790.</w:t>
      </w:r>
      <w:r w:rsidR="00BF5DE2">
        <w:t xml:space="preserve"> </w:t>
      </w:r>
      <w:r w:rsidR="007D39A4">
        <w:t>The</w:t>
      </w:r>
      <w:r w:rsidR="00BF5DE2">
        <w:t xml:space="preserve"> Act dictated that</w:t>
      </w:r>
      <w:r w:rsidR="008C36BC">
        <w:t xml:space="preserve"> </w:t>
      </w:r>
      <w:r w:rsidR="00AA3DD6">
        <w:t xml:space="preserve">patents </w:t>
      </w:r>
      <w:r w:rsidR="00BF5DE2">
        <w:t xml:space="preserve">be </w:t>
      </w:r>
      <w:r w:rsidR="00AA3DD6">
        <w:t xml:space="preserve">granted </w:t>
      </w:r>
      <w:r w:rsidR="004C484F">
        <w:t xml:space="preserve">by a board composing </w:t>
      </w:r>
      <w:r w:rsidR="00104DD9">
        <w:t xml:space="preserve">only three members: </w:t>
      </w:r>
      <w:proofErr w:type="gramStart"/>
      <w:r w:rsidR="004C484F">
        <w:t>the</w:t>
      </w:r>
      <w:proofErr w:type="gramEnd"/>
      <w:r w:rsidR="004C484F">
        <w:t xml:space="preserve"> Secretary of State, Secretary of War and Attorney General</w:t>
      </w:r>
      <w:r w:rsidR="007D39A4">
        <w:t>.</w:t>
      </w:r>
      <w:r w:rsidR="000D2F64">
        <w:rPr>
          <w:rStyle w:val="FootnoteReference"/>
        </w:rPr>
        <w:footnoteReference w:id="8"/>
      </w:r>
      <w:r w:rsidR="004C37FD">
        <w:t xml:space="preserve"> Patent law has grown in scope considerably and</w:t>
      </w:r>
      <w:r w:rsidR="003F7D16">
        <w:t xml:space="preserve"> </w:t>
      </w:r>
      <w:r w:rsidR="004C37FD">
        <w:t>t</w:t>
      </w:r>
      <w:r w:rsidR="00841AA4">
        <w:t xml:space="preserve">oday is codified in </w:t>
      </w:r>
      <w:r w:rsidR="00AE489E">
        <w:t xml:space="preserve">Title </w:t>
      </w:r>
      <w:r w:rsidR="00841AA4">
        <w:t xml:space="preserve">35 </w:t>
      </w:r>
      <w:r w:rsidR="00F8042C">
        <w:t>of the United States Code</w:t>
      </w:r>
      <w:r w:rsidR="00841AA4">
        <w:t xml:space="preserve"> </w:t>
      </w:r>
      <w:r w:rsidR="00E562D6">
        <w:t>as</w:t>
      </w:r>
      <w:r w:rsidR="00906576">
        <w:t xml:space="preserve"> enacted </w:t>
      </w:r>
      <w:r w:rsidR="00447703">
        <w:t>Congress in 1952</w:t>
      </w:r>
      <w:r w:rsidR="003836FF">
        <w:t>.</w:t>
      </w:r>
      <w:r w:rsidR="00514E8A">
        <w:rPr>
          <w:rStyle w:val="FootnoteReference"/>
        </w:rPr>
        <w:footnoteReference w:id="9"/>
      </w:r>
      <w:r w:rsidR="00841AA4">
        <w:t xml:space="preserve"> </w:t>
      </w:r>
      <w:r w:rsidR="00F40A20">
        <w:t xml:space="preserve">Rather than </w:t>
      </w:r>
      <w:r w:rsidR="00657F19">
        <w:t>a small board, p</w:t>
      </w:r>
      <w:r w:rsidR="003F7D16">
        <w:t xml:space="preserve">atent applications are </w:t>
      </w:r>
      <w:r w:rsidR="00A14450">
        <w:t>scrutinized</w:t>
      </w:r>
      <w:r w:rsidR="003F7D16">
        <w:t xml:space="preserve"> </w:t>
      </w:r>
      <w:r w:rsidR="00497308">
        <w:t xml:space="preserve">by examiners at the </w:t>
      </w:r>
      <w:r w:rsidR="00267940">
        <w:t>USPTO.</w:t>
      </w:r>
      <w:r w:rsidR="00497308">
        <w:t xml:space="preserve"> </w:t>
      </w:r>
      <w:r w:rsidR="00A27743">
        <w:t xml:space="preserve">35 U.S.C. § 101 </w:t>
      </w:r>
      <w:r w:rsidR="00B746B7">
        <w:t>states that patents may be obtained for</w:t>
      </w:r>
      <w:r w:rsidR="007B5C08">
        <w:t xml:space="preserve"> “</w:t>
      </w:r>
      <w:r w:rsidR="007B5C08" w:rsidRPr="007B5C08">
        <w:t>any new and useful process, machine, manufacture, or composition of matter, or any new and useful improvement thereof</w:t>
      </w:r>
      <w:r w:rsidR="00015828">
        <w:t xml:space="preserve">”. </w:t>
      </w:r>
      <w:r w:rsidR="00225A66">
        <w:t xml:space="preserve">Despite </w:t>
      </w:r>
      <w:r w:rsidR="00D14C5A">
        <w:t>the inclusiveness of this</w:t>
      </w:r>
      <w:r w:rsidR="006E73EF">
        <w:t xml:space="preserve"> broad statement, </w:t>
      </w:r>
      <w:r w:rsidR="00D14C5A">
        <w:t>patentability and patent eligibility</w:t>
      </w:r>
      <w:r w:rsidR="00A92CF2">
        <w:t xml:space="preserve"> is limited by both statute and judicial rulings.</w:t>
      </w:r>
      <w:r w:rsidR="00A92CF2">
        <w:rPr>
          <w:rStyle w:val="FootnoteReference"/>
        </w:rPr>
        <w:footnoteReference w:id="10"/>
      </w:r>
      <w:r w:rsidR="00A92CF2">
        <w:t xml:space="preserve"> </w:t>
      </w:r>
      <w:r w:rsidR="0054099B">
        <w:t xml:space="preserve">Patentability </w:t>
      </w:r>
      <w:r w:rsidR="003F04C9">
        <w:t>describes the standards to receive a patent, requiring</w:t>
      </w:r>
      <w:r w:rsidR="0054099B">
        <w:t xml:space="preserve"> a discovery be novel, nonobvious, and the inventor must disclose their invention with detail.</w:t>
      </w:r>
      <w:r w:rsidR="0054099B">
        <w:rPr>
          <w:rStyle w:val="FootnoteReference"/>
        </w:rPr>
        <w:footnoteReference w:id="11"/>
      </w:r>
      <w:r w:rsidR="0054099B">
        <w:t xml:space="preserve"> </w:t>
      </w:r>
      <w:r w:rsidR="00A432A4">
        <w:t>Patent eligib</w:t>
      </w:r>
      <w:r w:rsidR="00302FAA">
        <w:t>ility</w:t>
      </w:r>
      <w:r w:rsidR="00523272">
        <w:t xml:space="preserve"> </w:t>
      </w:r>
      <w:r w:rsidR="003F04C9">
        <w:t>concerns</w:t>
      </w:r>
      <w:r w:rsidR="00523272">
        <w:t xml:space="preserve"> what subject matter </w:t>
      </w:r>
      <w:r w:rsidR="00A864CA">
        <w:t>warrants the incentives for invention and protections provided by patent law</w:t>
      </w:r>
      <w:r w:rsidR="0054099B">
        <w:t>.</w:t>
      </w:r>
      <w:r w:rsidR="00543F69">
        <w:rPr>
          <w:rStyle w:val="FootnoteReference"/>
        </w:rPr>
        <w:footnoteReference w:id="12"/>
      </w:r>
      <w:r w:rsidR="00302FAA">
        <w:t xml:space="preserve"> </w:t>
      </w:r>
      <w:r w:rsidR="00FF55EB">
        <w:t>These two stand</w:t>
      </w:r>
      <w:r w:rsidR="00C25E59">
        <w:t>ards are closely related and are often conflated by courts when patent validity is considered.</w:t>
      </w:r>
      <w:r w:rsidR="00C25E59">
        <w:rPr>
          <w:rStyle w:val="FootnoteReference"/>
        </w:rPr>
        <w:footnoteReference w:id="13"/>
      </w:r>
      <w:r w:rsidR="00C25E59">
        <w:t xml:space="preserve"> </w:t>
      </w:r>
      <w:r w:rsidR="00B04C28">
        <w:t xml:space="preserve">35 U.S.C. </w:t>
      </w:r>
      <w:r w:rsidR="004C078D">
        <w:t xml:space="preserve">§ 101 </w:t>
      </w:r>
      <w:r w:rsidR="00B04C28">
        <w:t>forms the basis of patent eligibility</w:t>
      </w:r>
      <w:r w:rsidR="004C078D">
        <w:t>,</w:t>
      </w:r>
      <w:r w:rsidR="004C078D">
        <w:rPr>
          <w:rStyle w:val="FootnoteReference"/>
        </w:rPr>
        <w:footnoteReference w:id="14"/>
      </w:r>
      <w:r w:rsidR="004C078D">
        <w:t xml:space="preserve"> and t</w:t>
      </w:r>
      <w:r w:rsidR="00D03938">
        <w:t xml:space="preserve">he judiciary holds that </w:t>
      </w:r>
      <w:r w:rsidR="004C078D">
        <w:t xml:space="preserve">it </w:t>
      </w:r>
      <w:r w:rsidR="00D03938">
        <w:t>contains</w:t>
      </w:r>
      <w:r w:rsidR="00653704">
        <w:t xml:space="preserve"> an implicit exception </w:t>
      </w:r>
      <w:r w:rsidR="00653704">
        <w:lastRenderedPageBreak/>
        <w:t>disallowing</w:t>
      </w:r>
      <w:r w:rsidR="007470BF">
        <w:t xml:space="preserve"> patents for l</w:t>
      </w:r>
      <w:r w:rsidR="00162B75">
        <w:t>aws of nature, natural phenomena, and abstract ideas.</w:t>
      </w:r>
      <w:r w:rsidR="00162B75">
        <w:rPr>
          <w:rStyle w:val="FootnoteReference"/>
        </w:rPr>
        <w:footnoteReference w:id="15"/>
      </w:r>
      <w:r w:rsidR="00791C94">
        <w:t xml:space="preserve"> </w:t>
      </w:r>
      <w:r w:rsidR="007470BF">
        <w:t xml:space="preserve">These three exceptions </w:t>
      </w:r>
      <w:r w:rsidR="009833EE">
        <w:t>prevent monopolies on foundational laws and concepts that many technologies may depend on</w:t>
      </w:r>
      <w:r w:rsidR="00281541">
        <w:t xml:space="preserve">, </w:t>
      </w:r>
      <w:r w:rsidR="00FB5B5C">
        <w:t>insuring that the limited monopoly provided for by law does not hinder innovation</w:t>
      </w:r>
      <w:r w:rsidR="00A81947">
        <w:t>.</w:t>
      </w:r>
      <w:r w:rsidR="00A81947">
        <w:rPr>
          <w:rStyle w:val="FootnoteReference"/>
        </w:rPr>
        <w:footnoteReference w:id="16"/>
      </w:r>
      <w:r w:rsidR="001360AE">
        <w:t xml:space="preserve"> </w:t>
      </w:r>
      <w:r w:rsidR="00FA791C">
        <w:t xml:space="preserve">However too broad an interpretation of these exceptions </w:t>
      </w:r>
      <w:r w:rsidR="008C5C63">
        <w:t xml:space="preserve">would also </w:t>
      </w:r>
      <w:r w:rsidR="00473EF6">
        <w:t>imped</w:t>
      </w:r>
      <w:r w:rsidR="008C5C63">
        <w:t>e the</w:t>
      </w:r>
      <w:r w:rsidR="00FA791C">
        <w:t xml:space="preserve"> </w:t>
      </w:r>
      <w:r w:rsidR="009C377C">
        <w:t>patenting of important discoveries, therefore</w:t>
      </w:r>
      <w:r w:rsidR="00F701C5">
        <w:t xml:space="preserve"> </w:t>
      </w:r>
      <w:r w:rsidR="007531E8">
        <w:t xml:space="preserve">an invention or discovery </w:t>
      </w:r>
      <w:r w:rsidR="00510902">
        <w:t>can</w:t>
      </w:r>
      <w:r w:rsidR="007531E8">
        <w:t xml:space="preserve">not </w:t>
      </w:r>
      <w:r w:rsidR="00510902">
        <w:t xml:space="preserve">be </w:t>
      </w:r>
      <w:r w:rsidR="007531E8">
        <w:t xml:space="preserve">unpatentable </w:t>
      </w:r>
      <w:r w:rsidR="005611DD">
        <w:t xml:space="preserve">merely </w:t>
      </w:r>
      <w:r w:rsidR="007531E8">
        <w:t xml:space="preserve">because it </w:t>
      </w:r>
      <w:r w:rsidR="00876AF9">
        <w:t xml:space="preserve">contains natural phenomena or </w:t>
      </w:r>
      <w:r w:rsidR="00CE6365">
        <w:t>algorithm.</w:t>
      </w:r>
      <w:r w:rsidR="00CE6365">
        <w:rPr>
          <w:rStyle w:val="FootnoteReference"/>
        </w:rPr>
        <w:footnoteReference w:id="17"/>
      </w:r>
      <w:r w:rsidR="00A17CAD">
        <w:t xml:space="preserve"> </w:t>
      </w:r>
    </w:p>
    <w:p w14:paraId="136AA0EB" w14:textId="3095B162" w:rsidR="00C837DD" w:rsidRDefault="000C0C06" w:rsidP="00BF0CFC">
      <w:pPr>
        <w:pStyle w:val="Heading2"/>
        <w:widowControl w:val="0"/>
        <w:numPr>
          <w:ilvl w:val="0"/>
          <w:numId w:val="4"/>
        </w:numPr>
        <w:spacing w:line="480" w:lineRule="auto"/>
      </w:pPr>
      <w:r>
        <w:t xml:space="preserve">Patent Eligibility: </w:t>
      </w:r>
      <w:r w:rsidR="00A83E83">
        <w:t>Laws of Nature</w:t>
      </w:r>
      <w:r>
        <w:t>, Natural Phenomena, and Abstract Ideas</w:t>
      </w:r>
    </w:p>
    <w:p w14:paraId="670A76B8" w14:textId="6F433B3B" w:rsidR="00BB59C6" w:rsidRDefault="008B6215" w:rsidP="00BF0CFC">
      <w:pPr>
        <w:spacing w:line="480" w:lineRule="auto"/>
        <w:ind w:firstLine="720"/>
      </w:pPr>
      <w:commentRangeStart w:id="0"/>
      <w:r>
        <w:t xml:space="preserve">These </w:t>
      </w:r>
      <w:r w:rsidR="009C560A">
        <w:t xml:space="preserve">three exceptions </w:t>
      </w:r>
      <w:r w:rsidR="007328A4">
        <w:t>not always clearly defined or distinct from one another</w:t>
      </w:r>
      <w:r w:rsidR="00713A69">
        <w:t xml:space="preserve">. Laws of nature </w:t>
      </w:r>
      <w:r w:rsidR="00976316">
        <w:t>in</w:t>
      </w:r>
      <w:r w:rsidR="00BC7A58">
        <w:t xml:space="preserve">clude well known </w:t>
      </w:r>
      <w:r w:rsidR="00B04C07">
        <w:t xml:space="preserve">laws of physics such as gravity or Einstein’s famous </w:t>
      </w:r>
      <w:r w:rsidR="00067B22">
        <w:t>“</w:t>
      </w:r>
      <w:r w:rsidR="00B04C07">
        <w:t>E = mc</w:t>
      </w:r>
      <w:r w:rsidR="00B04C07">
        <w:rPr>
          <w:vertAlign w:val="superscript"/>
        </w:rPr>
        <w:t>2</w:t>
      </w:r>
      <w:r w:rsidR="00067B22">
        <w:t>”</w:t>
      </w:r>
      <w:r w:rsidR="002A4D95">
        <w:t>.</w:t>
      </w:r>
      <w:r w:rsidR="00383A40">
        <w:rPr>
          <w:rStyle w:val="FootnoteReference"/>
        </w:rPr>
        <w:footnoteReference w:id="18"/>
      </w:r>
      <w:r w:rsidR="002A4D95">
        <w:t xml:space="preserve"> N</w:t>
      </w:r>
      <w:r w:rsidR="00713A69">
        <w:t xml:space="preserve">atural phenomena </w:t>
      </w:r>
      <w:r w:rsidR="00031B0C">
        <w:t xml:space="preserve">include </w:t>
      </w:r>
      <w:r w:rsidR="002A4D95">
        <w:t xml:space="preserve">more physical natural </w:t>
      </w:r>
      <w:r w:rsidR="00383A40">
        <w:t xml:space="preserve">occurrences such as </w:t>
      </w:r>
      <w:r w:rsidR="00031B0C">
        <w:t>plants, minerals, lightning</w:t>
      </w:r>
      <w:r w:rsidR="001804AF">
        <w:t>.</w:t>
      </w:r>
      <w:r w:rsidR="00067B22">
        <w:rPr>
          <w:rStyle w:val="FootnoteReference"/>
        </w:rPr>
        <w:footnoteReference w:id="19"/>
      </w:r>
      <w:r w:rsidR="00067B22">
        <w:t xml:space="preserve"> </w:t>
      </w:r>
      <w:r w:rsidR="00F77903">
        <w:t xml:space="preserve">The exceptions extend to even newly discovered uses of </w:t>
      </w:r>
      <w:r w:rsidR="00D73A64">
        <w:t>naturally occurring phenomenon</w:t>
      </w:r>
      <w:r w:rsidR="007B3E6D">
        <w:t>.</w:t>
      </w:r>
      <w:r w:rsidR="007B3E6D">
        <w:rPr>
          <w:rStyle w:val="FootnoteReference"/>
        </w:rPr>
        <w:footnoteReference w:id="20"/>
      </w:r>
      <w:r w:rsidR="00D73A64">
        <w:t xml:space="preserve"> </w:t>
      </w:r>
      <w:r w:rsidR="003877B6">
        <w:t xml:space="preserve">In </w:t>
      </w:r>
      <w:r w:rsidR="003877B6">
        <w:rPr>
          <w:i/>
        </w:rPr>
        <w:t xml:space="preserve">Funk Brothers Seed Co. v. </w:t>
      </w:r>
      <w:proofErr w:type="spellStart"/>
      <w:r w:rsidR="003877B6">
        <w:rPr>
          <w:i/>
        </w:rPr>
        <w:t>Kalo</w:t>
      </w:r>
      <w:proofErr w:type="spellEnd"/>
      <w:r w:rsidR="003877B6">
        <w:rPr>
          <w:i/>
        </w:rPr>
        <w:t xml:space="preserve"> Inoculant Co.</w:t>
      </w:r>
      <w:r w:rsidR="00692CA8">
        <w:rPr>
          <w:sz w:val="22"/>
        </w:rPr>
        <w:t xml:space="preserve"> [finish citation]</w:t>
      </w:r>
      <w:r w:rsidR="00A52F44">
        <w:rPr>
          <w:sz w:val="22"/>
        </w:rPr>
        <w:t xml:space="preserve">, </w:t>
      </w:r>
      <w:r w:rsidR="00686150">
        <w:rPr>
          <w:sz w:val="22"/>
        </w:rPr>
        <w:t xml:space="preserve">the disputed discovery was </w:t>
      </w:r>
      <w:r w:rsidR="00191AAC">
        <w:rPr>
          <w:sz w:val="22"/>
        </w:rPr>
        <w:t>a mixture of bacteria for inoculating the seeds of several different types of plants</w:t>
      </w:r>
      <w:r w:rsidR="001A4487">
        <w:rPr>
          <w:sz w:val="22"/>
        </w:rPr>
        <w:t xml:space="preserve"> at once</w:t>
      </w:r>
      <w:r w:rsidR="00CD5BC9">
        <w:rPr>
          <w:sz w:val="22"/>
        </w:rPr>
        <w:t>, rather than separately</w:t>
      </w:r>
      <w:r w:rsidR="00713C65">
        <w:t>.</w:t>
      </w:r>
      <w:r w:rsidR="004F2C41">
        <w:rPr>
          <w:rStyle w:val="FootnoteReference"/>
        </w:rPr>
        <w:footnoteReference w:id="21"/>
      </w:r>
      <w:r w:rsidR="003C07EF">
        <w:t xml:space="preserve"> It was ruled to be not eligible for patent and therefor</w:t>
      </w:r>
      <w:r w:rsidR="00BB59C6">
        <w:t>e</w:t>
      </w:r>
      <w:r w:rsidR="003C07EF">
        <w:t xml:space="preserve"> no infringement because the bacteria had not been altered</w:t>
      </w:r>
      <w:r w:rsidR="00BB59C6">
        <w:t>; it</w:t>
      </w:r>
      <w:r w:rsidR="003C07EF">
        <w:t xml:space="preserve"> was a natural pheno</w:t>
      </w:r>
      <w:r w:rsidR="003F7C4C">
        <w:t>menon.</w:t>
      </w:r>
      <w:r w:rsidR="003F7C4C">
        <w:rPr>
          <w:rStyle w:val="FootnoteReference"/>
        </w:rPr>
        <w:footnoteReference w:id="22"/>
      </w:r>
      <w:r w:rsidR="00713C65">
        <w:t xml:space="preserve"> </w:t>
      </w:r>
      <w:r w:rsidR="003F7C4C">
        <w:t xml:space="preserve">Conversely, in </w:t>
      </w:r>
      <w:r w:rsidR="00245CB1">
        <w:rPr>
          <w:i/>
        </w:rPr>
        <w:t>Diamond v. Chakrabarty</w:t>
      </w:r>
      <w:r w:rsidR="00245CB1">
        <w:t xml:space="preserve">, a </w:t>
      </w:r>
      <w:r w:rsidR="00930A74">
        <w:t>new species of bacteria was created that digested oil</w:t>
      </w:r>
      <w:r w:rsidR="000A2E03">
        <w:t xml:space="preserve"> was upheld to </w:t>
      </w:r>
      <w:r w:rsidR="000A2E03">
        <w:lastRenderedPageBreak/>
        <w:t>be patentable because it was not naturally occurring</w:t>
      </w:r>
      <w:r w:rsidR="00FD04BF">
        <w:t xml:space="preserve"> and it was unpatentable simply because it was a living organism</w:t>
      </w:r>
      <w:r w:rsidR="000A2E03">
        <w:t>.</w:t>
      </w:r>
      <w:r w:rsidR="000A2E03">
        <w:rPr>
          <w:rStyle w:val="FootnoteReference"/>
        </w:rPr>
        <w:footnoteReference w:id="23"/>
      </w:r>
      <w:r w:rsidR="006F58B5">
        <w:rPr>
          <w:i/>
        </w:rPr>
        <w:t xml:space="preserve"> </w:t>
      </w:r>
      <w:r w:rsidR="003766C1">
        <w:t xml:space="preserve">The lines are not so clearly drawn regarding abstract ideas. </w:t>
      </w:r>
      <w:commentRangeEnd w:id="0"/>
      <w:r w:rsidR="000E17C4">
        <w:rPr>
          <w:rStyle w:val="CommentReference"/>
        </w:rPr>
        <w:commentReference w:id="0"/>
      </w:r>
    </w:p>
    <w:p w14:paraId="1AF98C2B" w14:textId="55805449" w:rsidR="00785157" w:rsidRDefault="00A34E21" w:rsidP="00BF0CFC">
      <w:pPr>
        <w:spacing w:line="480" w:lineRule="auto"/>
        <w:ind w:firstLine="720"/>
      </w:pPr>
      <w:r>
        <w:t xml:space="preserve">The word “abstract” </w:t>
      </w:r>
      <w:r w:rsidR="002E3F2B">
        <w:t>describes items that lack physical or concrete existence.</w:t>
      </w:r>
      <w:r w:rsidR="002E3F2B">
        <w:rPr>
          <w:rStyle w:val="FootnoteReference"/>
        </w:rPr>
        <w:footnoteReference w:id="24"/>
      </w:r>
      <w:r w:rsidR="002E3F2B">
        <w:t xml:space="preserve"> </w:t>
      </w:r>
      <w:r w:rsidR="002F506B">
        <w:t>So perhaps it is fitting that t</w:t>
      </w:r>
      <w:r w:rsidR="00C02FBB">
        <w:t>he Supreme Court has not defined “abstract idea”</w:t>
      </w:r>
      <w:r w:rsidR="002F506B">
        <w:t xml:space="preserve">. </w:t>
      </w:r>
      <w:r w:rsidR="00C31118">
        <w:t>This has created difficulty and varying tests over the years to determine</w:t>
      </w:r>
      <w:r w:rsidR="00C90866">
        <w:t xml:space="preserve"> when patent contains an “abstract idea.</w:t>
      </w:r>
      <w:r w:rsidR="00484BCE">
        <w:t>”</w:t>
      </w:r>
      <w:r w:rsidR="00484BCE">
        <w:rPr>
          <w:rStyle w:val="FootnoteReference"/>
        </w:rPr>
        <w:footnoteReference w:id="25"/>
      </w:r>
      <w:r w:rsidR="00C02FBB">
        <w:t xml:space="preserve"> </w:t>
      </w:r>
      <w:r w:rsidR="00C90866">
        <w:t>Today</w:t>
      </w:r>
      <w:r w:rsidR="00C02FBB">
        <w:t xml:space="preserve"> there </w:t>
      </w:r>
      <w:r w:rsidR="00C90866">
        <w:t xml:space="preserve">is no </w:t>
      </w:r>
      <w:r w:rsidR="00C02FBB">
        <w:t xml:space="preserve">test for </w:t>
      </w:r>
      <w:r w:rsidR="009963E0">
        <w:t>discerning</w:t>
      </w:r>
      <w:r w:rsidR="0073648C">
        <w:t xml:space="preserve"> abstract ideas</w:t>
      </w:r>
      <w:commentRangeStart w:id="1"/>
      <w:r w:rsidR="009963E0">
        <w:rPr>
          <w:rStyle w:val="FootnoteReference"/>
        </w:rPr>
        <w:footnoteReference w:id="26"/>
      </w:r>
      <w:commentRangeEnd w:id="1"/>
      <w:r w:rsidR="00DC3FEE">
        <w:rPr>
          <w:rStyle w:val="CommentReference"/>
        </w:rPr>
        <w:commentReference w:id="1"/>
      </w:r>
      <w:r w:rsidR="009963E0">
        <w:t xml:space="preserve"> </w:t>
      </w:r>
      <w:r w:rsidR="0073648C">
        <w:t xml:space="preserve">and </w:t>
      </w:r>
      <w:r w:rsidR="00D91558">
        <w:t>e</w:t>
      </w:r>
      <w:r w:rsidR="00112247">
        <w:t>ach patent must be considered on a case by case basis.</w:t>
      </w:r>
      <w:r w:rsidR="00112247">
        <w:rPr>
          <w:rStyle w:val="FootnoteReference"/>
        </w:rPr>
        <w:footnoteReference w:id="27"/>
      </w:r>
      <w:r w:rsidR="0083471A">
        <w:t xml:space="preserve"> </w:t>
      </w:r>
      <w:r w:rsidR="00F66E0D">
        <w:t xml:space="preserve">The </w:t>
      </w:r>
      <w:r w:rsidR="009B2B47">
        <w:t>Court has also held that</w:t>
      </w:r>
      <w:r w:rsidR="001C4CA1">
        <w:t xml:space="preserve"> an</w:t>
      </w:r>
      <w:r w:rsidR="009B2B47">
        <w:t xml:space="preserve"> idea</w:t>
      </w:r>
      <w:r w:rsidR="00837B6F">
        <w:t xml:space="preserve"> is not patentable.</w:t>
      </w:r>
      <w:r w:rsidR="001C4CA1">
        <w:rPr>
          <w:rStyle w:val="FootnoteReference"/>
        </w:rPr>
        <w:footnoteReference w:id="28"/>
      </w:r>
      <w:r w:rsidR="001C4CA1">
        <w:t xml:space="preserve"> </w:t>
      </w:r>
      <w:commentRangeStart w:id="2"/>
      <w:r w:rsidR="007040C2">
        <w:t xml:space="preserve">Algorithms and mathematical </w:t>
      </w:r>
      <w:r w:rsidR="000B4F42">
        <w:t>formulas</w:t>
      </w:r>
      <w:r w:rsidR="007040C2">
        <w:t xml:space="preserve"> </w:t>
      </w:r>
      <w:r w:rsidR="00B7787F">
        <w:t xml:space="preserve">are </w:t>
      </w:r>
      <w:r w:rsidR="009654AE">
        <w:t>categorized as</w:t>
      </w:r>
      <w:r w:rsidR="007040C2">
        <w:t xml:space="preserve"> abstract ideas</w:t>
      </w:r>
      <w:r w:rsidR="00727DD8">
        <w:t xml:space="preserve">, </w:t>
      </w:r>
      <w:r w:rsidR="009654AE">
        <w:t xml:space="preserve">but as laws of nature are frequently captured in formulaic terms, the exceptions </w:t>
      </w:r>
      <w:r w:rsidR="00C2331F">
        <w:t>often overlap</w:t>
      </w:r>
      <w:r w:rsidR="00AB7BFF">
        <w:t>.</w:t>
      </w:r>
      <w:r w:rsidR="00AB7BFF">
        <w:rPr>
          <w:rStyle w:val="FootnoteReference"/>
        </w:rPr>
        <w:footnoteReference w:id="29"/>
      </w:r>
      <w:r w:rsidR="000B4F42">
        <w:t xml:space="preserve"> </w:t>
      </w:r>
      <w:commentRangeEnd w:id="2"/>
      <w:r w:rsidR="003E6D00">
        <w:rPr>
          <w:rStyle w:val="CommentReference"/>
        </w:rPr>
        <w:commentReference w:id="2"/>
      </w:r>
      <w:r w:rsidR="00463D5B">
        <w:t xml:space="preserve">Patents not ineligible merely because </w:t>
      </w:r>
      <w:r w:rsidR="009B58C5">
        <w:t xml:space="preserve"> they rely on a law of nature or algorithm,</w:t>
      </w:r>
      <w:r w:rsidR="009B58C5">
        <w:rPr>
          <w:rStyle w:val="FootnoteReference"/>
        </w:rPr>
        <w:footnoteReference w:id="30"/>
      </w:r>
      <w:r w:rsidR="00CF3DCE">
        <w:t xml:space="preserve"> but to be patentable </w:t>
      </w:r>
      <w:r w:rsidR="000448B7">
        <w:t xml:space="preserve">inventors must do than describe the idea or law </w:t>
      </w:r>
      <w:r w:rsidR="00400744">
        <w:t>and append the words “apply it”.</w:t>
      </w:r>
      <w:r w:rsidR="00400744">
        <w:rPr>
          <w:rStyle w:val="FootnoteReference"/>
        </w:rPr>
        <w:footnoteReference w:id="31"/>
      </w:r>
      <w:r w:rsidR="00400744">
        <w:t xml:space="preserve"> </w:t>
      </w:r>
      <w:r w:rsidR="0053736E">
        <w:t xml:space="preserve">Limiting formulas to a particular technological </w:t>
      </w:r>
      <w:r w:rsidR="000B0A5E">
        <w:t>environment</w:t>
      </w:r>
      <w:r w:rsidR="0053736E">
        <w:t xml:space="preserve"> will also not make </w:t>
      </w:r>
      <w:r w:rsidR="004C5077">
        <w:t>them patentable.</w:t>
      </w:r>
      <w:r w:rsidR="004C5077">
        <w:rPr>
          <w:rStyle w:val="FootnoteReference"/>
        </w:rPr>
        <w:footnoteReference w:id="32"/>
      </w:r>
      <w:r w:rsidR="004C5077">
        <w:t xml:space="preserve"> </w:t>
      </w:r>
      <w:r w:rsidR="000B4F42">
        <w:t xml:space="preserve">However, it is not impossible to receive patents that concern </w:t>
      </w:r>
      <w:r w:rsidR="00B44F75">
        <w:t>mathematical formulas.</w:t>
      </w:r>
      <w:r w:rsidR="000B0A5E">
        <w:t xml:space="preserve"> </w:t>
      </w:r>
      <w:r w:rsidR="00280856">
        <w:t xml:space="preserve">Patents must have additional steps outside of the </w:t>
      </w:r>
      <w:r w:rsidR="00280856">
        <w:lastRenderedPageBreak/>
        <w:t xml:space="preserve">patent ineligible concept that integrate the equation into the </w:t>
      </w:r>
      <w:proofErr w:type="gramStart"/>
      <w:r w:rsidR="00280856">
        <w:t>process as a whole</w:t>
      </w:r>
      <w:proofErr w:type="gramEnd"/>
      <w:r w:rsidR="00764F51">
        <w:t>.</w:t>
      </w:r>
      <w:r w:rsidR="00764F51">
        <w:rPr>
          <w:rStyle w:val="FootnoteReference"/>
        </w:rPr>
        <w:footnoteReference w:id="33"/>
      </w:r>
      <w:r w:rsidR="00764F51">
        <w:t xml:space="preserve"> They must have </w:t>
      </w:r>
      <w:r w:rsidR="00CE2298">
        <w:t>an inventive concept outside of the patent ineligible idea.</w:t>
      </w:r>
      <w:r w:rsidR="00CE2298">
        <w:rPr>
          <w:rStyle w:val="FootnoteReference"/>
        </w:rPr>
        <w:footnoteReference w:id="34"/>
      </w:r>
      <w:r w:rsidR="00CE2298">
        <w:t xml:space="preserve"> </w:t>
      </w:r>
    </w:p>
    <w:p w14:paraId="6D04989B" w14:textId="77777777" w:rsidR="00090802" w:rsidRDefault="00700B17" w:rsidP="00BF0CFC">
      <w:pPr>
        <w:spacing w:line="480" w:lineRule="auto"/>
        <w:ind w:firstLine="720"/>
      </w:pPr>
      <w:r>
        <w:t xml:space="preserve">Two </w:t>
      </w:r>
      <w:r w:rsidR="00FD26EF">
        <w:t>Supreme</w:t>
      </w:r>
      <w:r>
        <w:t xml:space="preserve"> Court cases </w:t>
      </w:r>
      <w:commentRangeStart w:id="3"/>
      <w:r>
        <w:t xml:space="preserve">personify </w:t>
      </w:r>
      <w:commentRangeEnd w:id="3"/>
      <w:r w:rsidR="00FD26EF">
        <w:rPr>
          <w:rStyle w:val="CommentReference"/>
        </w:rPr>
        <w:commentReference w:id="3"/>
      </w:r>
      <w:r>
        <w:t xml:space="preserve">these differences. </w:t>
      </w:r>
      <w:r w:rsidR="00C506A8" w:rsidRPr="00706CD2">
        <w:t>In 1972</w:t>
      </w:r>
      <w:r w:rsidR="00F245E7">
        <w:t>, before the rise of the digital age,</w:t>
      </w:r>
      <w:r w:rsidR="00C506A8" w:rsidRPr="00706CD2">
        <w:t xml:space="preserve"> the Supreme Court heard arguments regarding </w:t>
      </w:r>
      <w:r w:rsidR="00041D04" w:rsidRPr="00706CD2">
        <w:t>a method for co</w:t>
      </w:r>
      <w:r w:rsidR="000D191A" w:rsidRPr="00706CD2">
        <w:t>n</w:t>
      </w:r>
      <w:r w:rsidR="00041D04" w:rsidRPr="00706CD2">
        <w:t xml:space="preserve">verting binary cored decimal to </w:t>
      </w:r>
      <w:r w:rsidR="005E524F" w:rsidRPr="00706CD2">
        <w:t xml:space="preserve">pure </w:t>
      </w:r>
      <w:r w:rsidR="00041D04" w:rsidRPr="00706CD2">
        <w:t>binary</w:t>
      </w:r>
      <w:r w:rsidR="00FB1089">
        <w:t xml:space="preserve">. </w:t>
      </w:r>
      <w:r w:rsidR="00346002">
        <w:t xml:space="preserve">In binary encoded decimal (BCD) </w:t>
      </w:r>
      <w:r w:rsidR="00A03E0F" w:rsidRPr="00706CD2">
        <w:t>each digit of a number is represented by a four-digit binary segment</w:t>
      </w:r>
      <w:r w:rsidR="00A03E0F">
        <w:t xml:space="preserve"> e.g. 534 would be represented as 0101-0011-0100, where 0101, 0011, and 0100 are the numbers 5, 3, and 4 respectively</w:t>
      </w:r>
      <w:r w:rsidR="00E25E5D">
        <w:t xml:space="preserve"> in pure binary</w:t>
      </w:r>
      <w:r w:rsidR="00346002">
        <w:t>;</w:t>
      </w:r>
      <w:r w:rsidR="00A03E0F">
        <w:t xml:space="preserve"> in pure binary</w:t>
      </w:r>
      <w:r w:rsidR="00E25E5D">
        <w:t xml:space="preserve"> </w:t>
      </w:r>
      <w:r w:rsidR="00FB1089">
        <w:t xml:space="preserve">534 would be represented as </w:t>
      </w:r>
      <w:r w:rsidR="00111B21" w:rsidRPr="00111B21">
        <w:t>1000010110</w:t>
      </w:r>
      <w:r w:rsidR="00041D04" w:rsidRPr="00706CD2">
        <w:t>.</w:t>
      </w:r>
      <w:r w:rsidR="00712C0F" w:rsidRPr="00706CD2">
        <w:rPr>
          <w:rStyle w:val="FootnoteReference"/>
        </w:rPr>
        <w:footnoteReference w:id="35"/>
      </w:r>
      <w:r w:rsidR="00041D04" w:rsidRPr="00706CD2">
        <w:t xml:space="preserve"> </w:t>
      </w:r>
      <w:r w:rsidR="00DA1BB6">
        <w:t xml:space="preserve">With no </w:t>
      </w:r>
      <w:r w:rsidR="00D74D3E">
        <w:t>definition of abstract ideas</w:t>
      </w:r>
      <w:r w:rsidR="00AA2E47">
        <w:t xml:space="preserve">, the court begins with </w:t>
      </w:r>
      <w:r w:rsidR="001676FC">
        <w:t>comparing the claims with previous cases and facts</w:t>
      </w:r>
      <w:r w:rsidR="00D74D3E">
        <w:t>.</w:t>
      </w:r>
      <w:r w:rsidR="001676FC">
        <w:rPr>
          <w:rStyle w:val="FootnoteReference"/>
        </w:rPr>
        <w:footnoteReference w:id="36"/>
      </w:r>
      <w:r w:rsidR="00AE50E7">
        <w:t xml:space="preserve"> </w:t>
      </w:r>
      <w:r w:rsidR="00D74D3E">
        <w:t>H</w:t>
      </w:r>
      <w:r w:rsidR="00AE50E7">
        <w:t>owever at the time the patentability of computer programs was still in debate</w:t>
      </w:r>
      <w:r w:rsidR="00D74D3E">
        <w:t xml:space="preserve">, and the patent is </w:t>
      </w:r>
      <w:r w:rsidR="006A1206">
        <w:t>held unpatentable because it has no practical exception outside of a digital computer.</w:t>
      </w:r>
      <w:r w:rsidR="006A1206">
        <w:rPr>
          <w:rStyle w:val="FootnoteReference"/>
        </w:rPr>
        <w:footnoteReference w:id="37"/>
      </w:r>
      <w:r w:rsidR="001676FC">
        <w:t xml:space="preserve"> </w:t>
      </w:r>
      <w:r w:rsidR="005B0C5F">
        <w:t xml:space="preserve">Clearly the Court did not understand </w:t>
      </w:r>
      <w:r w:rsidR="008F090C">
        <w:t>importance digital (the more advanced counter-part to analog)</w:t>
      </w:r>
      <w:r w:rsidR="00175C04">
        <w:t xml:space="preserve"> computers would play in the course of the future, and when they dismissed the patent for having no use outside of computers</w:t>
      </w:r>
      <w:r w:rsidR="00DA7D1E">
        <w:t xml:space="preserve">! </w:t>
      </w:r>
      <w:r w:rsidR="00CF7427">
        <w:t>Although t</w:t>
      </w:r>
      <w:r w:rsidR="00DA7D1E">
        <w:t>he claim</w:t>
      </w:r>
      <w:r w:rsidR="00DA2916">
        <w:t xml:space="preserve">s described hardware components </w:t>
      </w:r>
      <w:r w:rsidR="00CF7427">
        <w:t>which performed this improved algorithm for this important conversion</w:t>
      </w:r>
      <w:r w:rsidR="00E864FB">
        <w:t xml:space="preserve">, it was not </w:t>
      </w:r>
      <w:proofErr w:type="gramStart"/>
      <w:r w:rsidR="00E864FB">
        <w:t>sufficient</w:t>
      </w:r>
      <w:proofErr w:type="gramEnd"/>
      <w:r w:rsidR="00E864FB">
        <w:t xml:space="preserve"> to meet the Court’s requirements</w:t>
      </w:r>
      <w:r w:rsidR="00175C04">
        <w:t xml:space="preserve"> </w:t>
      </w:r>
      <w:r w:rsidR="00E864FB">
        <w:t xml:space="preserve">for </w:t>
      </w:r>
      <w:r w:rsidR="00B56994">
        <w:t>patentability</w:t>
      </w:r>
      <w:r w:rsidR="00E864FB">
        <w:t xml:space="preserve">. </w:t>
      </w:r>
    </w:p>
    <w:p w14:paraId="063F1B81" w14:textId="7411E17E" w:rsidR="000C02DB" w:rsidRPr="00E44BC2" w:rsidRDefault="00867D1D" w:rsidP="00BF0CFC">
      <w:pPr>
        <w:spacing w:line="480" w:lineRule="auto"/>
        <w:ind w:firstLine="720"/>
      </w:pPr>
      <w:r w:rsidRPr="00507D5D">
        <w:t>Fast Forward to 1980; the Supreme Court considers</w:t>
      </w:r>
      <w:r w:rsidR="00AE2C9B" w:rsidRPr="00507D5D">
        <w:t xml:space="preserve"> </w:t>
      </w:r>
      <w:r w:rsidR="009D291F" w:rsidRPr="00507D5D">
        <w:t xml:space="preserve">claims for a process for curing synthetic rubber. </w:t>
      </w:r>
      <w:r w:rsidR="00BD5475" w:rsidRPr="00507D5D">
        <w:t xml:space="preserve">This </w:t>
      </w:r>
      <w:r w:rsidR="00BD0C9A" w:rsidRPr="00507D5D">
        <w:t>process relied heavily on a formula known as the Arrhenius equation</w:t>
      </w:r>
      <w:r w:rsidR="007A0E51" w:rsidRPr="00507D5D">
        <w:t xml:space="preserve">, and by continually taking temperature </w:t>
      </w:r>
      <w:r w:rsidR="00793456" w:rsidRPr="00507D5D">
        <w:t xml:space="preserve">measurements, a digital computer was able to use the formula </w:t>
      </w:r>
      <w:r w:rsidR="00793456" w:rsidRPr="00507D5D">
        <w:lastRenderedPageBreak/>
        <w:t>to provide an accurate cure time.</w:t>
      </w:r>
      <w:r w:rsidR="004A60BA" w:rsidRPr="00507D5D">
        <w:rPr>
          <w:rStyle w:val="FootnoteReference"/>
        </w:rPr>
        <w:footnoteReference w:id="38"/>
      </w:r>
      <w:r w:rsidR="00B9770F">
        <w:t xml:space="preserve"> Here the </w:t>
      </w:r>
      <w:r w:rsidR="001E3E18">
        <w:t>Supreme Court stated the claims must be considered as a whole, and that use of a mathematical formula did not</w:t>
      </w:r>
      <w:r w:rsidR="005E202A">
        <w:t xml:space="preserve"> disqualify a patent, and upheld the patent. </w:t>
      </w:r>
      <w:r w:rsidR="00C17F96">
        <w:t>This decision seemly reversed</w:t>
      </w:r>
      <w:r w:rsidR="00E44BC2">
        <w:t xml:space="preserve"> </w:t>
      </w:r>
      <w:r w:rsidR="00E44BC2" w:rsidRPr="00E44BC2">
        <w:rPr>
          <w:i/>
        </w:rPr>
        <w:t>Benson</w:t>
      </w:r>
      <w:r w:rsidR="00E44BC2">
        <w:t xml:space="preserve">, but Supreme Court </w:t>
      </w:r>
      <w:r w:rsidR="00EE473D">
        <w:t xml:space="preserve">characterized the invention as a method for curing rubber, rather than a math formula. </w:t>
      </w:r>
      <w:r w:rsidR="00CA6EE7">
        <w:t xml:space="preserve">Examining the </w:t>
      </w:r>
      <w:proofErr w:type="gramStart"/>
      <w:r w:rsidR="00CA6EE7">
        <w:t>claims as a whole, the</w:t>
      </w:r>
      <w:proofErr w:type="gramEnd"/>
      <w:r w:rsidR="00CA6EE7">
        <w:t xml:space="preserve"> Court found that they</w:t>
      </w:r>
      <w:r w:rsidR="00375F68">
        <w:t xml:space="preserve"> held additional steps that integrated the equation into a process as a whole</w:t>
      </w:r>
      <w:r w:rsidR="00CA6EE7">
        <w:t xml:space="preserve"> and therefore patentable.</w:t>
      </w:r>
      <w:r w:rsidR="000329E9">
        <w:t xml:space="preserve"> The patent did not seek to </w:t>
      </w:r>
      <w:r w:rsidR="00C96A91">
        <w:t>protect the formula, but rather the process of how the formula was used.</w:t>
      </w:r>
      <w:r w:rsidR="00CB0423">
        <w:rPr>
          <w:rStyle w:val="FootnoteReference"/>
        </w:rPr>
        <w:footnoteReference w:id="39"/>
      </w:r>
      <w:r w:rsidR="00C96A91">
        <w:t xml:space="preserve"> </w:t>
      </w:r>
      <w:r w:rsidR="002055CF">
        <w:t xml:space="preserve">Despite similar dependencies on </w:t>
      </w:r>
      <w:r w:rsidR="00CB0423">
        <w:t>mathematical formula, two different outcomes occurred</w:t>
      </w:r>
      <w:r w:rsidR="002B4514">
        <w:t xml:space="preserve">, </w:t>
      </w:r>
      <w:commentRangeStart w:id="4"/>
      <w:r w:rsidR="002B4514">
        <w:t xml:space="preserve">suggesting that </w:t>
      </w:r>
      <w:r w:rsidR="00277D42">
        <w:t>physical transformation</w:t>
      </w:r>
      <w:r w:rsidR="00076925">
        <w:t xml:space="preserve"> is required for patent eligibility</w:t>
      </w:r>
      <w:commentRangeEnd w:id="4"/>
      <w:r w:rsidR="00004E58">
        <w:rPr>
          <w:rStyle w:val="CommentReference"/>
        </w:rPr>
        <w:commentReference w:id="4"/>
      </w:r>
      <w:r w:rsidR="00B00EAA">
        <w:rPr>
          <w:rStyle w:val="FootnoteReference"/>
        </w:rPr>
        <w:footnoteReference w:id="40"/>
      </w:r>
      <w:r w:rsidR="00076925">
        <w:t xml:space="preserve"> and </w:t>
      </w:r>
      <w:r w:rsidR="002B4514">
        <w:t xml:space="preserve">how an invention is labelled is critical to a patent surviving </w:t>
      </w:r>
      <w:r w:rsidR="00277D42">
        <w:t>scrutiny.</w:t>
      </w:r>
    </w:p>
    <w:p w14:paraId="1459C67C" w14:textId="57B1DCE8" w:rsidR="006E37CF" w:rsidRDefault="006E37CF" w:rsidP="00BF0CFC">
      <w:pPr>
        <w:pStyle w:val="Heading2"/>
        <w:numPr>
          <w:ilvl w:val="0"/>
          <w:numId w:val="4"/>
        </w:numPr>
        <w:spacing w:line="480" w:lineRule="auto"/>
      </w:pPr>
      <w:r>
        <w:t xml:space="preserve">Software Patents &amp; </w:t>
      </w:r>
      <w:commentRangeStart w:id="5"/>
      <w:r>
        <w:t>Abstract ideas</w:t>
      </w:r>
      <w:commentRangeEnd w:id="5"/>
      <w:r w:rsidR="006C3006">
        <w:rPr>
          <w:rStyle w:val="CommentReference"/>
          <w:rFonts w:eastAsiaTheme="minorHAnsi" w:cstheme="minorBidi"/>
        </w:rPr>
        <w:commentReference w:id="5"/>
      </w:r>
    </w:p>
    <w:p w14:paraId="5EF52FCC" w14:textId="4FBD3819" w:rsidR="00386A3F" w:rsidRDefault="00F97A80" w:rsidP="00BF0CFC">
      <w:pPr>
        <w:spacing w:line="480" w:lineRule="auto"/>
        <w:ind w:firstLine="720"/>
        <w:rPr>
          <w:color w:val="auto"/>
        </w:rPr>
      </w:pPr>
      <w:r>
        <w:t>These exceptions</w:t>
      </w:r>
      <w:r w:rsidR="003A3E41">
        <w:t xml:space="preserve"> cause difficulty</w:t>
      </w:r>
      <w:r w:rsidR="00A6263B">
        <w:t xml:space="preserve"> </w:t>
      </w:r>
      <w:r w:rsidR="008D747E">
        <w:t xml:space="preserve">in several </w:t>
      </w:r>
      <w:r w:rsidR="00A6263B">
        <w:t>areas</w:t>
      </w:r>
      <w:r w:rsidR="00F20C04">
        <w:t xml:space="preserve">: </w:t>
      </w:r>
      <w:r w:rsidR="00A6263B">
        <w:t>business</w:t>
      </w:r>
      <w:r w:rsidR="00F20C04">
        <w:t xml:space="preserve"> methods</w:t>
      </w:r>
      <w:r w:rsidR="00A6263B">
        <w:t xml:space="preserve">, </w:t>
      </w:r>
      <w:r w:rsidR="00A424E3">
        <w:t>bio-technology</w:t>
      </w:r>
      <w:r w:rsidR="00A6263B">
        <w:t>, methods of medical treatment</w:t>
      </w:r>
      <w:r w:rsidR="00A424E3">
        <w:t>, and software</w:t>
      </w:r>
      <w:r>
        <w:t>.</w:t>
      </w:r>
      <w:r w:rsidR="00A424E3">
        <w:rPr>
          <w:rStyle w:val="FootnoteReference"/>
        </w:rPr>
        <w:footnoteReference w:id="41"/>
      </w:r>
      <w:r>
        <w:t xml:space="preserve"> </w:t>
      </w:r>
      <w:r w:rsidR="00F20C04">
        <w:t>S</w:t>
      </w:r>
      <w:r w:rsidR="00603275">
        <w:t>oftware</w:t>
      </w:r>
      <w:r w:rsidR="003B1A58">
        <w:t xml:space="preserve"> is not easily sorted into the statutory categories of 35 U.S.C. § 101: it is</w:t>
      </w:r>
      <w:r w:rsidR="00603275">
        <w:t xml:space="preserve"> not a </w:t>
      </w:r>
      <w:r w:rsidR="00DF0887">
        <w:t>“machine</w:t>
      </w:r>
      <w:r w:rsidR="00AE489E">
        <w:t>,</w:t>
      </w:r>
      <w:r w:rsidR="00DF0887">
        <w:t xml:space="preserve"> manufacture, or composition </w:t>
      </w:r>
      <w:r w:rsidR="00AE489E">
        <w:t>of matter”</w:t>
      </w:r>
      <w:r w:rsidR="00AE489E">
        <w:rPr>
          <w:rStyle w:val="FootnoteReference"/>
        </w:rPr>
        <w:footnoteReference w:id="42"/>
      </w:r>
      <w:r w:rsidR="004A53D9">
        <w:t xml:space="preserve">, </w:t>
      </w:r>
      <w:r w:rsidR="00727965">
        <w:t xml:space="preserve">and must therefore be a </w:t>
      </w:r>
      <w:r w:rsidR="00D56B8F">
        <w:t>“</w:t>
      </w:r>
      <w:r w:rsidR="004A53D9">
        <w:t>process</w:t>
      </w:r>
      <w:r w:rsidR="00D56B8F">
        <w:t>”</w:t>
      </w:r>
      <w:r w:rsidR="004A53D9">
        <w:t xml:space="preserve">. The first three categories are physical and </w:t>
      </w:r>
      <w:r w:rsidR="000D2B87">
        <w:t>easily</w:t>
      </w:r>
      <w:r w:rsidR="00660B5C">
        <w:t xml:space="preserve"> patentable providing </w:t>
      </w:r>
      <w:r w:rsidR="002F5050">
        <w:t>the invention meets requirements for patentability.</w:t>
      </w:r>
      <w:r w:rsidR="006C7F34">
        <w:rPr>
          <w:rStyle w:val="FootnoteReference"/>
        </w:rPr>
        <w:footnoteReference w:id="43"/>
      </w:r>
      <w:r w:rsidR="000D2B87">
        <w:t xml:space="preserve"> </w:t>
      </w:r>
      <w:r w:rsidR="00F8340D">
        <w:t xml:space="preserve">Whereas processes are </w:t>
      </w:r>
      <w:r w:rsidR="000D2B87">
        <w:t xml:space="preserve">not as </w:t>
      </w:r>
      <w:r w:rsidR="00213224">
        <w:t>tangible and</w:t>
      </w:r>
      <w:r w:rsidR="000D2B87">
        <w:t xml:space="preserve"> </w:t>
      </w:r>
      <w:r w:rsidR="00213224">
        <w:t>therefore are</w:t>
      </w:r>
      <w:r w:rsidR="000D2B87">
        <w:t xml:space="preserve"> </w:t>
      </w:r>
      <w:r w:rsidR="00BE1A3F">
        <w:t>more difficult to patent</w:t>
      </w:r>
      <w:r w:rsidR="00CB60D7">
        <w:t>.</w:t>
      </w:r>
      <w:r w:rsidR="00CB60D7">
        <w:rPr>
          <w:rStyle w:val="FootnoteReference"/>
        </w:rPr>
        <w:footnoteReference w:id="44"/>
      </w:r>
      <w:r w:rsidR="0073414A">
        <w:t xml:space="preserve"> </w:t>
      </w:r>
      <w:r w:rsidR="009D4639">
        <w:t xml:space="preserve">Software </w:t>
      </w:r>
      <w:r w:rsidR="0001184D">
        <w:t xml:space="preserve">as a member of the process category of patents, is similarly difficult to patent for several reasons: </w:t>
      </w:r>
      <w:r w:rsidR="008E650B">
        <w:t>1) it is intangible; 2)</w:t>
      </w:r>
      <w:r w:rsidR="002C6953">
        <w:t xml:space="preserve"> </w:t>
      </w:r>
      <w:r w:rsidR="002C6953">
        <w:lastRenderedPageBreak/>
        <w:t>software frequently is made up of algorithms</w:t>
      </w:r>
      <w:r w:rsidR="007B7789">
        <w:t xml:space="preserve">; </w:t>
      </w:r>
      <w:r w:rsidR="00D14959">
        <w:t xml:space="preserve">and 3) </w:t>
      </w:r>
      <w:r w:rsidR="002C6953">
        <w:t xml:space="preserve">it </w:t>
      </w:r>
      <w:r w:rsidR="00FC20AE">
        <w:t>can be seen as a mere representation of an abstract idea</w:t>
      </w:r>
      <w:r w:rsidR="00D14959">
        <w:t>.</w:t>
      </w:r>
      <w:r w:rsidR="00FC20AE">
        <w:rPr>
          <w:rStyle w:val="FootnoteReference"/>
        </w:rPr>
        <w:footnoteReference w:id="45"/>
      </w:r>
      <w:r w:rsidR="00164E50">
        <w:t xml:space="preserve"> </w:t>
      </w:r>
      <w:r w:rsidR="002F15ED">
        <w:t xml:space="preserve">Many believe that </w:t>
      </w:r>
      <w:r w:rsidR="006D36C1">
        <w:t xml:space="preserve">this eligibility requirement is </w:t>
      </w:r>
      <w:r w:rsidR="00B45CA6">
        <w:t>stifling</w:t>
      </w:r>
      <w:r w:rsidR="006D36C1">
        <w:t xml:space="preserve"> innovation </w:t>
      </w:r>
      <w:r w:rsidR="000D561C">
        <w:t>with its chilling effect on patents</w:t>
      </w:r>
      <w:r w:rsidR="000D561C" w:rsidRPr="00187415">
        <w:rPr>
          <w:color w:val="auto"/>
        </w:rPr>
        <w:t>.</w:t>
      </w:r>
      <w:r w:rsidR="008C2392" w:rsidRPr="00187415">
        <w:rPr>
          <w:rStyle w:val="FootnoteReference"/>
          <w:color w:val="auto"/>
        </w:rPr>
        <w:footnoteReference w:id="46"/>
      </w:r>
      <w:r w:rsidR="008C2392">
        <w:rPr>
          <w:color w:val="FF0000"/>
        </w:rPr>
        <w:t xml:space="preserve"> </w:t>
      </w:r>
      <w:r w:rsidR="00164E50">
        <w:t xml:space="preserve">These </w:t>
      </w:r>
      <w:r w:rsidR="008C2392">
        <w:t>inherent</w:t>
      </w:r>
      <w:r w:rsidR="00164E50">
        <w:t xml:space="preserve"> difficulties require </w:t>
      </w:r>
      <w:r w:rsidR="00F66592">
        <w:t xml:space="preserve">inventors to claim their inventions in specific ways. </w:t>
      </w:r>
      <w:r w:rsidR="005E3800">
        <w:t xml:space="preserve">Early </w:t>
      </w:r>
      <w:r w:rsidR="00C106F1">
        <w:t>decisions relating to software patents seemed to require physical effects to make the software appear mechanical</w:t>
      </w:r>
      <w:r w:rsidR="00F342D0">
        <w:t xml:space="preserve"> </w:t>
      </w:r>
      <w:r w:rsidR="00636D7D">
        <w:rPr>
          <w:rStyle w:val="FootnoteReference"/>
        </w:rPr>
        <w:footnoteReference w:id="47"/>
      </w:r>
      <w:r w:rsidR="00C106F1">
        <w:t xml:space="preserve">, and more easily fit into the </w:t>
      </w:r>
      <w:r w:rsidR="00636D7D">
        <w:t xml:space="preserve">other </w:t>
      </w:r>
      <w:r w:rsidR="007510E6">
        <w:t>categories.</w:t>
      </w:r>
      <w:r w:rsidR="007510E6" w:rsidRPr="00661F75">
        <w:rPr>
          <w:color w:val="FF0000"/>
        </w:rPr>
        <w:t xml:space="preserve"> </w:t>
      </w:r>
      <w:r w:rsidR="002A2C36" w:rsidRPr="007510E6">
        <w:rPr>
          <w:color w:val="auto"/>
        </w:rPr>
        <w:t xml:space="preserve">As previously mentioned, </w:t>
      </w:r>
      <w:proofErr w:type="spellStart"/>
      <w:r w:rsidR="006B459F" w:rsidRPr="007510E6">
        <w:rPr>
          <w:i/>
          <w:color w:val="auto"/>
        </w:rPr>
        <w:t>Diehr</w:t>
      </w:r>
      <w:proofErr w:type="spellEnd"/>
      <w:r w:rsidR="002A2C36" w:rsidRPr="007510E6">
        <w:rPr>
          <w:color w:val="auto"/>
        </w:rPr>
        <w:t xml:space="preserve"> upheld </w:t>
      </w:r>
      <w:r w:rsidR="000833A5" w:rsidRPr="007510E6">
        <w:rPr>
          <w:color w:val="auto"/>
        </w:rPr>
        <w:t xml:space="preserve">the process for curing rubber, </w:t>
      </w:r>
      <w:proofErr w:type="gramStart"/>
      <w:r w:rsidR="000833A5" w:rsidRPr="007510E6">
        <w:rPr>
          <w:color w:val="auto"/>
        </w:rPr>
        <w:t>in spite of</w:t>
      </w:r>
      <w:proofErr w:type="gramEnd"/>
      <w:r w:rsidR="000833A5" w:rsidRPr="007510E6">
        <w:rPr>
          <w:color w:val="auto"/>
        </w:rPr>
        <w:t xml:space="preserve"> its reliance on a mathematical formula because of the physical transformation that occurred in the rubber, but </w:t>
      </w:r>
      <w:r w:rsidR="006B459F" w:rsidRPr="007510E6">
        <w:rPr>
          <w:color w:val="auto"/>
        </w:rPr>
        <w:t xml:space="preserve">invalidated </w:t>
      </w:r>
      <w:r w:rsidR="006B459F" w:rsidRPr="007510E6">
        <w:rPr>
          <w:i/>
          <w:color w:val="auto"/>
        </w:rPr>
        <w:t>Benson</w:t>
      </w:r>
      <w:r w:rsidR="006B459F" w:rsidRPr="007510E6">
        <w:rPr>
          <w:color w:val="auto"/>
        </w:rPr>
        <w:t>’s conversion from BCD to binary.</w:t>
      </w:r>
      <w:r w:rsidR="007510E6">
        <w:rPr>
          <w:rStyle w:val="FootnoteReference"/>
          <w:color w:val="auto"/>
        </w:rPr>
        <w:footnoteReference w:id="48"/>
      </w:r>
      <w:r w:rsidR="006B459F" w:rsidRPr="007510E6">
        <w:rPr>
          <w:color w:val="auto"/>
        </w:rPr>
        <w:t xml:space="preserve"> </w:t>
      </w:r>
    </w:p>
    <w:p w14:paraId="1638F667" w14:textId="67219C4C" w:rsidR="004024FF" w:rsidRDefault="004024FF" w:rsidP="00BF0CFC">
      <w:pPr>
        <w:spacing w:line="480" w:lineRule="auto"/>
        <w:ind w:firstLine="720"/>
        <w:rPr>
          <w:color w:val="FF0000"/>
        </w:rPr>
      </w:pPr>
      <w:r w:rsidRPr="00512487">
        <w:rPr>
          <w:color w:val="FF0000"/>
        </w:rPr>
        <w:t>[</w:t>
      </w:r>
      <w:commentRangeStart w:id="6"/>
      <w:r w:rsidRPr="00512487">
        <w:rPr>
          <w:color w:val="FF0000"/>
        </w:rPr>
        <w:t xml:space="preserve">discuss the </w:t>
      </w:r>
      <w:r w:rsidR="00512487" w:rsidRPr="00512487">
        <w:rPr>
          <w:color w:val="FF0000"/>
        </w:rPr>
        <w:t xml:space="preserve">passing of the “machine or transformation test” in </w:t>
      </w:r>
      <w:proofErr w:type="spellStart"/>
      <w:r w:rsidR="00512487" w:rsidRPr="00512487">
        <w:rPr>
          <w:color w:val="FF0000"/>
        </w:rPr>
        <w:t>Bilski</w:t>
      </w:r>
      <w:proofErr w:type="spellEnd"/>
      <w:r w:rsidR="00512487" w:rsidRPr="00512487">
        <w:rPr>
          <w:color w:val="FF0000"/>
        </w:rPr>
        <w:t xml:space="preserve"> v. </w:t>
      </w:r>
      <w:proofErr w:type="spellStart"/>
      <w:r w:rsidR="00512487" w:rsidRPr="00512487">
        <w:rPr>
          <w:color w:val="FF0000"/>
        </w:rPr>
        <w:t>Kappos</w:t>
      </w:r>
      <w:commentRangeEnd w:id="6"/>
      <w:proofErr w:type="spellEnd"/>
      <w:r w:rsidR="0094033F">
        <w:rPr>
          <w:rStyle w:val="CommentReference"/>
        </w:rPr>
        <w:commentReference w:id="6"/>
      </w:r>
      <w:proofErr w:type="gramStart"/>
      <w:r w:rsidR="00512487" w:rsidRPr="00512487">
        <w:rPr>
          <w:color w:val="FF0000"/>
        </w:rPr>
        <w:t>.</w:t>
      </w:r>
      <w:r w:rsidR="0094033F">
        <w:rPr>
          <w:color w:val="FF0000"/>
        </w:rPr>
        <w:t xml:space="preserve"> ]</w:t>
      </w:r>
      <w:proofErr w:type="gramEnd"/>
    </w:p>
    <w:p w14:paraId="51E255DA" w14:textId="0584ED76" w:rsidR="00721928" w:rsidRDefault="00721928" w:rsidP="00BF0CFC">
      <w:pPr>
        <w:spacing w:line="480" w:lineRule="auto"/>
        <w:ind w:firstLine="720"/>
        <w:rPr>
          <w:color w:val="FF0000"/>
        </w:rPr>
      </w:pPr>
      <w:r>
        <w:rPr>
          <w:color w:val="FF0000"/>
        </w:rPr>
        <w:t>[Discuss abandoned state street test]</w:t>
      </w:r>
    </w:p>
    <w:p w14:paraId="5B6EA719" w14:textId="46092DA2" w:rsidR="00603275" w:rsidRDefault="0073414A" w:rsidP="00BF0CFC">
      <w:pPr>
        <w:spacing w:line="480" w:lineRule="auto"/>
        <w:ind w:firstLine="720"/>
      </w:pPr>
      <w:r>
        <w:t>The traditional way to claim software is</w:t>
      </w:r>
      <w:r w:rsidR="00EC7338">
        <w:t xml:space="preserve"> </w:t>
      </w:r>
      <w:r w:rsidR="00EC7338" w:rsidRPr="00EC7338">
        <w:t>Beauregard</w:t>
      </w:r>
      <w:r w:rsidR="00EC7338">
        <w:t xml:space="preserve"> claim.</w:t>
      </w:r>
      <w:r w:rsidR="00EC7338">
        <w:rPr>
          <w:rStyle w:val="FootnoteReference"/>
        </w:rPr>
        <w:footnoteReference w:id="49"/>
      </w:r>
      <w:r w:rsidR="002B5D3E">
        <w:t xml:space="preserve"> These claims </w:t>
      </w:r>
      <w:r w:rsidR="005E201C">
        <w:t xml:space="preserve">began in response to </w:t>
      </w:r>
      <w:r w:rsidR="005E201C">
        <w:rPr>
          <w:i/>
        </w:rPr>
        <w:t>In re Beauregard</w:t>
      </w:r>
      <w:r w:rsidR="005E201C">
        <w:t xml:space="preserve">, which </w:t>
      </w:r>
      <w:r w:rsidR="008452BB">
        <w:t>quoted the Commissioner of Patents and Trademarks who stated</w:t>
      </w:r>
      <w:r w:rsidR="005E201C">
        <w:t xml:space="preserve"> that software embodied in a tangible medium was patentable.</w:t>
      </w:r>
      <w:r w:rsidR="005E201C">
        <w:rPr>
          <w:rStyle w:val="FootnoteReference"/>
        </w:rPr>
        <w:footnoteReference w:id="50"/>
      </w:r>
      <w:r w:rsidR="005E201C">
        <w:t xml:space="preserve"> Thus claims often contain a variation on the following, “A computer readable medium containing program instructions…”</w:t>
      </w:r>
      <w:r w:rsidR="005E201C">
        <w:rPr>
          <w:rStyle w:val="FootnoteReference"/>
        </w:rPr>
        <w:footnoteReference w:id="51"/>
      </w:r>
      <w:r w:rsidR="005E201C">
        <w:t xml:space="preserve"> in an effort to connect the abstract nature of software with something tangible and real. </w:t>
      </w:r>
    </w:p>
    <w:p w14:paraId="69287A5D" w14:textId="3478515A" w:rsidR="008C2392" w:rsidRDefault="008C2392" w:rsidP="00BF0CFC">
      <w:pPr>
        <w:spacing w:line="480" w:lineRule="auto"/>
        <w:ind w:firstLine="720"/>
      </w:pPr>
      <w:commentRangeStart w:id="7"/>
      <w:r>
        <w:lastRenderedPageBreak/>
        <w:t xml:space="preserve">[explain </w:t>
      </w:r>
      <w:r w:rsidR="00C30DA6">
        <w:t>the meaning of “</w:t>
      </w:r>
      <w:r>
        <w:t>directed to</w:t>
      </w:r>
      <w:r w:rsidR="00C30DA6">
        <w:t>”</w:t>
      </w:r>
      <w:r>
        <w:t>]</w:t>
      </w:r>
      <w:r w:rsidR="00F146AA">
        <w:t xml:space="preserve"> </w:t>
      </w:r>
      <w:r w:rsidR="00CD27D4">
        <w:t>–</w:t>
      </w:r>
      <w:r w:rsidR="00F146AA">
        <w:t xml:space="preserve"> </w:t>
      </w:r>
      <w:proofErr w:type="spellStart"/>
      <w:r w:rsidR="00F146AA">
        <w:t>Enfish</w:t>
      </w:r>
      <w:commentRangeEnd w:id="7"/>
      <w:proofErr w:type="spellEnd"/>
      <w:r w:rsidR="002B6A3B">
        <w:rPr>
          <w:rStyle w:val="CommentReference"/>
        </w:rPr>
        <w:commentReference w:id="7"/>
      </w:r>
    </w:p>
    <w:p w14:paraId="1349CC35" w14:textId="35DE0B53" w:rsidR="0018090C" w:rsidRDefault="004F119C" w:rsidP="00BF0CFC">
      <w:pPr>
        <w:spacing w:line="480" w:lineRule="auto"/>
        <w:ind w:firstLine="720"/>
      </w:pPr>
      <w:commentRangeStart w:id="8"/>
      <w:r>
        <w:t>In 2012</w:t>
      </w:r>
      <w:r w:rsidR="00D30006">
        <w:t xml:space="preserve">, </w:t>
      </w:r>
      <w:r w:rsidR="007960EE">
        <w:t xml:space="preserve">the Supreme Court </w:t>
      </w:r>
      <w:r w:rsidR="00110EA6">
        <w:t xml:space="preserve">heard a petition concerning </w:t>
      </w:r>
      <w:r w:rsidR="00B55809">
        <w:t xml:space="preserve">processes that help doctors who administer thiopurine drugs determine if a dosage is </w:t>
      </w:r>
      <w:r w:rsidR="0047151A">
        <w:t xml:space="preserve">too low or too high. </w:t>
      </w:r>
      <w:r w:rsidR="00554C5D">
        <w:t>The improved process relied upon the relationship</w:t>
      </w:r>
      <w:r w:rsidR="00411F48">
        <w:t xml:space="preserve">s between the concentration of metabolites in the blood and </w:t>
      </w:r>
      <w:r w:rsidR="00D01AC6">
        <w:t xml:space="preserve">drug dosage. The Supreme Court held that </w:t>
      </w:r>
      <w:r w:rsidR="00677DE4">
        <w:t xml:space="preserve">the process did not transform the natural laws into patent-eligible application. </w:t>
      </w:r>
      <w:r w:rsidR="00D30006">
        <w:t>Mayo framework introduced</w:t>
      </w:r>
      <w:r w:rsidR="00474BE8">
        <w:t xml:space="preserve"> a </w:t>
      </w:r>
      <w:proofErr w:type="spellStart"/>
      <w:proofErr w:type="gramStart"/>
      <w:r w:rsidR="00474BE8">
        <w:t>two step</w:t>
      </w:r>
      <w:proofErr w:type="spellEnd"/>
      <w:proofErr w:type="gramEnd"/>
      <w:r w:rsidR="00474BE8">
        <w:t xml:space="preserve"> process to determine </w:t>
      </w:r>
      <w:r w:rsidR="00A57DCE">
        <w:t xml:space="preserve">if an invention </w:t>
      </w:r>
      <w:r w:rsidR="00695531">
        <w:t xml:space="preserve">claims </w:t>
      </w:r>
      <w:r w:rsidR="001901F0">
        <w:t xml:space="preserve">“building blocks of human ingenuity, which are ineligible for patent protection” </w:t>
      </w:r>
      <w:r w:rsidR="005E61E2">
        <w:t xml:space="preserve">or if the patent integrates building blocks into something more. </w:t>
      </w:r>
      <w:commentRangeEnd w:id="8"/>
      <w:r w:rsidR="00A9598D">
        <w:rPr>
          <w:rStyle w:val="CommentReference"/>
        </w:rPr>
        <w:commentReference w:id="8"/>
      </w:r>
      <w:r w:rsidR="00B5337E">
        <w:t>[What was the impact?]</w:t>
      </w:r>
    </w:p>
    <w:p w14:paraId="3BCE3F30" w14:textId="30FF9017" w:rsidR="00157622" w:rsidRDefault="00537AE1" w:rsidP="00BF0CFC">
      <w:pPr>
        <w:spacing w:line="480" w:lineRule="auto"/>
        <w:ind w:firstLine="720"/>
      </w:pPr>
      <w:r>
        <w:t>[</w:t>
      </w:r>
      <w:r w:rsidR="00157622">
        <w:t>Fill in details and implications from journal articles</w:t>
      </w:r>
      <w:r>
        <w:t>]</w:t>
      </w:r>
    </w:p>
    <w:p w14:paraId="17CB6767" w14:textId="4A3B8D97" w:rsidR="008C2392" w:rsidRDefault="008C2392" w:rsidP="00BF0CFC">
      <w:pPr>
        <w:spacing w:line="480" w:lineRule="auto"/>
        <w:ind w:firstLine="720"/>
      </w:pPr>
      <w:commentRangeStart w:id="9"/>
      <w:r>
        <w:t>[</w:t>
      </w:r>
      <w:commentRangeStart w:id="10"/>
      <w:proofErr w:type="spellStart"/>
      <w:r>
        <w:t>alice</w:t>
      </w:r>
      <w:commentRangeEnd w:id="10"/>
      <w:proofErr w:type="spellEnd"/>
      <w:r w:rsidR="00827DEC">
        <w:rPr>
          <w:rStyle w:val="CommentReference"/>
        </w:rPr>
        <w:commentReference w:id="10"/>
      </w:r>
      <w:r>
        <w:t xml:space="preserve">] </w:t>
      </w:r>
      <w:commentRangeEnd w:id="9"/>
      <w:r>
        <w:rPr>
          <w:rStyle w:val="CommentReference"/>
        </w:rPr>
        <w:commentReference w:id="9"/>
      </w:r>
      <w:r w:rsidR="00C273C3">
        <w:t xml:space="preserve">In 2014, the patent world was rocked by </w:t>
      </w:r>
      <w:r w:rsidR="00C273C3">
        <w:rPr>
          <w:i/>
        </w:rPr>
        <w:t>Alice Corp. Pty. Ltd. v. CLS Bank Intern</w:t>
      </w:r>
      <w:r w:rsidR="00DF4EB9">
        <w:t xml:space="preserve">, in which the Supreme Court ruled that </w:t>
      </w:r>
      <w:r w:rsidR="00626E4E">
        <w:t xml:space="preserve">escrow software was a patent ineligible invention. </w:t>
      </w:r>
      <w:r w:rsidR="00E23289">
        <w:t xml:space="preserve">The opinion </w:t>
      </w:r>
      <w:r w:rsidR="00BD41BD">
        <w:t xml:space="preserve">created a </w:t>
      </w:r>
      <w:r w:rsidR="00BF09FB">
        <w:t>two-step</w:t>
      </w:r>
      <w:r w:rsidR="00BD41BD">
        <w:t xml:space="preserve"> framework, based largely on the </w:t>
      </w:r>
      <w:r w:rsidR="00BD41BD">
        <w:rPr>
          <w:i/>
        </w:rPr>
        <w:t>Mayo</w:t>
      </w:r>
      <w:r w:rsidR="00BD41BD">
        <w:t xml:space="preserve"> holding, to determine if a</w:t>
      </w:r>
      <w:r w:rsidR="007D197D">
        <w:t xml:space="preserve">n invention was patent eligible. </w:t>
      </w:r>
      <w:r w:rsidR="006A1615">
        <w:t>In s</w:t>
      </w:r>
      <w:r w:rsidR="00BF6F7B">
        <w:t xml:space="preserve">tep one of the framework </w:t>
      </w:r>
      <w:r w:rsidR="006A1615">
        <w:t xml:space="preserve">the Court must determine if the claims at </w:t>
      </w:r>
      <w:r w:rsidR="00BF09FB">
        <w:t>issue</w:t>
      </w:r>
      <w:r w:rsidR="006A1615">
        <w:t xml:space="preserve"> are direct</w:t>
      </w:r>
      <w:r w:rsidR="00B673C7">
        <w:t>ed to a patent-ineligible concept; if yes then they proceed to step two which asks: “what else is there in the claim before us?”</w:t>
      </w:r>
      <w:r w:rsidR="00B673C7">
        <w:rPr>
          <w:rStyle w:val="FootnoteReference"/>
        </w:rPr>
        <w:footnoteReference w:id="52"/>
      </w:r>
      <w:r w:rsidR="00AF743A">
        <w:t xml:space="preserve"> </w:t>
      </w:r>
      <w:commentRangeStart w:id="11"/>
      <w:r w:rsidR="00C01118">
        <w:t xml:space="preserve">This second step </w:t>
      </w:r>
      <w:r w:rsidR="009C21B7">
        <w:t>is determining whether additional elements transform the nature of the claim into patent eligible application</w:t>
      </w:r>
      <w:commentRangeEnd w:id="11"/>
      <w:r w:rsidR="0082773E">
        <w:rPr>
          <w:rStyle w:val="CommentReference"/>
        </w:rPr>
        <w:commentReference w:id="11"/>
      </w:r>
      <w:r w:rsidR="009C21B7">
        <w:t>.</w:t>
      </w:r>
      <w:r w:rsidR="0082773E">
        <w:rPr>
          <w:rStyle w:val="FootnoteReference"/>
        </w:rPr>
        <w:footnoteReference w:id="53"/>
      </w:r>
      <w:r w:rsidR="0082773E">
        <w:t xml:space="preserve"> </w:t>
      </w:r>
      <w:r w:rsidR="00AF743A">
        <w:t>The claim elements must be considered individually and in combination</w:t>
      </w:r>
      <w:r w:rsidR="00BF09FB">
        <w:t>.</w:t>
      </w:r>
      <w:r w:rsidR="00F844EB">
        <w:t xml:space="preserve"> </w:t>
      </w:r>
      <w:r w:rsidR="00F844EB" w:rsidRPr="009D1770">
        <w:rPr>
          <w:color w:val="FF0000"/>
        </w:rPr>
        <w:t xml:space="preserve">[Insert </w:t>
      </w:r>
      <w:r w:rsidR="009D1770" w:rsidRPr="009D1770">
        <w:rPr>
          <w:color w:val="FF0000"/>
        </w:rPr>
        <w:t xml:space="preserve">more about the mechanics of the decision, and how the factors weighed in the case at hand]. </w:t>
      </w:r>
      <w:r w:rsidR="00771849" w:rsidRPr="004F61DC">
        <w:t xml:space="preserve">In the </w:t>
      </w:r>
      <w:r w:rsidR="00FB343A" w:rsidRPr="004F61DC">
        <w:t>month</w:t>
      </w:r>
      <w:r w:rsidR="00771849" w:rsidRPr="004F61DC">
        <w:t xml:space="preserve"> after </w:t>
      </w:r>
      <w:r w:rsidR="00771849" w:rsidRPr="004F61DC">
        <w:rPr>
          <w:i/>
        </w:rPr>
        <w:t>Alice</w:t>
      </w:r>
      <w:r w:rsidR="00FB343A" w:rsidRPr="004F61DC">
        <w:t>, 830 patent applications were withdrawn</w:t>
      </w:r>
      <w:r w:rsidR="006C5E1E">
        <w:t>.</w:t>
      </w:r>
      <w:r w:rsidR="004F61DC" w:rsidRPr="004F61DC">
        <w:rPr>
          <w:rStyle w:val="FootnoteReference"/>
        </w:rPr>
        <w:footnoteReference w:id="54"/>
      </w:r>
      <w:r w:rsidR="00EF18AC">
        <w:t xml:space="preserve"> In the year following the decision, the Federal </w:t>
      </w:r>
      <w:commentRangeStart w:id="12"/>
      <w:r w:rsidR="00EF18AC">
        <w:lastRenderedPageBreak/>
        <w:t>Circuit used the two-step frame</w:t>
      </w:r>
      <w:r w:rsidR="007A4CDE">
        <w:t xml:space="preserve">work </w:t>
      </w:r>
      <w:r w:rsidR="005D0C52">
        <w:t>in ten cases</w:t>
      </w:r>
      <w:r w:rsidR="008722F6">
        <w:rPr>
          <w:rStyle w:val="FootnoteReference"/>
        </w:rPr>
        <w:footnoteReference w:id="55"/>
      </w:r>
      <w:r w:rsidR="005D0C52">
        <w:t xml:space="preserve"> </w:t>
      </w:r>
      <w:r w:rsidR="007A4CDE">
        <w:t xml:space="preserve">and only found </w:t>
      </w:r>
      <w:r w:rsidR="007E4B5C">
        <w:t xml:space="preserve">one </w:t>
      </w:r>
      <w:r w:rsidR="007A4CDE">
        <w:t xml:space="preserve">to contain </w:t>
      </w:r>
      <w:r w:rsidR="007E1601">
        <w:t>patent eligible subject matter.</w:t>
      </w:r>
      <w:r w:rsidR="007E1601">
        <w:rPr>
          <w:rStyle w:val="FootnoteReference"/>
        </w:rPr>
        <w:footnoteReference w:id="56"/>
      </w:r>
      <w:commentRangeEnd w:id="12"/>
      <w:r w:rsidR="0040031A">
        <w:rPr>
          <w:rStyle w:val="CommentReference"/>
        </w:rPr>
        <w:commentReference w:id="12"/>
      </w:r>
    </w:p>
    <w:p w14:paraId="69B3B63D" w14:textId="7FDB9DAE" w:rsidR="006C590B" w:rsidRDefault="006C590B" w:rsidP="00BF0CFC">
      <w:pPr>
        <w:spacing w:line="480" w:lineRule="auto"/>
        <w:ind w:firstLine="720"/>
      </w:pPr>
      <w:r>
        <w:t xml:space="preserve">[Discuss DDR Holdings]. </w:t>
      </w:r>
    </w:p>
    <w:p w14:paraId="07036EE0" w14:textId="287E18E8" w:rsidR="00C72E21" w:rsidRDefault="00C72E21" w:rsidP="00BF0CFC">
      <w:pPr>
        <w:spacing w:line="480" w:lineRule="auto"/>
        <w:ind w:firstLine="720"/>
      </w:pPr>
      <w:r>
        <w:t>[Next steps: reread journal articles and take detailed notes and integrate them into the paper in the respective places:</w:t>
      </w:r>
    </w:p>
    <w:p w14:paraId="088E57B3" w14:textId="7A4965EA" w:rsidR="00FC68FE" w:rsidRDefault="00FC68FE" w:rsidP="00BF0CFC">
      <w:pPr>
        <w:spacing w:line="480" w:lineRule="auto"/>
        <w:ind w:firstLine="720"/>
      </w:pPr>
      <w:r>
        <w:t xml:space="preserve">- </w:t>
      </w:r>
      <w:r w:rsidR="005D0DA8" w:rsidRPr="005D0DA8">
        <w:t>SOFTWARE PATENTS AND PRETRIAL DISMISSAL BASED ON INELIGIBILITY</w:t>
      </w:r>
    </w:p>
    <w:p w14:paraId="6CD7CD13" w14:textId="11132CA1" w:rsidR="005D0DA8" w:rsidRDefault="005D0DA8" w:rsidP="005D0DA8">
      <w:pPr>
        <w:spacing w:line="480" w:lineRule="auto"/>
        <w:ind w:firstLine="720"/>
      </w:pPr>
      <w:r>
        <w:t xml:space="preserve">- </w:t>
      </w:r>
      <w:r>
        <w:t xml:space="preserve">Hung H. Bui, A </w:t>
      </w:r>
      <w:proofErr w:type="gramStart"/>
      <w:r>
        <w:t>Common Sense</w:t>
      </w:r>
      <w:proofErr w:type="gramEnd"/>
      <w:r>
        <w:t xml:space="preserve"> Approach to Implement the Supreme</w:t>
      </w:r>
      <w:r>
        <w:t xml:space="preserve"> </w:t>
      </w:r>
      <w:r>
        <w:t>Court's Alice Two-Step Framework to Provide "Certainty" and</w:t>
      </w:r>
      <w:r>
        <w:t xml:space="preserve"> </w:t>
      </w:r>
      <w:r>
        <w:t>"Predictability", 100 J. Pat. &amp; Trademark Off. Soc'y 165, 241-42 (2018)</w:t>
      </w:r>
    </w:p>
    <w:p w14:paraId="27A3E578" w14:textId="3F3B7007" w:rsidR="00403C0D" w:rsidRDefault="00403C0D" w:rsidP="005D0DA8">
      <w:pPr>
        <w:spacing w:line="480" w:lineRule="auto"/>
        <w:ind w:firstLine="720"/>
      </w:pPr>
      <w:r>
        <w:t>-</w:t>
      </w:r>
      <w:r w:rsidRPr="00403C0D">
        <w:t xml:space="preserve"> </w:t>
      </w:r>
      <w:r w:rsidRPr="00403C0D">
        <w:t>PATENT ELIGIBILITY AFTER MAYO: HOW DID WE GET HERE AND WHERE DO WE GO?</w:t>
      </w:r>
    </w:p>
    <w:p w14:paraId="664586F2" w14:textId="00C6B489" w:rsidR="00403C0D" w:rsidRDefault="00403C0D" w:rsidP="005D0DA8">
      <w:pPr>
        <w:spacing w:line="480" w:lineRule="auto"/>
        <w:ind w:firstLine="720"/>
      </w:pPr>
      <w:r>
        <w:t xml:space="preserve">- </w:t>
      </w:r>
      <w:r w:rsidRPr="00403C0D">
        <w:t>CHALLENGES WITH PATENTING SOFTWARE</w:t>
      </w:r>
    </w:p>
    <w:p w14:paraId="62088D69" w14:textId="076A60FE" w:rsidR="00403C0D" w:rsidRDefault="00403C0D" w:rsidP="005D0DA8">
      <w:pPr>
        <w:spacing w:line="480" w:lineRule="auto"/>
        <w:ind w:firstLine="720"/>
      </w:pPr>
      <w:r>
        <w:lastRenderedPageBreak/>
        <w:t xml:space="preserve">- </w:t>
      </w:r>
      <w:r w:rsidR="0037321E" w:rsidRPr="0037321E">
        <w:t>OUT OF WONDERLAND FROM DIEHR TO AATRIX: THREE STEPS TO OVERCOMING 101 REJECTIONS--PART I</w:t>
      </w:r>
    </w:p>
    <w:p w14:paraId="17179C69" w14:textId="33B3A729" w:rsidR="0037321E" w:rsidRDefault="0037321E" w:rsidP="005D0DA8">
      <w:pPr>
        <w:spacing w:line="480" w:lineRule="auto"/>
        <w:ind w:firstLine="720"/>
      </w:pPr>
      <w:r>
        <w:t xml:space="preserve">- </w:t>
      </w:r>
      <w:bookmarkStart w:id="13" w:name="cobalt_foldering_ro_item_name_17"/>
      <w:r>
        <w:fldChar w:fldCharType="begin"/>
      </w:r>
      <w:r>
        <w:instrText xml:space="preserve"> HYPERLINK "https://1.next.westlaw.com/Document/I849708333df211e89bf099c0ee06c731/View/FullText.html?navigationPath=%2FFoldering%2Fv1%2Fskguth10%2Fcontainers%2Fuser%2F03c41c7d12f540a8934872beca9e6153%2Fcontents%2FdocumentNavigation%2Feb174aae-b20a-4d6d-8f0a-b23b823131ea%2FI849708333df211e89bf099c0ee06c731%3FcontainerType%3Dfolder&amp;listSource=Foldering&amp;list=folderContents&amp;rank=17&amp;sessionScopeId=c62b8f4d2ecded83d080d4e3190c7ce2e4b806b7df9168d3f6c5e5f3f7999a9f&amp;rulebookMode=false&amp;fcid=e045a2104e81411c83e18400d1f8184c&amp;transitionType=FolderItem&amp;contextData=%28cid.e045a2104e81411c83e18400d1f8184c*oc.Default%29" </w:instrText>
      </w:r>
      <w:r>
        <w:fldChar w:fldCharType="separate"/>
      </w:r>
      <w:r>
        <w:rPr>
          <w:rStyle w:val="Hyperlink"/>
          <w:rFonts w:ascii="Source Sans Pro" w:hAnsi="Source Sans Pro"/>
          <w:color w:val="0E568C"/>
          <w:sz w:val="21"/>
          <w:szCs w:val="21"/>
          <w:bdr w:val="none" w:sz="0" w:space="0" w:color="auto" w:frame="1"/>
          <w:shd w:val="clear" w:color="auto" w:fill="FFFFFF"/>
        </w:rPr>
        <w:t>QUICK DECISIONS IN PATENT CASES</w:t>
      </w:r>
      <w:r>
        <w:fldChar w:fldCharType="end"/>
      </w:r>
      <w:bookmarkEnd w:id="13"/>
    </w:p>
    <w:p w14:paraId="0E209355" w14:textId="6F618465" w:rsidR="001808D3" w:rsidRDefault="001808D3" w:rsidP="005D0DA8">
      <w:pPr>
        <w:spacing w:line="480" w:lineRule="auto"/>
        <w:ind w:firstLine="720"/>
      </w:pPr>
      <w:r w:rsidRPr="001808D3">
        <w:t>SOFTWARE PATENTS AND PRETRIAL DISMISSAL BASED ON INELIGIBILITY</w:t>
      </w:r>
    </w:p>
    <w:p w14:paraId="3B42A8BA" w14:textId="52ABCF43" w:rsidR="001808D3" w:rsidRDefault="001808D3" w:rsidP="001808D3">
      <w:pPr>
        <w:pStyle w:val="ListParagraph"/>
        <w:numPr>
          <w:ilvl w:val="0"/>
          <w:numId w:val="8"/>
        </w:numPr>
        <w:spacing w:line="480" w:lineRule="auto"/>
      </w:pPr>
      <w:r>
        <w:t xml:space="preserve">Re read </w:t>
      </w:r>
      <w:proofErr w:type="spellStart"/>
      <w:r>
        <w:t>alice</w:t>
      </w:r>
      <w:proofErr w:type="spellEnd"/>
    </w:p>
    <w:p w14:paraId="0B210BBC" w14:textId="39ACF513" w:rsidR="001808D3" w:rsidRDefault="001808D3" w:rsidP="001808D3">
      <w:pPr>
        <w:pStyle w:val="ListParagraph"/>
        <w:numPr>
          <w:ilvl w:val="0"/>
          <w:numId w:val="8"/>
        </w:numPr>
        <w:spacing w:line="480" w:lineRule="auto"/>
      </w:pPr>
      <w:r>
        <w:t>Read core wireless</w:t>
      </w:r>
    </w:p>
    <w:p w14:paraId="4421B424" w14:textId="6829356F" w:rsidR="001808D3" w:rsidRDefault="001808D3" w:rsidP="001808D3">
      <w:pPr>
        <w:pStyle w:val="ListParagraph"/>
        <w:numPr>
          <w:ilvl w:val="0"/>
          <w:numId w:val="8"/>
        </w:numPr>
        <w:spacing w:line="480" w:lineRule="auto"/>
      </w:pPr>
      <w:r>
        <w:t xml:space="preserve">Read </w:t>
      </w:r>
      <w:proofErr w:type="spellStart"/>
      <w:r>
        <w:t>McRO</w:t>
      </w:r>
      <w:proofErr w:type="spellEnd"/>
    </w:p>
    <w:p w14:paraId="0FF3D046" w14:textId="323F18F3" w:rsidR="001808D3" w:rsidRDefault="001808D3" w:rsidP="001808D3">
      <w:pPr>
        <w:pStyle w:val="ListParagraph"/>
        <w:numPr>
          <w:ilvl w:val="0"/>
          <w:numId w:val="8"/>
        </w:numPr>
        <w:spacing w:line="480" w:lineRule="auto"/>
      </w:pPr>
      <w:r>
        <w:t>Read DDR holdings</w:t>
      </w:r>
    </w:p>
    <w:p w14:paraId="1588E164" w14:textId="77777777" w:rsidR="00403C0D" w:rsidRDefault="00403C0D" w:rsidP="005D0DA8">
      <w:pPr>
        <w:spacing w:line="480" w:lineRule="auto"/>
        <w:ind w:firstLine="720"/>
      </w:pPr>
    </w:p>
    <w:p w14:paraId="21A32C2B" w14:textId="77777777" w:rsidR="005D0DA8" w:rsidRDefault="005D0DA8" w:rsidP="00BF0CFC">
      <w:pPr>
        <w:spacing w:line="480" w:lineRule="auto"/>
        <w:ind w:firstLine="720"/>
      </w:pPr>
    </w:p>
    <w:p w14:paraId="66CCCABB" w14:textId="77777777" w:rsidR="00C72E21" w:rsidRPr="00771849" w:rsidRDefault="00C72E21" w:rsidP="00BF0CFC">
      <w:pPr>
        <w:spacing w:line="480" w:lineRule="auto"/>
        <w:ind w:firstLine="720"/>
      </w:pPr>
      <w:bookmarkStart w:id="14" w:name="_GoBack"/>
      <w:bookmarkEnd w:id="14"/>
    </w:p>
    <w:p w14:paraId="3AA51BDC" w14:textId="77777777" w:rsidR="008B7A00" w:rsidRDefault="00A55113" w:rsidP="00BF0CFC">
      <w:pPr>
        <w:keepNext/>
        <w:spacing w:line="480" w:lineRule="auto"/>
        <w:ind w:firstLine="720"/>
        <w:jc w:val="center"/>
      </w:pPr>
      <w:r w:rsidRPr="00A55113">
        <w:rPr>
          <w:noProof/>
        </w:rPr>
        <w:lastRenderedPageBreak/>
        <w:drawing>
          <wp:inline distT="0" distB="0" distL="0" distR="0" wp14:anchorId="6B7340C7" wp14:editId="23FB5E2F">
            <wp:extent cx="3619959" cy="521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7677" cy="5230829"/>
                    </a:xfrm>
                    <a:prstGeom prst="rect">
                      <a:avLst/>
                    </a:prstGeom>
                  </pic:spPr>
                </pic:pic>
              </a:graphicData>
            </a:graphic>
          </wp:inline>
        </w:drawing>
      </w:r>
    </w:p>
    <w:p w14:paraId="5BC1FE73" w14:textId="0C74E694" w:rsidR="004A6DBA" w:rsidRDefault="008B7A00" w:rsidP="00BF0CFC">
      <w:pPr>
        <w:pStyle w:val="Caption"/>
        <w:spacing w:line="480" w:lineRule="auto"/>
        <w:jc w:val="center"/>
        <w:rPr>
          <w:noProof/>
        </w:rPr>
      </w:pPr>
      <w:r>
        <w:t xml:space="preserve">Figure </w:t>
      </w:r>
      <w:fldSimple w:instr=" SEQ Figure \* ARABIC ">
        <w:r>
          <w:rPr>
            <w:noProof/>
          </w:rPr>
          <w:t>1</w:t>
        </w:r>
      </w:fldSimple>
      <w:r>
        <w:rPr>
          <w:noProof/>
        </w:rPr>
        <w:t xml:space="preserve"> - </w:t>
      </w:r>
      <w:hyperlink r:id="rId12" w:history="1">
        <w:r w:rsidR="004A6DBA" w:rsidRPr="001457DD">
          <w:rPr>
            <w:rStyle w:val="Hyperlink"/>
            <w:noProof/>
          </w:rPr>
          <w:t>https://www.uspto.gov/web/offices/pac/mpep/s2106.html</w:t>
        </w:r>
      </w:hyperlink>
    </w:p>
    <w:p w14:paraId="47D5079D" w14:textId="77777777" w:rsidR="004A6DBA" w:rsidRDefault="004A6DBA" w:rsidP="00BF0CFC">
      <w:pPr>
        <w:spacing w:before="0" w:after="160" w:line="480" w:lineRule="auto"/>
        <w:rPr>
          <w:i/>
          <w:iCs/>
          <w:noProof/>
          <w:color w:val="44546A" w:themeColor="text2"/>
          <w:sz w:val="18"/>
          <w:szCs w:val="18"/>
        </w:rPr>
      </w:pPr>
      <w:r>
        <w:rPr>
          <w:noProof/>
        </w:rPr>
        <w:br w:type="page"/>
      </w:r>
    </w:p>
    <w:p w14:paraId="0CA0BAC6" w14:textId="77777777" w:rsidR="00A94485" w:rsidRDefault="00A94485" w:rsidP="00A94485">
      <w:pPr>
        <w:spacing w:line="480" w:lineRule="auto"/>
      </w:pPr>
      <w:r>
        <w:lastRenderedPageBreak/>
        <w:t>Pledge of Honesty</w:t>
      </w:r>
    </w:p>
    <w:p w14:paraId="0D29F65B" w14:textId="77777777" w:rsidR="00A94485" w:rsidRDefault="00A94485" w:rsidP="00A94485">
      <w:pPr>
        <w:spacing w:line="480" w:lineRule="auto"/>
      </w:pPr>
      <w:r>
        <w:t xml:space="preserve">On my honor, I submit this work in good faith and pledge that I have neither given nor received improper aid in its completion. </w:t>
      </w:r>
    </w:p>
    <w:p w14:paraId="1DDCABEC" w14:textId="77777777" w:rsidR="00A94485" w:rsidRDefault="00A94485" w:rsidP="00A94485">
      <w:pPr>
        <w:spacing w:line="480" w:lineRule="auto"/>
      </w:pPr>
      <w:r>
        <w:t>/s/ Seth Guthrie</w:t>
      </w:r>
    </w:p>
    <w:p w14:paraId="663E5ACE" w14:textId="012E6C8D" w:rsidR="00EE5E04" w:rsidRDefault="00EE5E04" w:rsidP="00BF0CFC">
      <w:pPr>
        <w:spacing w:line="480" w:lineRule="auto"/>
      </w:pPr>
    </w:p>
    <w:sectPr w:rsidR="00EE5E0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eth guthrie" w:date="2018-11-19T13:59:00Z" w:initials="sg">
    <w:p w14:paraId="0C6FF372" w14:textId="77777777" w:rsidR="000E17C4" w:rsidRDefault="000E17C4">
      <w:pPr>
        <w:pStyle w:val="CommentText"/>
        <w:rPr>
          <w:rFonts w:ascii="Source Sans Pro" w:hAnsi="Source Sans Pro"/>
          <w:color w:val="565656"/>
          <w:sz w:val="23"/>
          <w:szCs w:val="23"/>
          <w:shd w:val="clear" w:color="auto" w:fill="FFFFFF"/>
        </w:rPr>
      </w:pPr>
      <w:r>
        <w:rPr>
          <w:rStyle w:val="CommentReference"/>
        </w:rPr>
        <w:annotationRef/>
      </w:r>
      <w:r w:rsidR="002317DA">
        <w:rPr>
          <w:rFonts w:ascii="Source Sans Pro" w:hAnsi="Source Sans Pro"/>
          <w:color w:val="565656"/>
          <w:sz w:val="23"/>
          <w:szCs w:val="23"/>
          <w:shd w:val="clear" w:color="auto" w:fill="FFFFFF"/>
        </w:rPr>
        <w:t>A principle, in the abstract, is fundamental truth, an original cause, a motive, and these cannot be patented, as no one can claim in any of them an exclusive right.</w:t>
      </w:r>
    </w:p>
    <w:p w14:paraId="1A89F225" w14:textId="77777777" w:rsidR="002317DA" w:rsidRDefault="002317DA">
      <w:pPr>
        <w:pStyle w:val="CommentText"/>
      </w:pPr>
    </w:p>
    <w:p w14:paraId="25355347" w14:textId="77777777" w:rsidR="002317DA" w:rsidRDefault="002317DA">
      <w:pPr>
        <w:pStyle w:val="CommentText"/>
        <w:rPr>
          <w:rFonts w:ascii="Source Sans Pro" w:hAnsi="Source Sans Pro"/>
          <w:color w:val="565656"/>
          <w:sz w:val="23"/>
          <w:szCs w:val="23"/>
          <w:shd w:val="clear" w:color="auto" w:fill="FFFFFF"/>
        </w:rPr>
      </w:pPr>
      <w:r>
        <w:rPr>
          <w:rFonts w:ascii="Source Sans Pro" w:hAnsi="Source Sans Pro"/>
          <w:color w:val="565656"/>
          <w:sz w:val="23"/>
          <w:szCs w:val="23"/>
          <w:shd w:val="clear" w:color="auto" w:fill="FFFFFF"/>
        </w:rPr>
        <w:t>Phenomena of nature, although just discovered, mental processes, and abstract intellectual concepts are not patentable as they are basic tools of scientific and technological work.</w:t>
      </w:r>
    </w:p>
    <w:p w14:paraId="6EA06C35" w14:textId="77777777" w:rsidR="002317DA" w:rsidRDefault="002317DA">
      <w:pPr>
        <w:pStyle w:val="CommentText"/>
      </w:pPr>
    </w:p>
    <w:p w14:paraId="679B737C" w14:textId="698D28D7" w:rsidR="002317DA" w:rsidRDefault="002317DA">
      <w:pPr>
        <w:pStyle w:val="CommentText"/>
      </w:pPr>
      <w:r>
        <w:rPr>
          <w:rFonts w:ascii="Source Sans Pro" w:hAnsi="Source Sans Pro"/>
          <w:color w:val="565656"/>
          <w:sz w:val="23"/>
          <w:szCs w:val="23"/>
          <w:shd w:val="clear" w:color="auto" w:fill="FFFFFF"/>
        </w:rPr>
        <w:t>He who discovers hitherto unknown phenomenon of nature has no claim to a monopoly of it which law recognizes and if there is to be invention from such discovery, it must come from application of law of nature to new and useful end.</w:t>
      </w:r>
    </w:p>
  </w:comment>
  <w:comment w:id="1" w:author="seth guthrie" w:date="2018-11-20T00:35:00Z" w:initials="sg">
    <w:p w14:paraId="5592235C" w14:textId="77777777" w:rsidR="00D83BD3" w:rsidRDefault="00DC3FEE" w:rsidP="00D83BD3">
      <w:pPr>
        <w:pStyle w:val="CommentText"/>
      </w:pPr>
      <w:r>
        <w:rPr>
          <w:rStyle w:val="CommentReference"/>
        </w:rPr>
        <w:annotationRef/>
      </w:r>
      <w:r w:rsidR="00D83BD3">
        <w:t>*41 Simply put, the “abstract idea” doctrine states that an idea cannot be patented.128 However, nothing is as simple as it seems. The Court has long struggled with what makes something “abstract.”129 In fact, they have even appeared to contradict themselves.130 Both Mayo and Alice failed to provide a firm definition of what constitutes an “abstract idea.”</w:t>
      </w:r>
    </w:p>
    <w:p w14:paraId="6263516B" w14:textId="77777777" w:rsidR="00D83BD3" w:rsidRDefault="00D83BD3" w:rsidP="00D83BD3">
      <w:pPr>
        <w:pStyle w:val="CommentText"/>
      </w:pPr>
    </w:p>
    <w:p w14:paraId="1C2FF509" w14:textId="17375D46" w:rsidR="00DC3FEE" w:rsidRDefault="00D83BD3" w:rsidP="00D83BD3">
      <w:pPr>
        <w:pStyle w:val="CommentText"/>
      </w:pPr>
      <w:r>
        <w:t>Robert Daniel Garza, Software Patents and Pretrial Dismissal Based on Ineligibility, 24 Rich. J.L. &amp; Tech. 1, 41 (2018)</w:t>
      </w:r>
    </w:p>
  </w:comment>
  <w:comment w:id="2" w:author="seth guthrie" w:date="2018-11-19T17:16:00Z" w:initials="sg">
    <w:p w14:paraId="7CC57F96" w14:textId="1983733B" w:rsidR="003E6D00" w:rsidRDefault="003E6D00">
      <w:pPr>
        <w:pStyle w:val="CommentText"/>
      </w:pPr>
      <w:r>
        <w:rPr>
          <w:rStyle w:val="CommentReference"/>
        </w:rPr>
        <w:annotationRef/>
      </w:r>
      <w:r>
        <w:t xml:space="preserve">These are not the ONLY things that are abstract. Give more examples. </w:t>
      </w:r>
    </w:p>
  </w:comment>
  <w:comment w:id="3" w:author="seth guthrie" w:date="2018-11-19T13:35:00Z" w:initials="sg">
    <w:p w14:paraId="5543109C" w14:textId="1EAD6254" w:rsidR="00FD26EF" w:rsidRDefault="00FD26EF">
      <w:pPr>
        <w:pStyle w:val="CommentText"/>
      </w:pPr>
      <w:r>
        <w:rPr>
          <w:rStyle w:val="CommentReference"/>
        </w:rPr>
        <w:annotationRef/>
      </w:r>
      <w:r>
        <w:t>This is the incorrect word. Characterize? Champion?</w:t>
      </w:r>
      <w:r w:rsidR="00313A5A">
        <w:t xml:space="preserve"> Exhibits?</w:t>
      </w:r>
    </w:p>
  </w:comment>
  <w:comment w:id="4" w:author="seth guthrie" w:date="2018-11-19T15:27:00Z" w:initials="sg">
    <w:p w14:paraId="2396629D" w14:textId="77777777" w:rsidR="00004E58" w:rsidRPr="00004E58" w:rsidRDefault="00004E58" w:rsidP="00004E58">
      <w:pPr>
        <w:spacing w:before="0" w:after="0"/>
        <w:rPr>
          <w:rFonts w:eastAsia="Times New Roman" w:cs="Times New Roman"/>
          <w:color w:val="auto"/>
          <w:szCs w:val="24"/>
        </w:rPr>
      </w:pPr>
      <w:r>
        <w:rPr>
          <w:rStyle w:val="CommentReference"/>
        </w:rPr>
        <w:annotationRef/>
      </w:r>
      <w:r w:rsidRPr="00004E58">
        <w:rPr>
          <w:rFonts w:ascii="Source Sans Pro" w:eastAsia="Times New Roman" w:hAnsi="Source Sans Pro" w:cs="Times New Roman"/>
          <w:color w:val="000000"/>
          <w:szCs w:val="24"/>
          <w:shd w:val="clear" w:color="auto" w:fill="FFFFFF"/>
        </w:rPr>
        <w:t xml:space="preserve">On the other hand, when a claim containing a mathematical formula implements or applies that formula in a structure or process which, when </w:t>
      </w:r>
      <w:proofErr w:type="gramStart"/>
      <w:r w:rsidRPr="00004E58">
        <w:rPr>
          <w:rFonts w:ascii="Source Sans Pro" w:eastAsia="Times New Roman" w:hAnsi="Source Sans Pro" w:cs="Times New Roman"/>
          <w:color w:val="000000"/>
          <w:szCs w:val="24"/>
          <w:shd w:val="clear" w:color="auto" w:fill="FFFFFF"/>
        </w:rPr>
        <w:t>considered as a whole, is</w:t>
      </w:r>
      <w:proofErr w:type="gramEnd"/>
      <w:r w:rsidRPr="00004E58">
        <w:rPr>
          <w:rFonts w:ascii="Source Sans Pro" w:eastAsia="Times New Roman" w:hAnsi="Source Sans Pro" w:cs="Times New Roman"/>
          <w:color w:val="000000"/>
          <w:szCs w:val="24"/>
          <w:shd w:val="clear" w:color="auto" w:fill="FFFFFF"/>
        </w:rPr>
        <w:t xml:space="preserve"> performing a function which the patent laws were designed to protect (</w:t>
      </w:r>
      <w:r w:rsidRPr="00004E58">
        <w:rPr>
          <w:rFonts w:ascii="Source Sans Pro" w:eastAsia="Times New Roman" w:hAnsi="Source Sans Pro" w:cs="Times New Roman"/>
          <w:i/>
          <w:iCs/>
          <w:color w:val="000000"/>
          <w:szCs w:val="24"/>
          <w:bdr w:val="none" w:sz="0" w:space="0" w:color="auto" w:frame="1"/>
        </w:rPr>
        <w:t>e. g.</w:t>
      </w:r>
      <w:r w:rsidRPr="00004E58">
        <w:rPr>
          <w:rFonts w:ascii="Source Sans Pro" w:eastAsia="Times New Roman" w:hAnsi="Source Sans Pro" w:cs="Times New Roman"/>
          <w:color w:val="000000"/>
          <w:szCs w:val="24"/>
          <w:shd w:val="clear" w:color="auto" w:fill="FFFFFF"/>
        </w:rPr>
        <w:t>, transforming or reducing an article to a different </w:t>
      </w:r>
      <w:r w:rsidRPr="00004E58">
        <w:rPr>
          <w:rFonts w:ascii="Source Sans Pro" w:eastAsia="Times New Roman" w:hAnsi="Source Sans Pro" w:cs="Times New Roman"/>
          <w:b/>
          <w:bCs/>
          <w:color w:val="000000"/>
          <w:szCs w:val="24"/>
          <w:bdr w:val="single" w:sz="12" w:space="0" w:color="86B392" w:frame="1"/>
        </w:rPr>
        <w:t>**1060</w:t>
      </w:r>
      <w:r w:rsidRPr="00004E58">
        <w:rPr>
          <w:rFonts w:ascii="Source Sans Pro" w:eastAsia="Times New Roman" w:hAnsi="Source Sans Pro" w:cs="Times New Roman"/>
          <w:color w:val="000000"/>
          <w:szCs w:val="24"/>
          <w:shd w:val="clear" w:color="auto" w:fill="FFFFFF"/>
        </w:rPr>
        <w:t> state or thing), then the claim satisfies the requirements of § 101. </w:t>
      </w:r>
      <w:r w:rsidRPr="00004E58">
        <w:rPr>
          <w:rFonts w:ascii="Source Sans Pro" w:eastAsia="Times New Roman" w:hAnsi="Source Sans Pro" w:cs="Times New Roman"/>
          <w:color w:val="000000"/>
          <w:szCs w:val="24"/>
        </w:rPr>
        <w:br/>
      </w:r>
    </w:p>
    <w:p w14:paraId="5B51EC69" w14:textId="77777777" w:rsidR="00004E58" w:rsidRPr="00004E58" w:rsidRDefault="00004E58" w:rsidP="00004E58">
      <w:pPr>
        <w:shd w:val="clear" w:color="auto" w:fill="FFFFFF"/>
        <w:spacing w:before="0" w:after="0"/>
        <w:textAlignment w:val="baseline"/>
        <w:rPr>
          <w:rFonts w:ascii="Source Sans Pro" w:eastAsia="Times New Roman" w:hAnsi="Source Sans Pro" w:cs="Times New Roman"/>
          <w:color w:val="000000"/>
          <w:szCs w:val="24"/>
        </w:rPr>
      </w:pPr>
      <w:r w:rsidRPr="00004E58">
        <w:rPr>
          <w:rFonts w:ascii="Source Sans Pro" w:eastAsia="Times New Roman" w:hAnsi="Source Sans Pro" w:cs="Times New Roman"/>
          <w:color w:val="000000"/>
          <w:szCs w:val="24"/>
          <w:u w:val="single"/>
          <w:bdr w:val="none" w:sz="0" w:space="0" w:color="auto" w:frame="1"/>
        </w:rPr>
        <w:t xml:space="preserve">Diamond v. </w:t>
      </w:r>
      <w:proofErr w:type="spellStart"/>
      <w:r w:rsidRPr="00004E58">
        <w:rPr>
          <w:rFonts w:ascii="Source Sans Pro" w:eastAsia="Times New Roman" w:hAnsi="Source Sans Pro" w:cs="Times New Roman"/>
          <w:color w:val="000000"/>
          <w:szCs w:val="24"/>
          <w:u w:val="single"/>
          <w:bdr w:val="none" w:sz="0" w:space="0" w:color="auto" w:frame="1"/>
        </w:rPr>
        <w:t>Diehr</w:t>
      </w:r>
      <w:proofErr w:type="spellEnd"/>
      <w:r w:rsidRPr="00004E58">
        <w:rPr>
          <w:rFonts w:ascii="Source Sans Pro" w:eastAsia="Times New Roman" w:hAnsi="Source Sans Pro" w:cs="Times New Roman"/>
          <w:color w:val="000000"/>
          <w:szCs w:val="24"/>
        </w:rPr>
        <w:t>, 450 U.S. 175, 192, 101 S. Ct. 1048, 1059–60, 67 L. Ed. 2d 155 (1981)</w:t>
      </w:r>
    </w:p>
    <w:p w14:paraId="4798CC47" w14:textId="4BE1882C" w:rsidR="00004E58" w:rsidRDefault="00004E58">
      <w:pPr>
        <w:pStyle w:val="CommentText"/>
      </w:pPr>
    </w:p>
  </w:comment>
  <w:comment w:id="5" w:author="seth guthrie" w:date="2018-11-19T15:31:00Z" w:initials="sg">
    <w:p w14:paraId="14DE09E7" w14:textId="77777777" w:rsidR="006C3006" w:rsidRPr="00512487" w:rsidRDefault="006C3006" w:rsidP="006C3006">
      <w:pPr>
        <w:ind w:firstLine="720"/>
        <w:rPr>
          <w:color w:val="FF0000"/>
        </w:rPr>
      </w:pPr>
      <w:r>
        <w:rPr>
          <w:rStyle w:val="CommentReference"/>
        </w:rPr>
        <w:annotationRef/>
      </w:r>
      <w:r>
        <w:rPr>
          <w:color w:val="FF0000"/>
        </w:rPr>
        <w:t>[</w:t>
      </w:r>
      <w:proofErr w:type="spellStart"/>
      <w:r w:rsidRPr="006C3006">
        <w:rPr>
          <w:color w:val="FF0000"/>
        </w:rPr>
        <w:t>McRO</w:t>
      </w:r>
      <w:proofErr w:type="spellEnd"/>
      <w:r w:rsidRPr="006C3006">
        <w:rPr>
          <w:color w:val="FF0000"/>
        </w:rPr>
        <w:t xml:space="preserve"> v. Bandai</w:t>
      </w:r>
      <w:r>
        <w:rPr>
          <w:color w:val="FF0000"/>
        </w:rPr>
        <w:t xml:space="preserve"> </w:t>
      </w:r>
      <w:r w:rsidRPr="006C3006">
        <w:rPr>
          <w:color w:val="FF0000"/>
        </w:rPr>
        <w:t xml:space="preserve">A lesson of </w:t>
      </w:r>
      <w:proofErr w:type="spellStart"/>
      <w:r w:rsidRPr="006C3006">
        <w:rPr>
          <w:color w:val="FF0000"/>
        </w:rPr>
        <w:t>McRO</w:t>
      </w:r>
      <w:proofErr w:type="spellEnd"/>
      <w:r w:rsidRPr="006C3006">
        <w:rPr>
          <w:color w:val="FF0000"/>
        </w:rPr>
        <w:t xml:space="preserve"> is that in the event the software invention produces a result that is only displayed or is otherwise internal to the operations of the computer itself, the software needs to include the application of technical rules in order to be deemed non-abstract.</w:t>
      </w:r>
      <w:r>
        <w:rPr>
          <w:color w:val="FF0000"/>
        </w:rPr>
        <w:t>]</w:t>
      </w:r>
    </w:p>
    <w:p w14:paraId="7912325D" w14:textId="77777777" w:rsidR="006E0169" w:rsidRDefault="006E0169" w:rsidP="006E0169">
      <w:pPr>
        <w:pStyle w:val="CommentText"/>
      </w:pPr>
    </w:p>
    <w:p w14:paraId="743D23D2" w14:textId="4A2310B2" w:rsidR="003A7B15" w:rsidRDefault="006E0169" w:rsidP="006E0169">
      <w:pPr>
        <w:pStyle w:val="CommentText"/>
      </w:pPr>
      <w:r>
        <w:t xml:space="preserve">30 </w:t>
      </w:r>
      <w:proofErr w:type="spellStart"/>
      <w:r>
        <w:t>Intell</w:t>
      </w:r>
      <w:proofErr w:type="spellEnd"/>
      <w:r>
        <w:t xml:space="preserve">. Prop. &amp; Tech. L.J. 3, 6, 30 NO. 8 </w:t>
      </w:r>
      <w:proofErr w:type="spellStart"/>
      <w:r>
        <w:t>Intell</w:t>
      </w:r>
      <w:proofErr w:type="spellEnd"/>
      <w:r>
        <w:t>. Prop. &amp; Tech. L.J. 3, 6</w:t>
      </w:r>
    </w:p>
  </w:comment>
  <w:comment w:id="6" w:author="seth guthrie" w:date="2018-11-19T16:12:00Z" w:initials="sg">
    <w:p w14:paraId="0F760F11" w14:textId="325B307E" w:rsidR="0094033F" w:rsidRDefault="0094033F">
      <w:pPr>
        <w:pStyle w:val="CommentText"/>
      </w:pPr>
      <w:r>
        <w:rPr>
          <w:rStyle w:val="CommentReference"/>
        </w:rPr>
        <w:annotationRef/>
      </w:r>
      <w:r>
        <w:rPr>
          <w:color w:val="FF0000"/>
        </w:rPr>
        <w:t xml:space="preserve">Refer to </w:t>
      </w:r>
      <w:r w:rsidRPr="0094033F">
        <w:rPr>
          <w:color w:val="FF0000"/>
        </w:rPr>
        <w:t xml:space="preserve">Joshua A. </w:t>
      </w:r>
      <w:proofErr w:type="spellStart"/>
      <w:r w:rsidRPr="0094033F">
        <w:rPr>
          <w:color w:val="FF0000"/>
        </w:rPr>
        <w:t>Kresh</w:t>
      </w:r>
      <w:proofErr w:type="spellEnd"/>
      <w:r w:rsidRPr="0094033F">
        <w:rPr>
          <w:color w:val="FF0000"/>
        </w:rPr>
        <w:t xml:space="preserve">, Patent Eligibility After Mayo: How Did We Get Here and Where Do We </w:t>
      </w:r>
      <w:proofErr w:type="gramStart"/>
      <w:r w:rsidRPr="0094033F">
        <w:rPr>
          <w:color w:val="FF0000"/>
        </w:rPr>
        <w:t>Go?,</w:t>
      </w:r>
      <w:proofErr w:type="gramEnd"/>
      <w:r w:rsidRPr="0094033F">
        <w:rPr>
          <w:color w:val="FF0000"/>
        </w:rPr>
        <w:t xml:space="preserve"> 22 Fed. Circuit B.J. 521, 532 (2013)</w:t>
      </w:r>
      <w:r w:rsidRPr="00512487">
        <w:rPr>
          <w:color w:val="FF0000"/>
        </w:rPr>
        <w:t>]</w:t>
      </w:r>
    </w:p>
  </w:comment>
  <w:comment w:id="7" w:author="seth guthrie" w:date="2018-11-19T15:45:00Z" w:initials="sg">
    <w:p w14:paraId="128AE775" w14:textId="77777777" w:rsidR="002B6A3B" w:rsidRDefault="002B6A3B" w:rsidP="002B6A3B">
      <w:pPr>
        <w:ind w:firstLine="720"/>
      </w:pPr>
      <w:r>
        <w:rPr>
          <w:rStyle w:val="CommentReference"/>
        </w:rPr>
        <w:annotationRef/>
      </w:r>
      <w:r>
        <w:t xml:space="preserve">Read mayo, read </w:t>
      </w:r>
      <w:proofErr w:type="spellStart"/>
      <w:r>
        <w:t>alice</w:t>
      </w:r>
      <w:proofErr w:type="spellEnd"/>
      <w:r>
        <w:t xml:space="preserve">, </w:t>
      </w:r>
      <w:proofErr w:type="gramStart"/>
      <w:r>
        <w:t>Read</w:t>
      </w:r>
      <w:proofErr w:type="gramEnd"/>
      <w:r>
        <w:t xml:space="preserve"> </w:t>
      </w:r>
      <w:proofErr w:type="spellStart"/>
      <w:r>
        <w:t>enfish</w:t>
      </w:r>
      <w:proofErr w:type="spellEnd"/>
      <w:r>
        <w:t xml:space="preserve">, Read core wireless, </w:t>
      </w:r>
      <w:proofErr w:type="spellStart"/>
      <w:r>
        <w:t>ea</w:t>
      </w:r>
      <w:proofErr w:type="spellEnd"/>
    </w:p>
    <w:p w14:paraId="15468D22" w14:textId="4EA106B3" w:rsidR="002B6A3B" w:rsidRDefault="002B6A3B">
      <w:pPr>
        <w:pStyle w:val="CommentText"/>
      </w:pPr>
    </w:p>
  </w:comment>
  <w:comment w:id="8" w:author="seth guthrie" w:date="2018-11-19T16:13:00Z" w:initials="sg">
    <w:p w14:paraId="0054D64F" w14:textId="3091DF0E" w:rsidR="00AE6A6A" w:rsidRDefault="00A9598D" w:rsidP="00AE6A6A">
      <w:pPr>
        <w:pStyle w:val="CommentText"/>
      </w:pPr>
      <w:r>
        <w:rPr>
          <w:rStyle w:val="CommentReference"/>
        </w:rPr>
        <w:annotationRef/>
      </w:r>
      <w:proofErr w:type="spellStart"/>
      <w:r>
        <w:t>Spurce</w:t>
      </w:r>
      <w:proofErr w:type="spellEnd"/>
      <w:r>
        <w:t xml:space="preserve"> up the Mayo section. See</w:t>
      </w:r>
      <w:r w:rsidR="00AE6A6A">
        <w:t xml:space="preserve"> </w:t>
      </w:r>
    </w:p>
    <w:p w14:paraId="51AE3AD6" w14:textId="77777777" w:rsidR="00AE6A6A" w:rsidRDefault="00AE6A6A" w:rsidP="00AE6A6A">
      <w:pPr>
        <w:pStyle w:val="CommentText"/>
      </w:pPr>
    </w:p>
    <w:p w14:paraId="331945EF" w14:textId="24140F0B" w:rsidR="00A9598D" w:rsidRDefault="00AE6A6A" w:rsidP="00AE6A6A">
      <w:pPr>
        <w:pStyle w:val="CommentText"/>
      </w:pPr>
      <w:r>
        <w:t>Robert Daniel Garza, Software Patents and Pretrial Dismissal Based on Ineligibility, 24 Rich. J.L. &amp; Tech. 1 (2018)</w:t>
      </w:r>
    </w:p>
  </w:comment>
  <w:comment w:id="10" w:author="seth guthrie" w:date="2018-11-19T15:33:00Z" w:initials="sg">
    <w:p w14:paraId="0EEA4BEB" w14:textId="77777777" w:rsidR="00827DEC" w:rsidRDefault="00827DEC" w:rsidP="00827DEC">
      <w:pPr>
        <w:pStyle w:val="NormalWeb"/>
        <w:spacing w:before="0" w:beforeAutospacing="0" w:after="0" w:afterAutospacing="0"/>
        <w:rPr>
          <w:rFonts w:ascii="Calibri" w:hAnsi="Calibri"/>
          <w:sz w:val="22"/>
          <w:szCs w:val="22"/>
        </w:rPr>
      </w:pPr>
      <w:r>
        <w:rPr>
          <w:rStyle w:val="CommentReference"/>
        </w:rPr>
        <w:annotationRef/>
      </w:r>
      <w:r>
        <w:rPr>
          <w:rFonts w:ascii="Calibri" w:hAnsi="Calibri"/>
          <w:sz w:val="22"/>
          <w:szCs w:val="22"/>
        </w:rPr>
        <w:t xml:space="preserve">Hung H. Bui, A </w:t>
      </w:r>
      <w:proofErr w:type="gramStart"/>
      <w:r>
        <w:rPr>
          <w:rFonts w:ascii="Calibri" w:hAnsi="Calibri"/>
          <w:sz w:val="22"/>
          <w:szCs w:val="22"/>
        </w:rPr>
        <w:t>Common Sense</w:t>
      </w:r>
      <w:proofErr w:type="gramEnd"/>
      <w:r>
        <w:rPr>
          <w:rFonts w:ascii="Calibri" w:hAnsi="Calibri"/>
          <w:sz w:val="22"/>
          <w:szCs w:val="22"/>
        </w:rPr>
        <w:t xml:space="preserve"> Approach to Implement the Supreme</w:t>
      </w:r>
    </w:p>
    <w:p w14:paraId="4D6F36BC" w14:textId="77777777" w:rsidR="00827DEC" w:rsidRDefault="00827DEC" w:rsidP="00827DEC">
      <w:pPr>
        <w:pStyle w:val="NormalWeb"/>
        <w:spacing w:before="0" w:beforeAutospacing="0" w:after="0" w:afterAutospacing="0"/>
        <w:rPr>
          <w:rFonts w:ascii="Calibri" w:hAnsi="Calibri"/>
          <w:sz w:val="22"/>
          <w:szCs w:val="22"/>
        </w:rPr>
      </w:pPr>
      <w:r>
        <w:rPr>
          <w:rFonts w:ascii="Calibri" w:hAnsi="Calibri"/>
          <w:sz w:val="22"/>
          <w:szCs w:val="22"/>
        </w:rPr>
        <w:t>Court's Alice Two-Step Framework to Provide "Certainty" and</w:t>
      </w:r>
    </w:p>
    <w:p w14:paraId="3E93A543" w14:textId="77777777" w:rsidR="00827DEC" w:rsidRDefault="00827DEC" w:rsidP="00827DEC">
      <w:pPr>
        <w:pStyle w:val="NormalWeb"/>
        <w:spacing w:before="0" w:beforeAutospacing="0" w:after="0" w:afterAutospacing="0"/>
        <w:rPr>
          <w:rFonts w:ascii="Calibri" w:hAnsi="Calibri"/>
          <w:sz w:val="22"/>
          <w:szCs w:val="22"/>
        </w:rPr>
      </w:pPr>
      <w:r>
        <w:rPr>
          <w:rFonts w:ascii="Calibri" w:hAnsi="Calibri"/>
          <w:sz w:val="22"/>
          <w:szCs w:val="22"/>
        </w:rPr>
        <w:t>"Predictability", 100 J. Pat. &amp; Trademark Off. Soc'y 165, 241-42 (2018)</w:t>
      </w:r>
    </w:p>
    <w:p w14:paraId="160758D8" w14:textId="32E80D8B" w:rsidR="00827DEC" w:rsidRDefault="00827DEC">
      <w:pPr>
        <w:pStyle w:val="CommentText"/>
      </w:pPr>
    </w:p>
  </w:comment>
  <w:comment w:id="9" w:author="seth guthrie" w:date="2018-11-17T21:39:00Z" w:initials="sg">
    <w:p w14:paraId="3E8D7A58" w14:textId="1A9CA8CC" w:rsidR="004C419E" w:rsidRDefault="008C2392" w:rsidP="004C419E">
      <w:pPr>
        <w:pStyle w:val="CommentText"/>
      </w:pPr>
      <w:r>
        <w:rPr>
          <w:rStyle w:val="CommentReference"/>
        </w:rPr>
        <w:annotationRef/>
      </w:r>
      <w:r w:rsidR="004C419E">
        <w:t xml:space="preserve">Software Patents and Pretrial Dismissal Based on Ineligibility </w:t>
      </w:r>
      <w:proofErr w:type="gramStart"/>
      <w:r w:rsidR="004C419E">
        <w:t>( a</w:t>
      </w:r>
      <w:proofErr w:type="gramEnd"/>
      <w:r w:rsidR="004C419E">
        <w:t xml:space="preserve"> great history of the software 101 journey)</w:t>
      </w:r>
    </w:p>
    <w:p w14:paraId="549B689F" w14:textId="222EAFFF" w:rsidR="004C419E" w:rsidRDefault="004C419E" w:rsidP="004C419E">
      <w:pPr>
        <w:pStyle w:val="CommentText"/>
      </w:pPr>
    </w:p>
    <w:p w14:paraId="69096FC1" w14:textId="77777777" w:rsidR="004C419E" w:rsidRDefault="004C419E" w:rsidP="004C419E">
      <w:pPr>
        <w:pStyle w:val="CommentText"/>
      </w:pPr>
      <w:r>
        <w:tab/>
      </w:r>
      <w:r>
        <w:tab/>
        <w:t xml:space="preserve">○ Software patent is not a term of art </w:t>
      </w:r>
    </w:p>
    <w:p w14:paraId="2A1130B5" w14:textId="77777777" w:rsidR="004C419E" w:rsidRDefault="004C419E" w:rsidP="004C419E">
      <w:pPr>
        <w:pStyle w:val="CommentText"/>
      </w:pPr>
      <w:r>
        <w:tab/>
      </w:r>
      <w:r>
        <w:tab/>
        <w:t>○ *41 Simply put, the “abstract idea” doctrine states that an idea cannot be patented.128 However, nothing is as simple as it seems. The Court has long struggled with what makes something “abstract.”129 In fact, they have even appeared to contradict themselves.130 Both Mayo and Alice failed to provide a firm definition of what constitutes an “abstract idea.”</w:t>
      </w:r>
    </w:p>
    <w:p w14:paraId="70865150" w14:textId="77777777" w:rsidR="004C419E" w:rsidRDefault="004C419E" w:rsidP="004C419E">
      <w:pPr>
        <w:pStyle w:val="CommentText"/>
      </w:pPr>
      <w:r>
        <w:tab/>
      </w:r>
      <w:r>
        <w:tab/>
        <w:t xml:space="preserve">○ Clarifying the § 101 landscape has not been an easy task. Instead of establishing a firm definition of what constitutes an “abstract idea,” the Federal Circuit has decided cases on a claim-by-claim basis.284 </w:t>
      </w:r>
    </w:p>
    <w:p w14:paraId="7BD71711" w14:textId="6BEA67CA" w:rsidR="008C2392" w:rsidRDefault="004C419E" w:rsidP="004C419E">
      <w:pPr>
        <w:pStyle w:val="CommentText"/>
      </w:pPr>
      <w:r>
        <w:t xml:space="preserve">See Amdocs (Isr.) Ltd. v. </w:t>
      </w:r>
      <w:proofErr w:type="spellStart"/>
      <w:r>
        <w:t>Openet</w:t>
      </w:r>
      <w:proofErr w:type="spellEnd"/>
      <w:r>
        <w:t xml:space="preserve"> Telecomm. Inc., 841 F.3d 1288, 1293-94 (Fed. Cir. 2016).</w:t>
      </w:r>
    </w:p>
  </w:comment>
  <w:comment w:id="11" w:author="seth guthrie" w:date="2018-11-19T17:26:00Z" w:initials="sg">
    <w:p w14:paraId="7FB8DFF8" w14:textId="77777777" w:rsidR="0082773E" w:rsidRPr="0082773E" w:rsidRDefault="0082773E" w:rsidP="0082773E">
      <w:pPr>
        <w:pStyle w:val="CommentText"/>
        <w:numPr>
          <w:ilvl w:val="0"/>
          <w:numId w:val="7"/>
        </w:numPr>
      </w:pPr>
      <w:r>
        <w:rPr>
          <w:rStyle w:val="CommentReference"/>
        </w:rPr>
        <w:annotationRef/>
      </w:r>
      <w:r w:rsidRPr="0082773E">
        <w:t>examine the elements of the claim to determine whether it contains an “‘inventive concept’” sufficient to “transform” the claimed abstract idea into a patent-eligible application</w:t>
      </w:r>
    </w:p>
    <w:p w14:paraId="72752B92" w14:textId="77777777" w:rsidR="0082773E" w:rsidRPr="0082773E" w:rsidRDefault="0082773E" w:rsidP="0082773E">
      <w:pPr>
        <w:pStyle w:val="CommentText"/>
        <w:numPr>
          <w:ilvl w:val="0"/>
          <w:numId w:val="7"/>
        </w:numPr>
      </w:pPr>
      <w:r w:rsidRPr="0082773E">
        <w:t>a claim that recites an abstract idea must include “additional features” to ensure “that the [claim] is more than a drafting effort designed to monopolize the [abstract idea].”</w:t>
      </w:r>
    </w:p>
    <w:p w14:paraId="14157142" w14:textId="77777777" w:rsidR="0082773E" w:rsidRPr="0082773E" w:rsidRDefault="0082773E" w:rsidP="0082773E">
      <w:pPr>
        <w:pStyle w:val="CommentText"/>
        <w:numPr>
          <w:ilvl w:val="0"/>
          <w:numId w:val="7"/>
        </w:numPr>
      </w:pPr>
      <w:r w:rsidRPr="0082773E">
        <w:t>transformation into a patent-eligible application requires “more than simply stating the abstract idea while adding the words ‘apply it</w:t>
      </w:r>
    </w:p>
    <w:p w14:paraId="15A6B623" w14:textId="77777777" w:rsidR="0082773E" w:rsidRPr="0082773E" w:rsidRDefault="0082773E" w:rsidP="0082773E">
      <w:pPr>
        <w:pStyle w:val="CommentText"/>
        <w:numPr>
          <w:ilvl w:val="0"/>
          <w:numId w:val="7"/>
        </w:numPr>
      </w:pPr>
      <w:r w:rsidRPr="0082773E">
        <w:t>simply appending conventional steps, specified at a high level of generality,” is not “enough” to supply an “‘inventive concept</w:t>
      </w:r>
    </w:p>
    <w:p w14:paraId="37A6294B" w14:textId="77777777" w:rsidR="0082773E" w:rsidRPr="0082773E" w:rsidRDefault="0082773E" w:rsidP="0082773E">
      <w:pPr>
        <w:pStyle w:val="CommentText"/>
        <w:numPr>
          <w:ilvl w:val="0"/>
          <w:numId w:val="7"/>
        </w:numPr>
      </w:pPr>
      <w:r w:rsidRPr="0082773E">
        <w:t>method claims, which merely require generic computer implementation, fail to transform that abstract idea into a patent eligible invention</w:t>
      </w:r>
    </w:p>
    <w:p w14:paraId="7C8AEE25" w14:textId="77777777" w:rsidR="0082773E" w:rsidRPr="0082773E" w:rsidRDefault="0082773E" w:rsidP="0082773E">
      <w:pPr>
        <w:pStyle w:val="CommentText"/>
        <w:numPr>
          <w:ilvl w:val="0"/>
          <w:numId w:val="7"/>
        </w:numPr>
      </w:pPr>
      <w:r w:rsidRPr="0082773E">
        <w:t xml:space="preserve">claims that amount “nothing significantly more” than an instruction to apply the abstract idea using some unspecified, generic computer. is not “enough” to transform an abstract idea into a patent-eligible invention. </w:t>
      </w:r>
    </w:p>
    <w:p w14:paraId="7C81444A" w14:textId="0625B5F6" w:rsidR="0082773E" w:rsidRDefault="0082773E">
      <w:pPr>
        <w:pStyle w:val="CommentText"/>
      </w:pPr>
    </w:p>
  </w:comment>
  <w:comment w:id="12" w:author="seth guthrie" w:date="2018-11-20T00:14:00Z" w:initials="sg">
    <w:p w14:paraId="5B9E2E4D" w14:textId="77777777" w:rsidR="0040031A" w:rsidRDefault="0040031A">
      <w:pPr>
        <w:pStyle w:val="CommentText"/>
      </w:pPr>
      <w:r>
        <w:rPr>
          <w:rStyle w:val="CommentReference"/>
        </w:rPr>
        <w:annotationRef/>
      </w:r>
      <w:r>
        <w:t xml:space="preserve">These two footnotes are </w:t>
      </w:r>
      <w:r w:rsidR="001F7B5F">
        <w:t xml:space="preserve">the references for a statement in Software Patents and Pretrial Based on Ineligibility. </w:t>
      </w:r>
    </w:p>
    <w:p w14:paraId="1CE49B16" w14:textId="77777777" w:rsidR="001F7B5F" w:rsidRDefault="001F7B5F">
      <w:pPr>
        <w:pStyle w:val="CommentText"/>
      </w:pPr>
    </w:p>
    <w:p w14:paraId="0324E50B" w14:textId="26E938DD" w:rsidR="001F7B5F" w:rsidRDefault="001F7B5F">
      <w:pPr>
        <w:pStyle w:val="CommentText"/>
      </w:pPr>
      <w:r>
        <w:t xml:space="preserve">I don’t think what I’ve done is plagiarism… but I’ll leave this here for now.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9B737C" w15:done="0"/>
  <w15:commentEx w15:paraId="1C2FF509" w15:done="0"/>
  <w15:commentEx w15:paraId="7CC57F96" w15:done="0"/>
  <w15:commentEx w15:paraId="5543109C" w15:done="0"/>
  <w15:commentEx w15:paraId="4798CC47" w15:done="0"/>
  <w15:commentEx w15:paraId="743D23D2" w15:done="0"/>
  <w15:commentEx w15:paraId="0F760F11" w15:done="0"/>
  <w15:commentEx w15:paraId="15468D22" w15:done="0"/>
  <w15:commentEx w15:paraId="331945EF" w15:done="0"/>
  <w15:commentEx w15:paraId="160758D8" w15:done="0"/>
  <w15:commentEx w15:paraId="7BD71711" w15:done="0"/>
  <w15:commentEx w15:paraId="7C81444A" w15:done="0"/>
  <w15:commentEx w15:paraId="0324E50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9B737C" w16cid:durableId="1F9D404B"/>
  <w16cid:commentId w16cid:paraId="1C2FF509" w16cid:durableId="1F9DD55A"/>
  <w16cid:commentId w16cid:paraId="7CC57F96" w16cid:durableId="1F9D6E84"/>
  <w16cid:commentId w16cid:paraId="5543109C" w16cid:durableId="1F9D3ABA"/>
  <w16cid:commentId w16cid:paraId="4798CC47" w16cid:durableId="1F9D54C6"/>
  <w16cid:commentId w16cid:paraId="743D23D2" w16cid:durableId="1F9D55B8"/>
  <w16cid:commentId w16cid:paraId="0F760F11" w16cid:durableId="1F9D5F81"/>
  <w16cid:commentId w16cid:paraId="15468D22" w16cid:durableId="1F9D5928"/>
  <w16cid:commentId w16cid:paraId="331945EF" w16cid:durableId="1F9D5FAE"/>
  <w16cid:commentId w16cid:paraId="160758D8" w16cid:durableId="1F9D5630"/>
  <w16cid:commentId w16cid:paraId="7BD71711" w16cid:durableId="1F9B0922"/>
  <w16cid:commentId w16cid:paraId="7C81444A" w16cid:durableId="1F9D70E0"/>
  <w16cid:commentId w16cid:paraId="0324E50B" w16cid:durableId="1F9DD0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42F5E1" w14:textId="77777777" w:rsidR="00310BAD" w:rsidRDefault="00310BAD" w:rsidP="008E7715">
      <w:pPr>
        <w:spacing w:after="0"/>
      </w:pPr>
      <w:r>
        <w:separator/>
      </w:r>
    </w:p>
  </w:endnote>
  <w:endnote w:type="continuationSeparator" w:id="0">
    <w:p w14:paraId="4DA067A5" w14:textId="77777777" w:rsidR="00310BAD" w:rsidRDefault="00310BAD" w:rsidP="008E77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AB6119" w14:textId="77777777" w:rsidR="00310BAD" w:rsidRDefault="00310BAD" w:rsidP="008E7715">
      <w:pPr>
        <w:spacing w:after="0"/>
      </w:pPr>
      <w:r>
        <w:separator/>
      </w:r>
    </w:p>
  </w:footnote>
  <w:footnote w:type="continuationSeparator" w:id="0">
    <w:p w14:paraId="72FC8709" w14:textId="77777777" w:rsidR="00310BAD" w:rsidRDefault="00310BAD" w:rsidP="008E7715">
      <w:pPr>
        <w:spacing w:after="0"/>
      </w:pPr>
      <w:r>
        <w:continuationSeparator/>
      </w:r>
    </w:p>
  </w:footnote>
  <w:footnote w:id="1">
    <w:p w14:paraId="2696897D" w14:textId="275F0D22" w:rsidR="00AE7D84" w:rsidRPr="007A406B" w:rsidRDefault="00AE7D84" w:rsidP="007A406B">
      <w:pPr>
        <w:pStyle w:val="FootnoteText"/>
        <w:spacing w:before="0"/>
        <w:rPr>
          <w:rFonts w:cs="Times New Roman"/>
        </w:rPr>
      </w:pPr>
      <w:r w:rsidRPr="007A406B">
        <w:rPr>
          <w:rStyle w:val="FootnoteReference"/>
          <w:rFonts w:cs="Times New Roman"/>
        </w:rPr>
        <w:footnoteRef/>
      </w:r>
      <w:r w:rsidRPr="007A406B">
        <w:rPr>
          <w:rFonts w:cs="Times New Roman"/>
        </w:rPr>
        <w:t xml:space="preserve"> https://10millionpatents.uspto.gov/</w:t>
      </w:r>
    </w:p>
  </w:footnote>
  <w:footnote w:id="2">
    <w:p w14:paraId="4DDDBC22" w14:textId="05ED6175" w:rsidR="00C7501A" w:rsidRPr="007A406B" w:rsidRDefault="00C7501A" w:rsidP="007A406B">
      <w:pPr>
        <w:pStyle w:val="FootnoteText"/>
        <w:spacing w:before="0"/>
        <w:rPr>
          <w:rFonts w:cs="Times New Roman"/>
        </w:rPr>
      </w:pPr>
      <w:r w:rsidRPr="007A406B">
        <w:rPr>
          <w:rStyle w:val="FootnoteReference"/>
          <w:rFonts w:cs="Times New Roman"/>
        </w:rPr>
        <w:footnoteRef/>
      </w:r>
      <w:r w:rsidRPr="007A406B">
        <w:rPr>
          <w:rFonts w:cs="Times New Roman"/>
        </w:rPr>
        <w:t xml:space="preserve"> https://10millionpatents.uspto.gov/</w:t>
      </w:r>
    </w:p>
  </w:footnote>
  <w:footnote w:id="3">
    <w:p w14:paraId="25AB2646" w14:textId="2412532F" w:rsidR="00DA646A" w:rsidRPr="007A406B" w:rsidRDefault="00FE44F1" w:rsidP="007A406B">
      <w:pPr>
        <w:pStyle w:val="FootnoteText"/>
        <w:spacing w:before="0"/>
        <w:rPr>
          <w:rFonts w:cs="Times New Roman"/>
        </w:rPr>
      </w:pPr>
      <w:r w:rsidRPr="007A406B">
        <w:rPr>
          <w:rStyle w:val="FootnoteReference"/>
          <w:rFonts w:cs="Times New Roman"/>
        </w:rPr>
        <w:footnoteRef/>
      </w:r>
      <w:r w:rsidRPr="007A406B">
        <w:rPr>
          <w:rFonts w:cs="Times New Roman"/>
        </w:rPr>
        <w:t xml:space="preserve"> </w:t>
      </w:r>
      <w:hyperlink r:id="rId1" w:history="1">
        <w:r w:rsidRPr="007A406B">
          <w:rPr>
            <w:rStyle w:val="Hyperlink"/>
            <w:rFonts w:cs="Times New Roman"/>
          </w:rPr>
          <w:t>https://www.ipwatchdog.com/2017/05/21/alice-over-half-u-s-utility-patents-issued-annually-software/id=83367/</w:t>
        </w:r>
      </w:hyperlink>
      <w:r w:rsidRPr="007A406B">
        <w:rPr>
          <w:rFonts w:cs="Times New Roman"/>
        </w:rPr>
        <w:t>;</w:t>
      </w:r>
      <w:r w:rsidR="0029185C" w:rsidRPr="007A406B">
        <w:rPr>
          <w:rFonts w:cs="Times New Roman"/>
        </w:rPr>
        <w:t xml:space="preserve"> </w:t>
      </w:r>
      <w:r w:rsidR="00DA646A" w:rsidRPr="007A406B">
        <w:rPr>
          <w:rFonts w:cs="Times New Roman"/>
        </w:rPr>
        <w:t>https://www.ificlaims.com/rankings-trends-2017.htm</w:t>
      </w:r>
    </w:p>
  </w:footnote>
  <w:footnote w:id="4">
    <w:p w14:paraId="4095355D" w14:textId="1BF92B77" w:rsidR="00414ACD" w:rsidRPr="007A406B" w:rsidRDefault="00414ACD" w:rsidP="007A406B">
      <w:pPr>
        <w:pStyle w:val="FootnoteText"/>
        <w:spacing w:before="0"/>
        <w:rPr>
          <w:rFonts w:cs="Times New Roman"/>
        </w:rPr>
      </w:pPr>
      <w:r w:rsidRPr="007A406B">
        <w:rPr>
          <w:rStyle w:val="FootnoteReference"/>
          <w:rFonts w:cs="Times New Roman"/>
        </w:rPr>
        <w:footnoteRef/>
      </w:r>
      <w:r w:rsidRPr="007A406B">
        <w:rPr>
          <w:rFonts w:cs="Times New Roman"/>
        </w:rPr>
        <w:t xml:space="preserve"> </w:t>
      </w:r>
      <w:r w:rsidRPr="007A406B">
        <w:rPr>
          <w:rFonts w:cs="Times New Roman"/>
          <w:i/>
        </w:rPr>
        <w:t xml:space="preserve">See e.g. </w:t>
      </w:r>
      <w:r w:rsidRPr="007A406B">
        <w:rPr>
          <w:rFonts w:cs="Times New Roman"/>
        </w:rPr>
        <w:t>Benson, Berkheimer</w:t>
      </w:r>
    </w:p>
  </w:footnote>
  <w:footnote w:id="5">
    <w:p w14:paraId="6270E5A2" w14:textId="5C0738B1" w:rsidR="00B057A5" w:rsidRPr="007A406B" w:rsidRDefault="00B057A5" w:rsidP="007A406B">
      <w:pPr>
        <w:pStyle w:val="FootnoteText"/>
        <w:spacing w:before="0"/>
        <w:rPr>
          <w:rFonts w:cs="Times New Roman"/>
        </w:rPr>
      </w:pPr>
      <w:r w:rsidRPr="007A406B">
        <w:rPr>
          <w:rStyle w:val="FootnoteReference"/>
          <w:rFonts w:cs="Times New Roman"/>
        </w:rPr>
        <w:footnoteRef/>
      </w:r>
      <w:r w:rsidRPr="007A406B">
        <w:rPr>
          <w:rFonts w:cs="Times New Roman"/>
        </w:rPr>
        <w:t xml:space="preserve"> </w:t>
      </w:r>
      <w:r w:rsidRPr="007A406B">
        <w:rPr>
          <w:rFonts w:cs="Times New Roman"/>
          <w:highlight w:val="yellow"/>
        </w:rPr>
        <w:t>Berkheimer</w:t>
      </w:r>
    </w:p>
  </w:footnote>
  <w:footnote w:id="6">
    <w:p w14:paraId="1C42700F" w14:textId="4B4D8CD6" w:rsidR="00B057A5" w:rsidRPr="007A406B" w:rsidRDefault="00B057A5" w:rsidP="007A406B">
      <w:pPr>
        <w:pStyle w:val="FootnoteText"/>
        <w:spacing w:before="0"/>
        <w:rPr>
          <w:rFonts w:cs="Times New Roman"/>
        </w:rPr>
      </w:pPr>
      <w:r w:rsidRPr="007A406B">
        <w:rPr>
          <w:rStyle w:val="FootnoteReference"/>
          <w:rFonts w:cs="Times New Roman"/>
        </w:rPr>
        <w:footnoteRef/>
      </w:r>
      <w:r w:rsidRPr="007A406B">
        <w:rPr>
          <w:rFonts w:cs="Times New Roman"/>
        </w:rPr>
        <w:t xml:space="preserve"> </w:t>
      </w:r>
      <w:r w:rsidR="00B1523F" w:rsidRPr="007A406B">
        <w:rPr>
          <w:rFonts w:cs="Times New Roman"/>
          <w:highlight w:val="yellow"/>
        </w:rPr>
        <w:t>How in the world do you cite the Berkheimer memo?</w:t>
      </w:r>
    </w:p>
  </w:footnote>
  <w:footnote w:id="7">
    <w:p w14:paraId="6BD98533" w14:textId="5C0738B1" w:rsidR="008E7715" w:rsidRPr="007A406B" w:rsidRDefault="008E7715" w:rsidP="007A406B">
      <w:pPr>
        <w:pStyle w:val="FootnoteText"/>
        <w:spacing w:before="0"/>
        <w:rPr>
          <w:rFonts w:cs="Times New Roman"/>
        </w:rPr>
      </w:pPr>
      <w:r w:rsidRPr="007A406B">
        <w:rPr>
          <w:rStyle w:val="FootnoteReference"/>
          <w:rFonts w:cs="Times New Roman"/>
        </w:rPr>
        <w:footnoteRef/>
      </w:r>
      <w:r w:rsidRPr="007A406B">
        <w:rPr>
          <w:rFonts w:cs="Times New Roman"/>
        </w:rPr>
        <w:t xml:space="preserve"> U.S. Const. </w:t>
      </w:r>
      <w:r w:rsidR="00B80E35" w:rsidRPr="007A406B">
        <w:rPr>
          <w:rFonts w:cs="Times New Roman"/>
        </w:rPr>
        <w:t xml:space="preserve">art 1, § 8, cl. 8. </w:t>
      </w:r>
    </w:p>
  </w:footnote>
  <w:footnote w:id="8">
    <w:p w14:paraId="2A0F79B2" w14:textId="41187085" w:rsidR="000D2F64" w:rsidRPr="007A406B" w:rsidRDefault="000D2F64" w:rsidP="007A406B">
      <w:pPr>
        <w:pStyle w:val="FootnoteText"/>
        <w:spacing w:before="0"/>
        <w:rPr>
          <w:rFonts w:cs="Times New Roman"/>
        </w:rPr>
      </w:pPr>
      <w:r w:rsidRPr="007A406B">
        <w:rPr>
          <w:rStyle w:val="FootnoteReference"/>
          <w:rFonts w:cs="Times New Roman"/>
        </w:rPr>
        <w:footnoteRef/>
      </w:r>
      <w:r w:rsidRPr="007A406B">
        <w:rPr>
          <w:rFonts w:cs="Times New Roman"/>
        </w:rPr>
        <w:t xml:space="preserve"> </w:t>
      </w:r>
      <w:r w:rsidR="00953DE5" w:rsidRPr="007A406B">
        <w:rPr>
          <w:rFonts w:cs="Times New Roman"/>
        </w:rPr>
        <w:t>P.J. Federico</w:t>
      </w:r>
      <w:r w:rsidR="00411AC4" w:rsidRPr="007A406B">
        <w:rPr>
          <w:rFonts w:cs="Times New Roman"/>
        </w:rPr>
        <w:t xml:space="preserve">, </w:t>
      </w:r>
      <w:r w:rsidR="00411AC4" w:rsidRPr="007A406B">
        <w:rPr>
          <w:rFonts w:cs="Times New Roman"/>
          <w:i/>
        </w:rPr>
        <w:t>Operation of the Patent Act of 1790</w:t>
      </w:r>
      <w:r w:rsidR="00411AC4" w:rsidRPr="007A406B">
        <w:rPr>
          <w:rFonts w:cs="Times New Roman"/>
        </w:rPr>
        <w:t xml:space="preserve">, </w:t>
      </w:r>
      <w:r w:rsidR="005B0DFB" w:rsidRPr="007A406B">
        <w:rPr>
          <w:rFonts w:cs="Times New Roman"/>
        </w:rPr>
        <w:t xml:space="preserve">18 </w:t>
      </w:r>
      <w:proofErr w:type="spellStart"/>
      <w:r w:rsidR="005B0DFB" w:rsidRPr="007A406B">
        <w:rPr>
          <w:rFonts w:cs="Times New Roman"/>
        </w:rPr>
        <w:t>J.Pat.Off.Soc</w:t>
      </w:r>
      <w:proofErr w:type="spellEnd"/>
      <w:r w:rsidR="005B0DFB" w:rsidRPr="007A406B">
        <w:rPr>
          <w:rFonts w:cs="Times New Roman"/>
        </w:rPr>
        <w:t xml:space="preserve">. </w:t>
      </w:r>
      <w:r w:rsidR="0021788A" w:rsidRPr="007A406B">
        <w:rPr>
          <w:rFonts w:cs="Times New Roman"/>
        </w:rPr>
        <w:t>237</w:t>
      </w:r>
      <w:r w:rsidR="00926925" w:rsidRPr="007A406B">
        <w:rPr>
          <w:rFonts w:cs="Times New Roman"/>
        </w:rPr>
        <w:t>,</w:t>
      </w:r>
      <w:r w:rsidR="00EC49B6" w:rsidRPr="007A406B">
        <w:rPr>
          <w:rFonts w:cs="Times New Roman"/>
        </w:rPr>
        <w:t xml:space="preserve"> </w:t>
      </w:r>
      <w:r w:rsidR="00926925" w:rsidRPr="007A406B">
        <w:rPr>
          <w:rFonts w:cs="Times New Roman"/>
        </w:rPr>
        <w:t>2</w:t>
      </w:r>
      <w:r w:rsidR="00EC49B6" w:rsidRPr="007A406B">
        <w:rPr>
          <w:rFonts w:cs="Times New Roman"/>
        </w:rPr>
        <w:t>38</w:t>
      </w:r>
      <w:r w:rsidR="00926925" w:rsidRPr="007A406B">
        <w:rPr>
          <w:rFonts w:cs="Times New Roman"/>
        </w:rPr>
        <w:t xml:space="preserve"> (1936)</w:t>
      </w:r>
      <w:r w:rsidR="000157A9" w:rsidRPr="007A406B">
        <w:rPr>
          <w:rFonts w:cs="Times New Roman"/>
        </w:rPr>
        <w:t xml:space="preserve"> (discussing the workings of the Patent Act of 1790). </w:t>
      </w:r>
    </w:p>
  </w:footnote>
  <w:footnote w:id="9">
    <w:p w14:paraId="5D49FAC9" w14:textId="289AB548" w:rsidR="00514E8A" w:rsidRPr="007A406B" w:rsidRDefault="00514E8A" w:rsidP="007A406B">
      <w:pPr>
        <w:pStyle w:val="FootnoteText"/>
        <w:spacing w:before="0"/>
        <w:rPr>
          <w:rFonts w:cs="Times New Roman"/>
        </w:rPr>
      </w:pPr>
      <w:r w:rsidRPr="007A406B">
        <w:rPr>
          <w:rStyle w:val="FootnoteReference"/>
          <w:rFonts w:cs="Times New Roman"/>
        </w:rPr>
        <w:footnoteRef/>
      </w:r>
      <w:r w:rsidRPr="007A406B">
        <w:rPr>
          <w:rFonts w:cs="Times New Roman"/>
        </w:rPr>
        <w:t xml:space="preserve"> MPEP</w:t>
      </w:r>
      <w:r w:rsidR="00D95DF3" w:rsidRPr="007A406B">
        <w:rPr>
          <w:rFonts w:cs="Times New Roman"/>
        </w:rPr>
        <w:t xml:space="preserve"> – INTRODUCTION. </w:t>
      </w:r>
      <w:hyperlink r:id="rId2" w:history="1">
        <w:r w:rsidR="00D95DF3" w:rsidRPr="007A406B">
          <w:rPr>
            <w:rStyle w:val="Hyperlink"/>
            <w:rFonts w:cs="Times New Roman"/>
          </w:rPr>
          <w:t>https://www.uspto.gov/web/offices/pac/mpep/mpep-0020-introduction.html</w:t>
        </w:r>
      </w:hyperlink>
      <w:r w:rsidR="00D95DF3" w:rsidRPr="007A406B">
        <w:rPr>
          <w:rFonts w:cs="Times New Roman"/>
        </w:rPr>
        <w:t xml:space="preserve">. </w:t>
      </w:r>
      <w:r w:rsidR="00D95DF3" w:rsidRPr="007A406B">
        <w:rPr>
          <w:rFonts w:cs="Times New Roman"/>
          <w:highlight w:val="yellow"/>
        </w:rPr>
        <w:t>[HOW TO CITE MPEP?]</w:t>
      </w:r>
      <w:r w:rsidR="00D95DF3" w:rsidRPr="007A406B">
        <w:rPr>
          <w:rFonts w:cs="Times New Roman"/>
        </w:rPr>
        <w:t xml:space="preserve"> </w:t>
      </w:r>
    </w:p>
  </w:footnote>
  <w:footnote w:id="10">
    <w:p w14:paraId="53936C0C" w14:textId="7190B89A" w:rsidR="00A92CF2" w:rsidRPr="007A406B" w:rsidRDefault="00A92CF2" w:rsidP="007A406B">
      <w:pPr>
        <w:pStyle w:val="FootnoteText"/>
        <w:spacing w:before="0"/>
        <w:rPr>
          <w:rFonts w:cs="Times New Roman"/>
        </w:rPr>
      </w:pPr>
      <w:r w:rsidRPr="007A406B">
        <w:rPr>
          <w:rStyle w:val="FootnoteReference"/>
          <w:rFonts w:cs="Times New Roman"/>
        </w:rPr>
        <w:footnoteRef/>
      </w:r>
      <w:r w:rsidRPr="007A406B">
        <w:rPr>
          <w:rFonts w:cs="Times New Roman"/>
        </w:rPr>
        <w:t xml:space="preserve"> 35 U.S.C. §§ 102, 103, 112; </w:t>
      </w:r>
      <w:r w:rsidR="00356F2D" w:rsidRPr="007A406B">
        <w:rPr>
          <w:rFonts w:cs="Times New Roman"/>
          <w:i/>
        </w:rPr>
        <w:t>Mayo Collaborative Servs. v. Prometheus Labs., Inc.</w:t>
      </w:r>
      <w:r w:rsidR="00356F2D" w:rsidRPr="007A406B">
        <w:rPr>
          <w:rFonts w:cs="Times New Roman"/>
        </w:rPr>
        <w:t xml:space="preserve">, </w:t>
      </w:r>
      <w:r w:rsidR="00356F2D" w:rsidRPr="007A406B">
        <w:rPr>
          <w:rFonts w:cs="Times New Roman"/>
          <w:color w:val="FF0000"/>
        </w:rPr>
        <w:t xml:space="preserve">566 U.S. 66, 70, 132 S. Ct. 1289, 1293, </w:t>
      </w:r>
      <w:r w:rsidR="00356F2D" w:rsidRPr="007A406B">
        <w:rPr>
          <w:rFonts w:cs="Times New Roman"/>
        </w:rPr>
        <w:t>(2012).</w:t>
      </w:r>
    </w:p>
  </w:footnote>
  <w:footnote w:id="11">
    <w:p w14:paraId="77012373" w14:textId="77777777" w:rsidR="0054099B" w:rsidRPr="007A406B" w:rsidRDefault="0054099B" w:rsidP="007A406B">
      <w:pPr>
        <w:pStyle w:val="FootnoteText"/>
        <w:spacing w:before="0"/>
        <w:rPr>
          <w:rFonts w:cs="Times New Roman"/>
        </w:rPr>
      </w:pPr>
      <w:r w:rsidRPr="007A406B">
        <w:rPr>
          <w:rStyle w:val="FootnoteReference"/>
          <w:rFonts w:cs="Times New Roman"/>
        </w:rPr>
        <w:footnoteRef/>
      </w:r>
      <w:r w:rsidRPr="007A406B">
        <w:rPr>
          <w:rFonts w:cs="Times New Roman"/>
        </w:rPr>
        <w:t xml:space="preserve"> 35 U.S.C. §§ 102, 103, 112</w:t>
      </w:r>
    </w:p>
  </w:footnote>
  <w:footnote w:id="12">
    <w:p w14:paraId="34EE861C" w14:textId="533096E5" w:rsidR="00543F69" w:rsidRPr="007A406B" w:rsidRDefault="00543F69" w:rsidP="007A406B">
      <w:pPr>
        <w:pStyle w:val="FootnoteText"/>
        <w:spacing w:before="0"/>
        <w:rPr>
          <w:rFonts w:cs="Times New Roman"/>
        </w:rPr>
      </w:pPr>
      <w:r w:rsidRPr="007A406B">
        <w:rPr>
          <w:rStyle w:val="FootnoteReference"/>
          <w:rFonts w:cs="Times New Roman"/>
        </w:rPr>
        <w:footnoteRef/>
      </w:r>
      <w:r w:rsidRPr="007A406B">
        <w:rPr>
          <w:rFonts w:cs="Times New Roman"/>
        </w:rPr>
        <w:t xml:space="preserve"> CITATION NEEDED</w:t>
      </w:r>
    </w:p>
  </w:footnote>
  <w:footnote w:id="13">
    <w:p w14:paraId="16E7BBA7" w14:textId="161B7228" w:rsidR="00C25E59" w:rsidRPr="007A406B" w:rsidRDefault="00C25E59" w:rsidP="007A406B">
      <w:pPr>
        <w:pStyle w:val="FootnoteText"/>
        <w:spacing w:before="0"/>
        <w:rPr>
          <w:rFonts w:cs="Times New Roman"/>
        </w:rPr>
      </w:pPr>
      <w:r w:rsidRPr="007A406B">
        <w:rPr>
          <w:rStyle w:val="FootnoteReference"/>
          <w:rFonts w:cs="Times New Roman"/>
        </w:rPr>
        <w:footnoteRef/>
      </w:r>
      <w:r w:rsidRPr="007A406B">
        <w:rPr>
          <w:rFonts w:cs="Times New Roman"/>
        </w:rPr>
        <w:t xml:space="preserve"> CITATION NEEDED</w:t>
      </w:r>
    </w:p>
  </w:footnote>
  <w:footnote w:id="14">
    <w:p w14:paraId="5DBD0F08" w14:textId="16F3C96E" w:rsidR="004C078D" w:rsidRPr="007A406B" w:rsidRDefault="004C078D" w:rsidP="007A406B">
      <w:pPr>
        <w:pStyle w:val="FootnoteText"/>
        <w:spacing w:before="0"/>
        <w:rPr>
          <w:rFonts w:cs="Times New Roman"/>
        </w:rPr>
      </w:pPr>
      <w:r w:rsidRPr="007A406B">
        <w:rPr>
          <w:rStyle w:val="FootnoteReference"/>
          <w:rFonts w:cs="Times New Roman"/>
        </w:rPr>
        <w:footnoteRef/>
      </w:r>
      <w:r w:rsidRPr="007A406B">
        <w:rPr>
          <w:rFonts w:cs="Times New Roman"/>
        </w:rPr>
        <w:t xml:space="preserve"> CITATION NEEDED</w:t>
      </w:r>
    </w:p>
  </w:footnote>
  <w:footnote w:id="15">
    <w:p w14:paraId="20E93AF7" w14:textId="79106B91" w:rsidR="00162B75" w:rsidRPr="007A406B" w:rsidRDefault="00162B75" w:rsidP="007A406B">
      <w:pPr>
        <w:pStyle w:val="FootnoteText"/>
        <w:spacing w:before="0"/>
        <w:rPr>
          <w:rFonts w:cs="Times New Roman"/>
        </w:rPr>
      </w:pPr>
      <w:r w:rsidRPr="007A406B">
        <w:rPr>
          <w:rStyle w:val="FootnoteReference"/>
          <w:rFonts w:cs="Times New Roman"/>
        </w:rPr>
        <w:footnoteRef/>
      </w:r>
      <w:r w:rsidRPr="007A406B">
        <w:rPr>
          <w:rFonts w:cs="Times New Roman"/>
        </w:rPr>
        <w:t xml:space="preserve"> </w:t>
      </w:r>
      <w:r w:rsidR="00356F2D" w:rsidRPr="007A406B">
        <w:rPr>
          <w:rFonts w:cs="Times New Roman"/>
          <w:i/>
        </w:rPr>
        <w:t>Mayo Collaborative Servs. v. Prometheus Labs., Inc.</w:t>
      </w:r>
      <w:r w:rsidR="00356F2D" w:rsidRPr="007A406B">
        <w:rPr>
          <w:rFonts w:cs="Times New Roman"/>
        </w:rPr>
        <w:t xml:space="preserve">, </w:t>
      </w:r>
      <w:r w:rsidR="00356F2D" w:rsidRPr="007A406B">
        <w:rPr>
          <w:rFonts w:cs="Times New Roman"/>
          <w:color w:val="FF0000"/>
        </w:rPr>
        <w:t xml:space="preserve">566 U.S. 66, 70, 132 S. Ct. 1289, 1293, </w:t>
      </w:r>
      <w:r w:rsidR="00356F2D" w:rsidRPr="007A406B">
        <w:rPr>
          <w:rFonts w:cs="Times New Roman"/>
        </w:rPr>
        <w:t xml:space="preserve">(2012) (restating the </w:t>
      </w:r>
      <w:r w:rsidR="00476D65" w:rsidRPr="007A406B">
        <w:rPr>
          <w:rFonts w:cs="Times New Roman"/>
        </w:rPr>
        <w:t>long-held</w:t>
      </w:r>
      <w:r w:rsidR="00356F2D" w:rsidRPr="007A406B">
        <w:rPr>
          <w:rFonts w:cs="Times New Roman"/>
        </w:rPr>
        <w:t xml:space="preserve"> exceptions 35 U.S.C. § 101: </w:t>
      </w:r>
      <w:r w:rsidR="00840EC8" w:rsidRPr="007A406B">
        <w:rPr>
          <w:rFonts w:cs="Times New Roman"/>
        </w:rPr>
        <w:t xml:space="preserve">laws of nature, natural phenomena, and abstract ideas). </w:t>
      </w:r>
    </w:p>
  </w:footnote>
  <w:footnote w:id="16">
    <w:p w14:paraId="4FFEAFA4" w14:textId="347A5167" w:rsidR="00A81947" w:rsidRPr="007A406B" w:rsidRDefault="00A81947" w:rsidP="007A406B">
      <w:pPr>
        <w:pStyle w:val="FootnoteText"/>
        <w:spacing w:before="0"/>
        <w:rPr>
          <w:rFonts w:cs="Times New Roman"/>
        </w:rPr>
      </w:pPr>
      <w:r w:rsidRPr="007A406B">
        <w:rPr>
          <w:rStyle w:val="FootnoteReference"/>
          <w:rFonts w:cs="Times New Roman"/>
        </w:rPr>
        <w:footnoteRef/>
      </w:r>
      <w:r w:rsidRPr="007A406B">
        <w:rPr>
          <w:rFonts w:cs="Times New Roman"/>
        </w:rPr>
        <w:t xml:space="preserve"> </w:t>
      </w:r>
      <w:r w:rsidR="00F66766" w:rsidRPr="007A406B">
        <w:rPr>
          <w:rFonts w:cs="Times New Roman"/>
          <w:i/>
        </w:rPr>
        <w:t>Gottschalk v. Benson</w:t>
      </w:r>
      <w:r w:rsidR="00F66766" w:rsidRPr="007A406B">
        <w:rPr>
          <w:rFonts w:cs="Times New Roman"/>
        </w:rPr>
        <w:t xml:space="preserve">, </w:t>
      </w:r>
      <w:r w:rsidR="00F66766" w:rsidRPr="007A406B">
        <w:rPr>
          <w:rFonts w:cs="Times New Roman"/>
          <w:color w:val="FF0000"/>
        </w:rPr>
        <w:t>409 U.S. 63, 67, 93 S.</w:t>
      </w:r>
      <w:r w:rsidR="00EE5DE3" w:rsidRPr="007A406B">
        <w:rPr>
          <w:rFonts w:cs="Times New Roman"/>
          <w:color w:val="FF0000"/>
        </w:rPr>
        <w:t xml:space="preserve"> </w:t>
      </w:r>
      <w:r w:rsidR="00F66766" w:rsidRPr="007A406B">
        <w:rPr>
          <w:rFonts w:cs="Times New Roman"/>
          <w:color w:val="FF0000"/>
        </w:rPr>
        <w:t xml:space="preserve">Ct. 253, 34 L.Ed.2d 273 </w:t>
      </w:r>
      <w:r w:rsidR="00F66766" w:rsidRPr="007A406B">
        <w:rPr>
          <w:rFonts w:cs="Times New Roman"/>
        </w:rPr>
        <w:t>(1972)</w:t>
      </w:r>
      <w:r w:rsidR="004B620C" w:rsidRPr="007A406B">
        <w:rPr>
          <w:rFonts w:cs="Times New Roman"/>
        </w:rPr>
        <w:t xml:space="preserve"> (</w:t>
      </w:r>
      <w:r w:rsidR="008E7835" w:rsidRPr="007A406B">
        <w:rPr>
          <w:rFonts w:cs="Times New Roman"/>
        </w:rPr>
        <w:t>holding a</w:t>
      </w:r>
      <w:r w:rsidR="00B92109" w:rsidRPr="007A406B">
        <w:rPr>
          <w:rFonts w:cs="Times New Roman"/>
        </w:rPr>
        <w:t xml:space="preserve"> </w:t>
      </w:r>
      <w:r w:rsidR="008E7835" w:rsidRPr="007A406B">
        <w:rPr>
          <w:rFonts w:cs="Times New Roman"/>
        </w:rPr>
        <w:t xml:space="preserve">method for converting </w:t>
      </w:r>
      <w:r w:rsidR="009974F1" w:rsidRPr="007A406B">
        <w:rPr>
          <w:rFonts w:cs="Times New Roman"/>
        </w:rPr>
        <w:t>binary-coded-decimals to binary</w:t>
      </w:r>
      <w:r w:rsidR="00907D02" w:rsidRPr="007A406B">
        <w:rPr>
          <w:rFonts w:cs="Times New Roman"/>
        </w:rPr>
        <w:t xml:space="preserve"> unpatentable</w:t>
      </w:r>
      <w:r w:rsidR="00B92109" w:rsidRPr="007A406B">
        <w:rPr>
          <w:rFonts w:cs="Times New Roman"/>
        </w:rPr>
        <w:t>)</w:t>
      </w:r>
    </w:p>
  </w:footnote>
  <w:footnote w:id="17">
    <w:p w14:paraId="04E87C88" w14:textId="37967BE2" w:rsidR="00CE6365" w:rsidRPr="007A406B" w:rsidRDefault="00CE6365" w:rsidP="007A406B">
      <w:pPr>
        <w:pStyle w:val="FootnoteText"/>
        <w:spacing w:before="0"/>
        <w:rPr>
          <w:rFonts w:cs="Times New Roman"/>
        </w:rPr>
      </w:pPr>
      <w:r w:rsidRPr="007A406B">
        <w:rPr>
          <w:rStyle w:val="FootnoteReference"/>
          <w:rFonts w:cs="Times New Roman"/>
        </w:rPr>
        <w:footnoteRef/>
      </w:r>
      <w:r w:rsidRPr="007A406B">
        <w:rPr>
          <w:rFonts w:cs="Times New Roman"/>
        </w:rPr>
        <w:t xml:space="preserve"> </w:t>
      </w:r>
      <w:r w:rsidR="00F80349" w:rsidRPr="007A406B">
        <w:rPr>
          <w:rFonts w:cs="Times New Roman"/>
          <w:i/>
        </w:rPr>
        <w:t>Mayo Collaborative Servs. v. Prometheus Labs., Inc.</w:t>
      </w:r>
      <w:r w:rsidR="00F80349" w:rsidRPr="007A406B">
        <w:rPr>
          <w:rFonts w:cs="Times New Roman"/>
        </w:rPr>
        <w:t xml:space="preserve">, </w:t>
      </w:r>
      <w:r w:rsidR="00F80349" w:rsidRPr="007A406B">
        <w:rPr>
          <w:rFonts w:cs="Times New Roman"/>
          <w:color w:val="FF0000"/>
        </w:rPr>
        <w:t xml:space="preserve">566 U.S. 66, 70, 132 S. Ct. 1289, 1293, </w:t>
      </w:r>
      <w:r w:rsidR="00F80349" w:rsidRPr="007A406B">
        <w:rPr>
          <w:rFonts w:cs="Times New Roman"/>
        </w:rPr>
        <w:t>(2012) (restating the long-held exceptions 35 U.S.C. § 101: laws of nature, natural phenomena, and abstract ideas)</w:t>
      </w:r>
    </w:p>
  </w:footnote>
  <w:footnote w:id="18">
    <w:p w14:paraId="0565C9AE" w14:textId="5A2CAF60" w:rsidR="00383A40" w:rsidRPr="007A406B" w:rsidRDefault="00383A40" w:rsidP="007A406B">
      <w:pPr>
        <w:pStyle w:val="FootnoteText"/>
        <w:spacing w:before="0"/>
        <w:rPr>
          <w:rFonts w:cs="Times New Roman"/>
        </w:rPr>
      </w:pPr>
      <w:r w:rsidRPr="007A406B">
        <w:rPr>
          <w:rStyle w:val="FootnoteReference"/>
          <w:rFonts w:cs="Times New Roman"/>
        </w:rPr>
        <w:footnoteRef/>
      </w:r>
      <w:r w:rsidRPr="007A406B">
        <w:rPr>
          <w:rFonts w:cs="Times New Roman"/>
        </w:rPr>
        <w:t xml:space="preserve"> Diamond v. Chakrabarty, 447 U.S. 303 on page 309,</w:t>
      </w:r>
    </w:p>
  </w:footnote>
  <w:footnote w:id="19">
    <w:p w14:paraId="1B34C13F" w14:textId="3850D155" w:rsidR="00067B22" w:rsidRPr="007A406B" w:rsidRDefault="00067B22" w:rsidP="007A406B">
      <w:pPr>
        <w:pStyle w:val="FootnoteText"/>
        <w:spacing w:before="0"/>
        <w:rPr>
          <w:rFonts w:cs="Times New Roman"/>
        </w:rPr>
      </w:pPr>
      <w:r w:rsidRPr="007A406B">
        <w:rPr>
          <w:rStyle w:val="FootnoteReference"/>
          <w:rFonts w:cs="Times New Roman"/>
        </w:rPr>
        <w:footnoteRef/>
      </w:r>
      <w:r w:rsidRPr="007A406B">
        <w:rPr>
          <w:rFonts w:cs="Times New Roman"/>
        </w:rPr>
        <w:t xml:space="preserve"> </w:t>
      </w:r>
      <w:r w:rsidR="005324E3" w:rsidRPr="007A406B">
        <w:rPr>
          <w:rFonts w:cs="Times New Roman"/>
        </w:rPr>
        <w:t>Diamond v. Chakrabarty, 447 U.S. 303 on page 309,</w:t>
      </w:r>
    </w:p>
  </w:footnote>
  <w:footnote w:id="20">
    <w:p w14:paraId="5D9719D0" w14:textId="7A401088" w:rsidR="007B3E6D" w:rsidRPr="007A406B" w:rsidRDefault="007B3E6D" w:rsidP="007A406B">
      <w:pPr>
        <w:pStyle w:val="FootnoteText"/>
        <w:spacing w:before="0"/>
        <w:rPr>
          <w:rFonts w:cs="Times New Roman"/>
        </w:rPr>
      </w:pPr>
      <w:r w:rsidRPr="007A406B">
        <w:rPr>
          <w:rStyle w:val="FootnoteReference"/>
          <w:rFonts w:cs="Times New Roman"/>
        </w:rPr>
        <w:footnoteRef/>
      </w:r>
      <w:r w:rsidRPr="007A406B">
        <w:rPr>
          <w:rFonts w:cs="Times New Roman"/>
        </w:rPr>
        <w:t xml:space="preserve"> </w:t>
      </w:r>
      <w:r w:rsidR="00933EBD" w:rsidRPr="007A406B">
        <w:rPr>
          <w:rFonts w:cs="Times New Roman"/>
          <w:i/>
        </w:rPr>
        <w:t xml:space="preserve">Funk Bros. Seed Co. v. </w:t>
      </w:r>
      <w:proofErr w:type="spellStart"/>
      <w:r w:rsidR="00933EBD" w:rsidRPr="007A406B">
        <w:rPr>
          <w:rFonts w:cs="Times New Roman"/>
          <w:i/>
        </w:rPr>
        <w:t>Kalo</w:t>
      </w:r>
      <w:proofErr w:type="spellEnd"/>
      <w:r w:rsidR="00933EBD" w:rsidRPr="007A406B">
        <w:rPr>
          <w:rFonts w:cs="Times New Roman"/>
          <w:i/>
        </w:rPr>
        <w:t xml:space="preserve"> Inoculant Co</w:t>
      </w:r>
      <w:r w:rsidR="00933EBD" w:rsidRPr="007A406B">
        <w:rPr>
          <w:rFonts w:cs="Times New Roman"/>
        </w:rPr>
        <w:t xml:space="preserve">., </w:t>
      </w:r>
      <w:r w:rsidR="00933EBD" w:rsidRPr="007A406B">
        <w:rPr>
          <w:rFonts w:cs="Times New Roman"/>
          <w:color w:val="FF0000"/>
        </w:rPr>
        <w:t xml:space="preserve">333 U.S. 127, 131, 68 S. Ct. 440, 442, 92 L. Ed. 588 </w:t>
      </w:r>
      <w:r w:rsidR="00933EBD" w:rsidRPr="007A406B">
        <w:rPr>
          <w:rFonts w:cs="Times New Roman"/>
        </w:rPr>
        <w:t>(1948)</w:t>
      </w:r>
    </w:p>
  </w:footnote>
  <w:footnote w:id="21">
    <w:p w14:paraId="40CF4A6A" w14:textId="6157ECA0" w:rsidR="004F2C41" w:rsidRPr="007A406B" w:rsidRDefault="004F2C41" w:rsidP="007A406B">
      <w:pPr>
        <w:pStyle w:val="FootnoteText"/>
        <w:spacing w:before="0"/>
        <w:rPr>
          <w:rFonts w:cs="Times New Roman"/>
        </w:rPr>
      </w:pPr>
      <w:r w:rsidRPr="007A406B">
        <w:rPr>
          <w:rStyle w:val="FootnoteReference"/>
          <w:rFonts w:cs="Times New Roman"/>
        </w:rPr>
        <w:footnoteRef/>
      </w:r>
      <w:r w:rsidRPr="007A406B">
        <w:rPr>
          <w:rFonts w:cs="Times New Roman"/>
        </w:rPr>
        <w:t xml:space="preserve"> </w:t>
      </w:r>
      <w:r w:rsidRPr="007A406B">
        <w:rPr>
          <w:rFonts w:cs="Times New Roman"/>
          <w:i/>
        </w:rPr>
        <w:t xml:space="preserve">Funk Bros. Seed Co. v. </w:t>
      </w:r>
      <w:proofErr w:type="spellStart"/>
      <w:r w:rsidRPr="007A406B">
        <w:rPr>
          <w:rFonts w:cs="Times New Roman"/>
          <w:i/>
        </w:rPr>
        <w:t>Kalo</w:t>
      </w:r>
      <w:proofErr w:type="spellEnd"/>
      <w:r w:rsidRPr="007A406B">
        <w:rPr>
          <w:rFonts w:cs="Times New Roman"/>
          <w:i/>
        </w:rPr>
        <w:t xml:space="preserve"> Inoculant Co</w:t>
      </w:r>
      <w:r w:rsidRPr="007A406B">
        <w:rPr>
          <w:rFonts w:cs="Times New Roman"/>
        </w:rPr>
        <w:t xml:space="preserve">., </w:t>
      </w:r>
      <w:r w:rsidRPr="007A406B">
        <w:rPr>
          <w:rFonts w:cs="Times New Roman"/>
          <w:color w:val="FF0000"/>
        </w:rPr>
        <w:t xml:space="preserve">333 U.S. 127, 131, 68 S. Ct. 440, 442, 92 L. Ed. 588 </w:t>
      </w:r>
      <w:r w:rsidRPr="007A406B">
        <w:rPr>
          <w:rFonts w:cs="Times New Roman"/>
        </w:rPr>
        <w:t>(1948)</w:t>
      </w:r>
    </w:p>
  </w:footnote>
  <w:footnote w:id="22">
    <w:p w14:paraId="7B06B44C" w14:textId="7DB0DCA6" w:rsidR="003F7C4C" w:rsidRPr="007A406B" w:rsidRDefault="003F7C4C" w:rsidP="007A406B">
      <w:pPr>
        <w:pStyle w:val="FootnoteText"/>
        <w:spacing w:before="0"/>
        <w:rPr>
          <w:rFonts w:cs="Times New Roman"/>
        </w:rPr>
      </w:pPr>
      <w:r w:rsidRPr="007A406B">
        <w:rPr>
          <w:rStyle w:val="FootnoteReference"/>
          <w:rFonts w:cs="Times New Roman"/>
        </w:rPr>
        <w:footnoteRef/>
      </w:r>
      <w:r w:rsidRPr="007A406B">
        <w:rPr>
          <w:rFonts w:cs="Times New Roman"/>
        </w:rPr>
        <w:t xml:space="preserve"> </w:t>
      </w:r>
      <w:r w:rsidRPr="007A406B">
        <w:rPr>
          <w:rFonts w:cs="Times New Roman"/>
          <w:i/>
        </w:rPr>
        <w:t xml:space="preserve">Funk Bros. Seed Co. v. </w:t>
      </w:r>
      <w:proofErr w:type="spellStart"/>
      <w:r w:rsidRPr="007A406B">
        <w:rPr>
          <w:rFonts w:cs="Times New Roman"/>
          <w:i/>
        </w:rPr>
        <w:t>Kalo</w:t>
      </w:r>
      <w:proofErr w:type="spellEnd"/>
      <w:r w:rsidRPr="007A406B">
        <w:rPr>
          <w:rFonts w:cs="Times New Roman"/>
          <w:i/>
        </w:rPr>
        <w:t xml:space="preserve"> Inoculant Co</w:t>
      </w:r>
      <w:r w:rsidRPr="007A406B">
        <w:rPr>
          <w:rFonts w:cs="Times New Roman"/>
        </w:rPr>
        <w:t xml:space="preserve">., </w:t>
      </w:r>
      <w:r w:rsidRPr="007A406B">
        <w:rPr>
          <w:rFonts w:cs="Times New Roman"/>
          <w:color w:val="FF0000"/>
        </w:rPr>
        <w:t xml:space="preserve">333 U.S. 127, 131, 68 S. Ct. 440, 442, 92 L. Ed. 588 </w:t>
      </w:r>
      <w:r w:rsidRPr="007A406B">
        <w:rPr>
          <w:rFonts w:cs="Times New Roman"/>
        </w:rPr>
        <w:t>(1948)</w:t>
      </w:r>
    </w:p>
  </w:footnote>
  <w:footnote w:id="23">
    <w:p w14:paraId="7F8AFAFC" w14:textId="1DFA91F8" w:rsidR="000A2E03" w:rsidRPr="007A406B" w:rsidRDefault="000A2E03" w:rsidP="007A406B">
      <w:pPr>
        <w:pStyle w:val="FootnoteText"/>
        <w:spacing w:before="0"/>
        <w:rPr>
          <w:rFonts w:cs="Times New Roman"/>
        </w:rPr>
      </w:pPr>
      <w:r w:rsidRPr="007A406B">
        <w:rPr>
          <w:rStyle w:val="FootnoteReference"/>
          <w:rFonts w:cs="Times New Roman"/>
        </w:rPr>
        <w:footnoteRef/>
      </w:r>
      <w:r w:rsidRPr="007A406B">
        <w:rPr>
          <w:rFonts w:cs="Times New Roman"/>
        </w:rPr>
        <w:t xml:space="preserve"> </w:t>
      </w:r>
      <w:r w:rsidR="00DE7CC2" w:rsidRPr="007A406B">
        <w:rPr>
          <w:rFonts w:cs="Times New Roman"/>
          <w:i/>
        </w:rPr>
        <w:t>Diamond v. Chakrabarty</w:t>
      </w:r>
      <w:r w:rsidR="00DE7CC2" w:rsidRPr="007A406B">
        <w:rPr>
          <w:rFonts w:cs="Times New Roman"/>
        </w:rPr>
        <w:t xml:space="preserve">, </w:t>
      </w:r>
      <w:r w:rsidR="00DE7CC2" w:rsidRPr="007A406B">
        <w:rPr>
          <w:rFonts w:cs="Times New Roman"/>
          <w:color w:val="FF0000"/>
        </w:rPr>
        <w:t xml:space="preserve">447 U.S. 303, 304, 100 S. Ct. 2204, 2205, 65 L. Ed. 2d 144 </w:t>
      </w:r>
      <w:r w:rsidR="00DE7CC2" w:rsidRPr="007A406B">
        <w:rPr>
          <w:rFonts w:cs="Times New Roman"/>
        </w:rPr>
        <w:t>(1980)</w:t>
      </w:r>
    </w:p>
  </w:footnote>
  <w:footnote w:id="24">
    <w:p w14:paraId="1019F2AE" w14:textId="053AE8CB" w:rsidR="002E3F2B" w:rsidRDefault="002E3F2B">
      <w:pPr>
        <w:pStyle w:val="FootnoteText"/>
      </w:pPr>
      <w:r>
        <w:rPr>
          <w:rStyle w:val="FootnoteReference"/>
        </w:rPr>
        <w:footnoteRef/>
      </w:r>
      <w:r>
        <w:t xml:space="preserve"> Google Definitions</w:t>
      </w:r>
      <w:r w:rsidR="00406B30">
        <w:t xml:space="preserve"> – find better source. </w:t>
      </w:r>
    </w:p>
  </w:footnote>
  <w:footnote w:id="25">
    <w:p w14:paraId="1A778252" w14:textId="572649F3" w:rsidR="00484BCE" w:rsidRPr="00564194" w:rsidRDefault="00484BCE">
      <w:pPr>
        <w:pStyle w:val="FootnoteText"/>
        <w:rPr>
          <w:i/>
        </w:rPr>
      </w:pPr>
      <w:r>
        <w:rPr>
          <w:rStyle w:val="FootnoteReference"/>
        </w:rPr>
        <w:footnoteRef/>
      </w:r>
      <w:r>
        <w:t xml:space="preserve"> </w:t>
      </w:r>
      <w:r w:rsidRPr="00ED3CA2">
        <w:rPr>
          <w:highlight w:val="yellow"/>
        </w:rPr>
        <w:t xml:space="preserve">Citation needed </w:t>
      </w:r>
      <w:r w:rsidR="00ED3CA2" w:rsidRPr="00ED3CA2">
        <w:rPr>
          <w:highlight w:val="yellow"/>
        </w:rPr>
        <w:t>–</w:t>
      </w:r>
      <w:r w:rsidRPr="00ED3CA2">
        <w:rPr>
          <w:highlight w:val="yellow"/>
        </w:rPr>
        <w:t xml:space="preserve"> </w:t>
      </w:r>
      <w:r w:rsidR="00ED3CA2" w:rsidRPr="00ED3CA2">
        <w:rPr>
          <w:highlight w:val="yellow"/>
        </w:rPr>
        <w:t>machine or transformation test; street test;</w:t>
      </w:r>
      <w:r w:rsidR="00ED3CA2">
        <w:rPr>
          <w:highlight w:val="yellow"/>
        </w:rPr>
        <w:t xml:space="preserve"> See also </w:t>
      </w:r>
      <w:r w:rsidR="00257080" w:rsidRPr="00257080">
        <w:t>State Street Bank &amp; Trust v. Signature Financial Group</w:t>
      </w:r>
      <w:r w:rsidR="00257080">
        <w:t xml:space="preserve">; </w:t>
      </w:r>
      <w:r w:rsidR="00564194">
        <w:rPr>
          <w:i/>
        </w:rPr>
        <w:t xml:space="preserve">In re </w:t>
      </w:r>
      <w:proofErr w:type="spellStart"/>
      <w:r w:rsidR="00564194">
        <w:rPr>
          <w:i/>
        </w:rPr>
        <w:t>Bilski</w:t>
      </w:r>
      <w:proofErr w:type="spellEnd"/>
      <w:r w:rsidR="00564194">
        <w:rPr>
          <w:i/>
        </w:rPr>
        <w:t xml:space="preserve">; </w:t>
      </w:r>
    </w:p>
  </w:footnote>
  <w:footnote w:id="26">
    <w:p w14:paraId="6492C031" w14:textId="5C0DE5A6" w:rsidR="009963E0" w:rsidRPr="007A406B" w:rsidRDefault="009963E0" w:rsidP="00DC3FEE">
      <w:pPr>
        <w:pStyle w:val="FootnoteText"/>
        <w:spacing w:before="0"/>
        <w:rPr>
          <w:rFonts w:cs="Times New Roman"/>
        </w:rPr>
      </w:pPr>
      <w:r w:rsidRPr="007A406B">
        <w:rPr>
          <w:rStyle w:val="FootnoteReference"/>
          <w:rFonts w:cs="Times New Roman"/>
        </w:rPr>
        <w:footnoteRef/>
      </w:r>
      <w:r w:rsidRPr="007A406B">
        <w:rPr>
          <w:rFonts w:cs="Times New Roman"/>
        </w:rPr>
        <w:t xml:space="preserve"> </w:t>
      </w:r>
      <w:r w:rsidR="00DC3FEE" w:rsidRPr="00DC3FEE">
        <w:rPr>
          <w:rFonts w:cs="Times New Roman"/>
        </w:rPr>
        <w:t>Robert Daniel Garza, Software Patents and Pretrial Dismissal Based on Ineligibility, 24 Rich. J.L. &amp; Tech. 1, 41 (2018)</w:t>
      </w:r>
    </w:p>
  </w:footnote>
  <w:footnote w:id="27">
    <w:p w14:paraId="2FDD4C71" w14:textId="69D4FC0C" w:rsidR="0032486C" w:rsidRPr="007A406B" w:rsidRDefault="00112247" w:rsidP="00D83BD3">
      <w:pPr>
        <w:pStyle w:val="FootnoteText"/>
        <w:spacing w:before="0"/>
        <w:rPr>
          <w:rFonts w:cs="Times New Roman"/>
        </w:rPr>
      </w:pPr>
      <w:r w:rsidRPr="007A406B">
        <w:rPr>
          <w:rStyle w:val="FootnoteReference"/>
          <w:rFonts w:cs="Times New Roman"/>
        </w:rPr>
        <w:footnoteRef/>
      </w:r>
      <w:r w:rsidRPr="007A406B">
        <w:rPr>
          <w:rFonts w:cs="Times New Roman"/>
        </w:rPr>
        <w:t xml:space="preserve"> </w:t>
      </w:r>
      <w:r w:rsidR="00D83BD3" w:rsidRPr="00D83BD3">
        <w:rPr>
          <w:rFonts w:cs="Times New Roman"/>
        </w:rPr>
        <w:t>Robert Daniel Garza, Software Patents and Pretrial Dismissal Based on Ineligibility, 24 Rich. J.L. &amp; Tech. 1, 87 (2018)</w:t>
      </w:r>
      <w:r w:rsidR="00837B6F">
        <w:rPr>
          <w:rFonts w:cs="Times New Roman"/>
        </w:rPr>
        <w:t xml:space="preserve">; </w:t>
      </w:r>
    </w:p>
    <w:p w14:paraId="3EAB4774" w14:textId="57CA5143" w:rsidR="00112247" w:rsidRPr="007A406B" w:rsidRDefault="0032486C" w:rsidP="007A406B">
      <w:pPr>
        <w:pStyle w:val="FootnoteText"/>
        <w:spacing w:before="0"/>
        <w:rPr>
          <w:rFonts w:cs="Times New Roman"/>
        </w:rPr>
      </w:pPr>
      <w:r w:rsidRPr="007A406B">
        <w:rPr>
          <w:rFonts w:cs="Times New Roman"/>
        </w:rPr>
        <w:t xml:space="preserve">See Amdocs (Isr.) Ltd. v. </w:t>
      </w:r>
      <w:proofErr w:type="spellStart"/>
      <w:r w:rsidRPr="007A406B">
        <w:rPr>
          <w:rFonts w:cs="Times New Roman"/>
        </w:rPr>
        <w:t>Openet</w:t>
      </w:r>
      <w:proofErr w:type="spellEnd"/>
      <w:r w:rsidRPr="007A406B">
        <w:rPr>
          <w:rFonts w:cs="Times New Roman"/>
        </w:rPr>
        <w:t xml:space="preserve"> Telecomm. Inc., 841 F.3d 1288, 1293-94 (Fed. Cir. 2016).</w:t>
      </w:r>
    </w:p>
  </w:footnote>
  <w:footnote w:id="28">
    <w:p w14:paraId="7A115FA5" w14:textId="6592787A" w:rsidR="001C4CA1" w:rsidRDefault="001C4CA1">
      <w:pPr>
        <w:pStyle w:val="FootnoteText"/>
      </w:pPr>
      <w:r>
        <w:rPr>
          <w:rStyle w:val="FootnoteReference"/>
        </w:rPr>
        <w:footnoteRef/>
      </w:r>
      <w:r>
        <w:t xml:space="preserve"> </w:t>
      </w:r>
      <w:r w:rsidRPr="001C4CA1">
        <w:t xml:space="preserve">Rubber-Tip Pencil Co. v. Howard, 20 Wall. (87 U.S.) 498, 507, 22 </w:t>
      </w:r>
      <w:proofErr w:type="spellStart"/>
      <w:r w:rsidRPr="001C4CA1">
        <w:t>L.Ed</w:t>
      </w:r>
      <w:proofErr w:type="spellEnd"/>
      <w:r w:rsidRPr="001C4CA1">
        <w:t>. 410.</w:t>
      </w:r>
    </w:p>
  </w:footnote>
  <w:footnote w:id="29">
    <w:p w14:paraId="13257EF7" w14:textId="6C593F71" w:rsidR="00AB7BFF" w:rsidRPr="007A406B" w:rsidRDefault="00AB7BFF" w:rsidP="007A406B">
      <w:pPr>
        <w:pStyle w:val="FootnoteText"/>
        <w:spacing w:before="0"/>
        <w:rPr>
          <w:rFonts w:cs="Times New Roman"/>
        </w:rPr>
      </w:pPr>
      <w:r w:rsidRPr="007A406B">
        <w:rPr>
          <w:rStyle w:val="FootnoteReference"/>
          <w:rFonts w:cs="Times New Roman"/>
        </w:rPr>
        <w:footnoteRef/>
      </w:r>
      <w:r w:rsidRPr="007A406B">
        <w:rPr>
          <w:rFonts w:cs="Times New Roman"/>
        </w:rPr>
        <w:t xml:space="preserve"> </w:t>
      </w:r>
      <w:r w:rsidR="00C2331F" w:rsidRPr="007A406B">
        <w:rPr>
          <w:rFonts w:cs="Times New Roman"/>
          <w:i/>
        </w:rPr>
        <w:t xml:space="preserve">See Diamond v. </w:t>
      </w:r>
      <w:proofErr w:type="spellStart"/>
      <w:r w:rsidR="00C2331F" w:rsidRPr="007A406B">
        <w:rPr>
          <w:rFonts w:cs="Times New Roman"/>
          <w:i/>
        </w:rPr>
        <w:t>Dieher</w:t>
      </w:r>
      <w:proofErr w:type="spellEnd"/>
      <w:r w:rsidR="00C2331F" w:rsidRPr="007A406B">
        <w:rPr>
          <w:rFonts w:cs="Times New Roman"/>
          <w:i/>
        </w:rPr>
        <w:t xml:space="preserve">; and </w:t>
      </w:r>
      <w:r w:rsidR="00294359" w:rsidRPr="007A406B">
        <w:rPr>
          <w:rFonts w:cs="Times New Roman"/>
        </w:rPr>
        <w:t xml:space="preserve"> </w:t>
      </w:r>
    </w:p>
  </w:footnote>
  <w:footnote w:id="30">
    <w:p w14:paraId="4449B25A" w14:textId="0E882ACD" w:rsidR="009B58C5" w:rsidRPr="007A406B" w:rsidRDefault="009B58C5" w:rsidP="007A406B">
      <w:pPr>
        <w:pStyle w:val="FootnoteText"/>
        <w:spacing w:before="0"/>
        <w:rPr>
          <w:rFonts w:cs="Times New Roman"/>
        </w:rPr>
      </w:pPr>
      <w:r w:rsidRPr="007A406B">
        <w:rPr>
          <w:rStyle w:val="FootnoteReference"/>
          <w:rFonts w:cs="Times New Roman"/>
        </w:rPr>
        <w:footnoteRef/>
      </w:r>
      <w:r w:rsidRPr="007A406B">
        <w:rPr>
          <w:rFonts w:cs="Times New Roman"/>
        </w:rPr>
        <w:t xml:space="preserve"> </w:t>
      </w:r>
      <w:proofErr w:type="spellStart"/>
      <w:r w:rsidRPr="007A406B">
        <w:rPr>
          <w:rFonts w:cs="Times New Roman"/>
        </w:rPr>
        <w:t>Diehr</w:t>
      </w:r>
      <w:proofErr w:type="spellEnd"/>
    </w:p>
  </w:footnote>
  <w:footnote w:id="31">
    <w:p w14:paraId="4DC43733" w14:textId="1912C17A" w:rsidR="00400744" w:rsidRPr="007A406B" w:rsidRDefault="00400744" w:rsidP="007A406B">
      <w:pPr>
        <w:pStyle w:val="FootnoteText"/>
        <w:spacing w:before="0"/>
        <w:rPr>
          <w:rFonts w:cs="Times New Roman"/>
        </w:rPr>
      </w:pPr>
      <w:r w:rsidRPr="007A406B">
        <w:rPr>
          <w:rStyle w:val="FootnoteReference"/>
          <w:rFonts w:cs="Times New Roman"/>
        </w:rPr>
        <w:footnoteRef/>
      </w:r>
      <w:r w:rsidRPr="007A406B">
        <w:rPr>
          <w:rFonts w:cs="Times New Roman"/>
        </w:rPr>
        <w:t xml:space="preserve"> Mayo, Quoting Benson</w:t>
      </w:r>
    </w:p>
  </w:footnote>
  <w:footnote w:id="32">
    <w:p w14:paraId="0981ADC0" w14:textId="04E50198" w:rsidR="004C5077" w:rsidRPr="007A406B" w:rsidRDefault="004C5077" w:rsidP="007A406B">
      <w:pPr>
        <w:pStyle w:val="FootnoteText"/>
        <w:spacing w:before="0"/>
        <w:rPr>
          <w:rFonts w:cs="Times New Roman"/>
        </w:rPr>
      </w:pPr>
      <w:r w:rsidRPr="007A406B">
        <w:rPr>
          <w:rStyle w:val="FootnoteReference"/>
          <w:rFonts w:cs="Times New Roman"/>
        </w:rPr>
        <w:footnoteRef/>
      </w:r>
      <w:r w:rsidRPr="007A406B">
        <w:rPr>
          <w:rFonts w:cs="Times New Roman"/>
        </w:rPr>
        <w:t xml:space="preserve"> In re </w:t>
      </w:r>
      <w:proofErr w:type="spellStart"/>
      <w:r w:rsidRPr="007A406B">
        <w:rPr>
          <w:rFonts w:cs="Times New Roman"/>
        </w:rPr>
        <w:t>Bilski</w:t>
      </w:r>
      <w:proofErr w:type="spellEnd"/>
    </w:p>
  </w:footnote>
  <w:footnote w:id="33">
    <w:p w14:paraId="2DE83B37" w14:textId="06151502" w:rsidR="00764F51" w:rsidRPr="007A406B" w:rsidRDefault="00764F51" w:rsidP="007A406B">
      <w:pPr>
        <w:pStyle w:val="FootnoteText"/>
        <w:spacing w:before="0"/>
        <w:rPr>
          <w:rFonts w:cs="Times New Roman"/>
        </w:rPr>
      </w:pPr>
      <w:r w:rsidRPr="007A406B">
        <w:rPr>
          <w:rStyle w:val="FootnoteReference"/>
          <w:rFonts w:cs="Times New Roman"/>
        </w:rPr>
        <w:footnoteRef/>
      </w:r>
      <w:r w:rsidRPr="007A406B">
        <w:rPr>
          <w:rFonts w:cs="Times New Roman"/>
        </w:rPr>
        <w:t xml:space="preserve"> Mayo, quoting </w:t>
      </w:r>
      <w:proofErr w:type="spellStart"/>
      <w:r w:rsidRPr="007A406B">
        <w:rPr>
          <w:rFonts w:cs="Times New Roman"/>
        </w:rPr>
        <w:t>Diehr</w:t>
      </w:r>
      <w:proofErr w:type="spellEnd"/>
    </w:p>
  </w:footnote>
  <w:footnote w:id="34">
    <w:p w14:paraId="149628FB" w14:textId="78B08064" w:rsidR="00CE2298" w:rsidRPr="007A406B" w:rsidRDefault="00CE2298" w:rsidP="007A406B">
      <w:pPr>
        <w:pStyle w:val="FootnoteText"/>
        <w:spacing w:before="0"/>
        <w:rPr>
          <w:rFonts w:cs="Times New Roman"/>
        </w:rPr>
      </w:pPr>
      <w:r w:rsidRPr="007A406B">
        <w:rPr>
          <w:rStyle w:val="FootnoteReference"/>
          <w:rFonts w:cs="Times New Roman"/>
        </w:rPr>
        <w:footnoteRef/>
      </w:r>
      <w:r w:rsidRPr="007A406B">
        <w:rPr>
          <w:rFonts w:cs="Times New Roman"/>
        </w:rPr>
        <w:t xml:space="preserve"> Mayo, Quoting </w:t>
      </w:r>
      <w:r w:rsidR="00A67416" w:rsidRPr="007A406B">
        <w:rPr>
          <w:rFonts w:cs="Times New Roman"/>
        </w:rPr>
        <w:t xml:space="preserve">Parker v. </w:t>
      </w:r>
      <w:proofErr w:type="spellStart"/>
      <w:r w:rsidRPr="007A406B">
        <w:rPr>
          <w:rFonts w:cs="Times New Roman"/>
        </w:rPr>
        <w:t>Flook</w:t>
      </w:r>
      <w:proofErr w:type="spellEnd"/>
    </w:p>
  </w:footnote>
  <w:footnote w:id="35">
    <w:p w14:paraId="61FCF3A5" w14:textId="39B3109D" w:rsidR="00712C0F" w:rsidRPr="007A406B" w:rsidRDefault="00712C0F" w:rsidP="007A406B">
      <w:pPr>
        <w:pStyle w:val="FootnoteText"/>
        <w:spacing w:before="0"/>
        <w:rPr>
          <w:rFonts w:cs="Times New Roman"/>
        </w:rPr>
      </w:pPr>
      <w:r w:rsidRPr="007A406B">
        <w:rPr>
          <w:rStyle w:val="FootnoteReference"/>
          <w:rFonts w:cs="Times New Roman"/>
        </w:rPr>
        <w:footnoteRef/>
      </w:r>
      <w:r w:rsidRPr="007A406B">
        <w:rPr>
          <w:rFonts w:cs="Times New Roman"/>
        </w:rPr>
        <w:t xml:space="preserve"> </w:t>
      </w:r>
      <w:r w:rsidR="00577E41" w:rsidRPr="007A406B">
        <w:rPr>
          <w:rFonts w:cs="Times New Roman"/>
        </w:rPr>
        <w:t>Gottschalk v. Benson</w:t>
      </w:r>
    </w:p>
  </w:footnote>
  <w:footnote w:id="36">
    <w:p w14:paraId="6DCE7281" w14:textId="496B89C6" w:rsidR="001676FC" w:rsidRPr="007A406B" w:rsidRDefault="001676FC" w:rsidP="007A406B">
      <w:pPr>
        <w:pStyle w:val="FootnoteText"/>
        <w:spacing w:before="0"/>
        <w:rPr>
          <w:rFonts w:cs="Times New Roman"/>
          <w:i/>
        </w:rPr>
      </w:pPr>
      <w:r w:rsidRPr="007A406B">
        <w:rPr>
          <w:rStyle w:val="FootnoteReference"/>
          <w:rFonts w:cs="Times New Roman"/>
        </w:rPr>
        <w:footnoteRef/>
      </w:r>
      <w:r w:rsidRPr="007A406B">
        <w:rPr>
          <w:rFonts w:cs="Times New Roman"/>
        </w:rPr>
        <w:t xml:space="preserve"> </w:t>
      </w:r>
      <w:r w:rsidRPr="007A406B">
        <w:rPr>
          <w:rFonts w:cs="Times New Roman"/>
          <w:i/>
        </w:rPr>
        <w:t>Gotts</w:t>
      </w:r>
      <w:r w:rsidR="005B0C5F" w:rsidRPr="007A406B">
        <w:rPr>
          <w:rFonts w:cs="Times New Roman"/>
          <w:i/>
        </w:rPr>
        <w:t>c</w:t>
      </w:r>
      <w:r w:rsidRPr="007A406B">
        <w:rPr>
          <w:rFonts w:cs="Times New Roman"/>
          <w:i/>
        </w:rPr>
        <w:t>halk v. Benson</w:t>
      </w:r>
    </w:p>
  </w:footnote>
  <w:footnote w:id="37">
    <w:p w14:paraId="443AB8AB" w14:textId="43DA1B37" w:rsidR="006A1206" w:rsidRPr="007A406B" w:rsidRDefault="006A1206" w:rsidP="007A406B">
      <w:pPr>
        <w:pStyle w:val="FootnoteText"/>
        <w:spacing w:before="0"/>
        <w:rPr>
          <w:rFonts w:cs="Times New Roman"/>
        </w:rPr>
      </w:pPr>
      <w:r w:rsidRPr="007A406B">
        <w:rPr>
          <w:rStyle w:val="FootnoteReference"/>
          <w:rFonts w:cs="Times New Roman"/>
        </w:rPr>
        <w:footnoteRef/>
      </w:r>
      <w:r w:rsidRPr="007A406B">
        <w:rPr>
          <w:rFonts w:cs="Times New Roman"/>
        </w:rPr>
        <w:t xml:space="preserve"> </w:t>
      </w:r>
      <w:r w:rsidR="005B0C5F" w:rsidRPr="007A406B">
        <w:rPr>
          <w:rFonts w:cs="Times New Roman"/>
          <w:i/>
        </w:rPr>
        <w:t>Gottschalk v. Benson</w:t>
      </w:r>
    </w:p>
  </w:footnote>
  <w:footnote w:id="38">
    <w:p w14:paraId="2A0DBDF7" w14:textId="32B0335B" w:rsidR="004A60BA" w:rsidRPr="007A406B" w:rsidRDefault="004A60BA" w:rsidP="007A406B">
      <w:pPr>
        <w:pStyle w:val="FootnoteText"/>
        <w:spacing w:before="0"/>
        <w:rPr>
          <w:rFonts w:cs="Times New Roman"/>
          <w:i/>
        </w:rPr>
      </w:pPr>
      <w:r w:rsidRPr="007A406B">
        <w:rPr>
          <w:rStyle w:val="FootnoteReference"/>
          <w:rFonts w:cs="Times New Roman"/>
        </w:rPr>
        <w:footnoteRef/>
      </w:r>
      <w:r w:rsidRPr="007A406B">
        <w:rPr>
          <w:rFonts w:cs="Times New Roman"/>
        </w:rPr>
        <w:t xml:space="preserve"> </w:t>
      </w:r>
      <w:r w:rsidRPr="007A406B">
        <w:rPr>
          <w:rFonts w:cs="Times New Roman"/>
          <w:i/>
        </w:rPr>
        <w:t xml:space="preserve">Diamond v. </w:t>
      </w:r>
      <w:proofErr w:type="spellStart"/>
      <w:r w:rsidRPr="007A406B">
        <w:rPr>
          <w:rFonts w:cs="Times New Roman"/>
          <w:i/>
        </w:rPr>
        <w:t>Diehr</w:t>
      </w:r>
      <w:proofErr w:type="spellEnd"/>
    </w:p>
  </w:footnote>
  <w:footnote w:id="39">
    <w:p w14:paraId="062B74F8" w14:textId="2916039A" w:rsidR="00CB0423" w:rsidRPr="007A406B" w:rsidRDefault="00CB0423" w:rsidP="007A406B">
      <w:pPr>
        <w:pStyle w:val="FootnoteText"/>
        <w:spacing w:before="0"/>
        <w:rPr>
          <w:rFonts w:cs="Times New Roman"/>
          <w:i/>
        </w:rPr>
      </w:pPr>
      <w:r w:rsidRPr="007A406B">
        <w:rPr>
          <w:rStyle w:val="FootnoteReference"/>
          <w:rFonts w:cs="Times New Roman"/>
        </w:rPr>
        <w:footnoteRef/>
      </w:r>
      <w:r w:rsidRPr="007A406B">
        <w:rPr>
          <w:rFonts w:cs="Times New Roman"/>
        </w:rPr>
        <w:t xml:space="preserve"> </w:t>
      </w:r>
      <w:r w:rsidRPr="007A406B">
        <w:rPr>
          <w:rFonts w:cs="Times New Roman"/>
          <w:i/>
        </w:rPr>
        <w:t xml:space="preserve">Diamond v. </w:t>
      </w:r>
      <w:proofErr w:type="spellStart"/>
      <w:r w:rsidRPr="007A406B">
        <w:rPr>
          <w:rFonts w:cs="Times New Roman"/>
          <w:i/>
        </w:rPr>
        <w:t>Diehr</w:t>
      </w:r>
      <w:proofErr w:type="spellEnd"/>
    </w:p>
  </w:footnote>
  <w:footnote w:id="40">
    <w:p w14:paraId="6D92C732" w14:textId="341B93E1" w:rsidR="00B00EAA" w:rsidRPr="007A406B" w:rsidRDefault="00B00EAA" w:rsidP="007A406B">
      <w:pPr>
        <w:pStyle w:val="FootnoteText"/>
        <w:spacing w:before="0"/>
        <w:rPr>
          <w:rFonts w:cs="Times New Roman"/>
        </w:rPr>
      </w:pPr>
      <w:r w:rsidRPr="007A406B">
        <w:rPr>
          <w:rStyle w:val="FootnoteReference"/>
          <w:rFonts w:cs="Times New Roman"/>
        </w:rPr>
        <w:footnoteRef/>
      </w:r>
      <w:r w:rsidRPr="007A406B">
        <w:rPr>
          <w:rFonts w:cs="Times New Roman"/>
        </w:rPr>
        <w:t xml:space="preserve"> </w:t>
      </w:r>
      <w:r w:rsidR="00AA3CDB" w:rsidRPr="007A406B">
        <w:rPr>
          <w:rFonts w:cs="Times New Roman"/>
          <w:i/>
        </w:rPr>
        <w:t xml:space="preserve">Diamond v. </w:t>
      </w:r>
      <w:proofErr w:type="spellStart"/>
      <w:r w:rsidR="00AA3CDB" w:rsidRPr="007A406B">
        <w:rPr>
          <w:rFonts w:cs="Times New Roman"/>
          <w:i/>
        </w:rPr>
        <w:t>Diehr</w:t>
      </w:r>
      <w:proofErr w:type="spellEnd"/>
      <w:r w:rsidR="00AA3CDB" w:rsidRPr="007A406B">
        <w:rPr>
          <w:rFonts w:cs="Times New Roman"/>
          <w:i/>
        </w:rPr>
        <w:t xml:space="preserve">, </w:t>
      </w:r>
      <w:r w:rsidR="00AA3CDB" w:rsidRPr="007A406B">
        <w:rPr>
          <w:rFonts w:cs="Times New Roman"/>
          <w:color w:val="FF0000"/>
        </w:rPr>
        <w:t xml:space="preserve">450 U.S. 175, 184, 101 S. Ct. 1048, 1055, 67 L. Ed. 2d 155 </w:t>
      </w:r>
      <w:r w:rsidR="00AA3CDB" w:rsidRPr="007A406B">
        <w:rPr>
          <w:rFonts w:cs="Times New Roman"/>
        </w:rPr>
        <w:t xml:space="preserve">(1981) (noting several times that the </w:t>
      </w:r>
      <w:r w:rsidR="00A40585" w:rsidRPr="007A406B">
        <w:rPr>
          <w:rFonts w:cs="Times New Roman"/>
        </w:rPr>
        <w:t>respondents</w:t>
      </w:r>
      <w:r w:rsidR="00AA3CDB" w:rsidRPr="007A406B">
        <w:rPr>
          <w:rFonts w:cs="Times New Roman"/>
        </w:rPr>
        <w:t xml:space="preserve"> claims </w:t>
      </w:r>
      <w:r w:rsidR="00A40585" w:rsidRPr="007A406B">
        <w:rPr>
          <w:rFonts w:cs="Times New Roman"/>
        </w:rPr>
        <w:t xml:space="preserve">involve transforming of raw rubber into a different state). </w:t>
      </w:r>
    </w:p>
  </w:footnote>
  <w:footnote w:id="41">
    <w:p w14:paraId="347034FC" w14:textId="09982C45" w:rsidR="00A424E3" w:rsidRPr="007A406B" w:rsidRDefault="00A424E3" w:rsidP="007A406B">
      <w:pPr>
        <w:pStyle w:val="FootnoteText"/>
        <w:spacing w:before="0"/>
        <w:rPr>
          <w:rFonts w:cs="Times New Roman"/>
        </w:rPr>
      </w:pPr>
      <w:r w:rsidRPr="007A406B">
        <w:rPr>
          <w:rStyle w:val="FootnoteReference"/>
          <w:rFonts w:cs="Times New Roman"/>
          <w:highlight w:val="yellow"/>
        </w:rPr>
        <w:footnoteRef/>
      </w:r>
      <w:r w:rsidRPr="007A406B">
        <w:rPr>
          <w:rFonts w:cs="Times New Roman"/>
          <w:highlight w:val="yellow"/>
        </w:rPr>
        <w:t xml:space="preserve"> </w:t>
      </w:r>
      <w:r w:rsidR="00256FB0" w:rsidRPr="007A406B">
        <w:rPr>
          <w:rFonts w:cs="Times New Roman"/>
          <w:highlight w:val="yellow"/>
        </w:rPr>
        <w:t>CITATION NEEDED</w:t>
      </w:r>
    </w:p>
  </w:footnote>
  <w:footnote w:id="42">
    <w:p w14:paraId="03272FFF" w14:textId="09AECBF8" w:rsidR="00AE489E" w:rsidRPr="007A406B" w:rsidRDefault="00AE489E" w:rsidP="007A406B">
      <w:pPr>
        <w:pStyle w:val="FootnoteText"/>
        <w:spacing w:before="0"/>
        <w:rPr>
          <w:rFonts w:cs="Times New Roman"/>
        </w:rPr>
      </w:pPr>
      <w:r w:rsidRPr="007A406B">
        <w:rPr>
          <w:rStyle w:val="FootnoteReference"/>
          <w:rFonts w:cs="Times New Roman"/>
        </w:rPr>
        <w:footnoteRef/>
      </w:r>
      <w:r w:rsidRPr="007A406B">
        <w:rPr>
          <w:rFonts w:cs="Times New Roman"/>
        </w:rPr>
        <w:t xml:space="preserve"> 35 U.S.C. § 101</w:t>
      </w:r>
    </w:p>
  </w:footnote>
  <w:footnote w:id="43">
    <w:p w14:paraId="121286FD" w14:textId="16AE3524" w:rsidR="006C7F34" w:rsidRPr="007A406B" w:rsidRDefault="006C7F34" w:rsidP="007A406B">
      <w:pPr>
        <w:pStyle w:val="FootnoteText"/>
        <w:spacing w:before="0"/>
        <w:rPr>
          <w:rFonts w:cs="Times New Roman"/>
        </w:rPr>
      </w:pPr>
      <w:r w:rsidRPr="007A406B">
        <w:rPr>
          <w:rStyle w:val="FootnoteReference"/>
          <w:rFonts w:cs="Times New Roman"/>
        </w:rPr>
        <w:footnoteRef/>
      </w:r>
      <w:r w:rsidRPr="007A406B">
        <w:rPr>
          <w:rFonts w:cs="Times New Roman"/>
        </w:rPr>
        <w:t xml:space="preserve"> </w:t>
      </w:r>
      <w:r w:rsidR="0041094E" w:rsidRPr="007A406B">
        <w:rPr>
          <w:rFonts w:cs="Times New Roman"/>
        </w:rPr>
        <w:t xml:space="preserve">Randall Rader, </w:t>
      </w:r>
      <w:r w:rsidR="001C2B7B" w:rsidRPr="007A406B">
        <w:rPr>
          <w:rFonts w:cs="Times New Roman"/>
        </w:rPr>
        <w:t>Benjamin Christoff</w:t>
      </w:r>
      <w:r w:rsidR="00180D70" w:rsidRPr="007A406B">
        <w:rPr>
          <w:rFonts w:cs="Times New Roman"/>
        </w:rPr>
        <w:t xml:space="preserve">, Patent Law in a Nutshell </w:t>
      </w:r>
      <w:r w:rsidR="00153B39" w:rsidRPr="007A406B">
        <w:rPr>
          <w:rFonts w:cs="Times New Roman"/>
        </w:rPr>
        <w:t>56 (</w:t>
      </w:r>
      <w:r w:rsidR="001D6DB5" w:rsidRPr="007A406B">
        <w:rPr>
          <w:rFonts w:cs="Times New Roman"/>
        </w:rPr>
        <w:t xml:space="preserve">3rd ed. </w:t>
      </w:r>
      <w:r w:rsidR="00F7436C" w:rsidRPr="007A406B">
        <w:rPr>
          <w:rFonts w:cs="Times New Roman"/>
        </w:rPr>
        <w:t>2018)</w:t>
      </w:r>
      <w:r w:rsidR="00180D70" w:rsidRPr="007A406B">
        <w:rPr>
          <w:rFonts w:cs="Times New Roman"/>
        </w:rPr>
        <w:t>.</w:t>
      </w:r>
    </w:p>
  </w:footnote>
  <w:footnote w:id="44">
    <w:p w14:paraId="38B74308" w14:textId="3DB31294" w:rsidR="00CB60D7" w:rsidRPr="007A406B" w:rsidRDefault="00CB60D7" w:rsidP="007A406B">
      <w:pPr>
        <w:pStyle w:val="FootnoteText"/>
        <w:spacing w:before="0"/>
        <w:rPr>
          <w:rFonts w:cs="Times New Roman"/>
        </w:rPr>
      </w:pPr>
      <w:r w:rsidRPr="007A406B">
        <w:rPr>
          <w:rStyle w:val="FootnoteReference"/>
          <w:rFonts w:cs="Times New Roman"/>
        </w:rPr>
        <w:footnoteRef/>
      </w:r>
      <w:r w:rsidRPr="007A406B">
        <w:rPr>
          <w:rFonts w:cs="Times New Roman"/>
        </w:rPr>
        <w:t xml:space="preserve"> </w:t>
      </w:r>
      <w:r w:rsidR="00452BD9" w:rsidRPr="007A406B">
        <w:rPr>
          <w:rFonts w:cs="Times New Roman"/>
          <w:i/>
        </w:rPr>
        <w:t xml:space="preserve">See e.g. </w:t>
      </w:r>
      <w:r w:rsidR="00452BD9" w:rsidRPr="007A406B">
        <w:rPr>
          <w:rFonts w:cs="Times New Roman"/>
          <w:highlight w:val="yellow"/>
        </w:rPr>
        <w:t>[Alice, Mayo, Berkheimer, etc.]</w:t>
      </w:r>
      <w:r w:rsidR="004C5EAF" w:rsidRPr="007A406B">
        <w:rPr>
          <w:rFonts w:cs="Times New Roman"/>
          <w:highlight w:val="yellow"/>
        </w:rPr>
        <w:t xml:space="preserve">; </w:t>
      </w:r>
      <w:r w:rsidR="00BB6547" w:rsidRPr="007A406B">
        <w:rPr>
          <w:rFonts w:cs="Times New Roman"/>
          <w:i/>
          <w:highlight w:val="yellow"/>
        </w:rPr>
        <w:t xml:space="preserve">see </w:t>
      </w:r>
      <w:r w:rsidR="00BB6547" w:rsidRPr="007A406B">
        <w:rPr>
          <w:rFonts w:cs="Times New Roman"/>
        </w:rPr>
        <w:t>Kathleen Chapman, Esq. &amp; Stephen Ball, Esq</w:t>
      </w:r>
      <w:r w:rsidR="00BB6547" w:rsidRPr="007A406B">
        <w:rPr>
          <w:rFonts w:cs="Times New Roman"/>
          <w:i/>
        </w:rPr>
        <w:t xml:space="preserve">., Challenges with Patenting Software, </w:t>
      </w:r>
      <w:r w:rsidR="00BB6547" w:rsidRPr="007A406B">
        <w:rPr>
          <w:rFonts w:cs="Times New Roman"/>
        </w:rPr>
        <w:t>Vt. B.J., Winter 2007/2008, at 36</w:t>
      </w:r>
    </w:p>
  </w:footnote>
  <w:footnote w:id="45">
    <w:p w14:paraId="1DED71D5" w14:textId="638EEBCB" w:rsidR="00FC20AE" w:rsidRPr="007A406B" w:rsidRDefault="00FC20AE" w:rsidP="007A406B">
      <w:pPr>
        <w:pStyle w:val="FootnoteText"/>
        <w:spacing w:before="0"/>
        <w:rPr>
          <w:rFonts w:cs="Times New Roman"/>
        </w:rPr>
      </w:pPr>
      <w:r w:rsidRPr="007A406B">
        <w:rPr>
          <w:rStyle w:val="FootnoteReference"/>
          <w:rFonts w:cs="Times New Roman"/>
          <w:highlight w:val="yellow"/>
        </w:rPr>
        <w:footnoteRef/>
      </w:r>
      <w:r w:rsidRPr="007A406B">
        <w:rPr>
          <w:rFonts w:cs="Times New Roman"/>
          <w:highlight w:val="yellow"/>
        </w:rPr>
        <w:t xml:space="preserve"> CITATIONS NEEDED</w:t>
      </w:r>
    </w:p>
  </w:footnote>
  <w:footnote w:id="46">
    <w:p w14:paraId="0CBCB66B" w14:textId="0665951D" w:rsidR="008C2392" w:rsidRPr="007A406B" w:rsidRDefault="008C2392" w:rsidP="007A406B">
      <w:pPr>
        <w:pStyle w:val="FootnoteText"/>
        <w:spacing w:before="0"/>
        <w:rPr>
          <w:rFonts w:cs="Times New Roman"/>
        </w:rPr>
      </w:pPr>
      <w:r w:rsidRPr="007A406B">
        <w:rPr>
          <w:rStyle w:val="FootnoteReference"/>
          <w:rFonts w:cs="Times New Roman"/>
        </w:rPr>
        <w:footnoteRef/>
      </w:r>
      <w:r w:rsidRPr="007A406B">
        <w:rPr>
          <w:rFonts w:cs="Times New Roman"/>
        </w:rPr>
        <w:t xml:space="preserve"> Paul R. </w:t>
      </w:r>
      <w:proofErr w:type="spellStart"/>
      <w:r w:rsidRPr="007A406B">
        <w:rPr>
          <w:rFonts w:cs="Times New Roman"/>
        </w:rPr>
        <w:t>Gugliuzza</w:t>
      </w:r>
      <w:proofErr w:type="spellEnd"/>
      <w:r w:rsidRPr="007A406B">
        <w:rPr>
          <w:rFonts w:cs="Times New Roman"/>
        </w:rPr>
        <w:t>, Quick Decisions in Patent Cases, 106 Geo. L.J. 619, 622 (2018)</w:t>
      </w:r>
    </w:p>
  </w:footnote>
  <w:footnote w:id="47">
    <w:p w14:paraId="1A3EB034" w14:textId="612BF954" w:rsidR="00636D7D" w:rsidRPr="007A406B" w:rsidRDefault="00636D7D" w:rsidP="007A406B">
      <w:pPr>
        <w:pStyle w:val="FootnoteText"/>
        <w:spacing w:before="0"/>
        <w:rPr>
          <w:rFonts w:cs="Times New Roman"/>
        </w:rPr>
      </w:pPr>
      <w:r w:rsidRPr="007A406B">
        <w:rPr>
          <w:rStyle w:val="FootnoteReference"/>
          <w:rFonts w:cs="Times New Roman"/>
        </w:rPr>
        <w:footnoteRef/>
      </w:r>
      <w:r w:rsidRPr="007A406B">
        <w:rPr>
          <w:rFonts w:cs="Times New Roman"/>
        </w:rPr>
        <w:t xml:space="preserve"> Kathleen Chapman, Esq. &amp; Stephen Ball, Esq., Challenges with Patenting Software, Vt. B.J., Winter 2007/2008, at 36, 37</w:t>
      </w:r>
    </w:p>
  </w:footnote>
  <w:footnote w:id="48">
    <w:p w14:paraId="291E04C7" w14:textId="392E41DF" w:rsidR="007510E6" w:rsidRPr="007A406B" w:rsidRDefault="007510E6" w:rsidP="007A406B">
      <w:pPr>
        <w:pStyle w:val="FootnoteText"/>
        <w:spacing w:before="0"/>
        <w:rPr>
          <w:rFonts w:cs="Times New Roman"/>
        </w:rPr>
      </w:pPr>
      <w:r w:rsidRPr="007A406B">
        <w:rPr>
          <w:rStyle w:val="FootnoteReference"/>
          <w:rFonts w:cs="Times New Roman"/>
        </w:rPr>
        <w:footnoteRef/>
      </w:r>
      <w:r w:rsidRPr="007A406B">
        <w:rPr>
          <w:rFonts w:cs="Times New Roman"/>
        </w:rPr>
        <w:t xml:space="preserve"> </w:t>
      </w:r>
      <w:r w:rsidRPr="007A406B">
        <w:rPr>
          <w:rFonts w:cs="Times New Roman"/>
          <w:i/>
        </w:rPr>
        <w:t xml:space="preserve">Diamond v. </w:t>
      </w:r>
      <w:proofErr w:type="spellStart"/>
      <w:r w:rsidRPr="007A406B">
        <w:rPr>
          <w:rFonts w:cs="Times New Roman"/>
          <w:i/>
        </w:rPr>
        <w:t>Diehr</w:t>
      </w:r>
      <w:proofErr w:type="spellEnd"/>
      <w:r w:rsidRPr="007A406B">
        <w:rPr>
          <w:rFonts w:cs="Times New Roman"/>
        </w:rPr>
        <w:t xml:space="preserve">; </w:t>
      </w:r>
      <w:r w:rsidRPr="007A406B">
        <w:rPr>
          <w:rFonts w:cs="Times New Roman"/>
          <w:i/>
        </w:rPr>
        <w:t>Gottschalk v. Benson</w:t>
      </w:r>
    </w:p>
  </w:footnote>
  <w:footnote w:id="49">
    <w:p w14:paraId="35A21E89" w14:textId="3A21C81F" w:rsidR="00EC7338" w:rsidRPr="007A406B" w:rsidRDefault="00EC7338" w:rsidP="007A406B">
      <w:pPr>
        <w:pStyle w:val="FootnoteText"/>
        <w:spacing w:before="0"/>
        <w:rPr>
          <w:rFonts w:cs="Times New Roman"/>
        </w:rPr>
      </w:pPr>
      <w:r w:rsidRPr="007A406B">
        <w:rPr>
          <w:rStyle w:val="FootnoteReference"/>
          <w:rFonts w:cs="Times New Roman"/>
        </w:rPr>
        <w:footnoteRef/>
      </w:r>
      <w:r w:rsidRPr="007A406B">
        <w:rPr>
          <w:rFonts w:cs="Times New Roman"/>
        </w:rPr>
        <w:t xml:space="preserve"> </w:t>
      </w:r>
      <w:r w:rsidR="007D22FB" w:rsidRPr="007A406B">
        <w:rPr>
          <w:rFonts w:cs="Times New Roman"/>
        </w:rPr>
        <w:t>Intellectual Property Channeling for Digital Works</w:t>
      </w:r>
      <w:r w:rsidR="008452BB" w:rsidRPr="007A406B">
        <w:rPr>
          <w:rFonts w:cs="Times New Roman"/>
        </w:rPr>
        <w:t xml:space="preserve">; </w:t>
      </w:r>
      <w:r w:rsidR="008452BB" w:rsidRPr="007A406B">
        <w:rPr>
          <w:rFonts w:cs="Times New Roman"/>
          <w:color w:val="FF0000"/>
        </w:rPr>
        <w:t xml:space="preserve">Preserving </w:t>
      </w:r>
      <w:proofErr w:type="gramStart"/>
      <w:r w:rsidR="008452BB" w:rsidRPr="007A406B">
        <w:rPr>
          <w:rFonts w:cs="Times New Roman"/>
          <w:color w:val="FF0000"/>
        </w:rPr>
        <w:t>The</w:t>
      </w:r>
      <w:proofErr w:type="gramEnd"/>
      <w:r w:rsidR="008452BB" w:rsidRPr="007A406B">
        <w:rPr>
          <w:rFonts w:cs="Times New Roman"/>
          <w:color w:val="FF0000"/>
        </w:rPr>
        <w:t xml:space="preserve"> Value Of Medical Device Patents During The Rise Of Three-Dimensional Printing – Westlaw Journal IP 2013 WL 5808127, at *4</w:t>
      </w:r>
    </w:p>
  </w:footnote>
  <w:footnote w:id="50">
    <w:p w14:paraId="142E8C77" w14:textId="2EBF4539" w:rsidR="005E201C" w:rsidRPr="007A406B" w:rsidRDefault="005E201C" w:rsidP="007A406B">
      <w:pPr>
        <w:pStyle w:val="FootnoteText"/>
        <w:spacing w:before="0"/>
        <w:rPr>
          <w:rFonts w:cs="Times New Roman"/>
        </w:rPr>
      </w:pPr>
      <w:r w:rsidRPr="007A406B">
        <w:rPr>
          <w:rStyle w:val="FootnoteReference"/>
          <w:rFonts w:cs="Times New Roman"/>
        </w:rPr>
        <w:footnoteRef/>
      </w:r>
      <w:r w:rsidRPr="007A406B">
        <w:rPr>
          <w:rFonts w:cs="Times New Roman"/>
        </w:rPr>
        <w:t xml:space="preserve"> </w:t>
      </w:r>
      <w:r w:rsidRPr="007A406B">
        <w:rPr>
          <w:rFonts w:cs="Times New Roman"/>
          <w:i/>
        </w:rPr>
        <w:t>In re Beauregard</w:t>
      </w:r>
      <w:r w:rsidRPr="007A406B">
        <w:rPr>
          <w:rFonts w:cs="Times New Roman"/>
        </w:rPr>
        <w:t>, 53 F.3d 1583, 1584 (Fed. Cir. 1995)</w:t>
      </w:r>
    </w:p>
  </w:footnote>
  <w:footnote w:id="51">
    <w:p w14:paraId="74603882" w14:textId="095D2FBE" w:rsidR="005E201C" w:rsidRPr="007A406B" w:rsidRDefault="005E201C" w:rsidP="007A406B">
      <w:pPr>
        <w:pStyle w:val="FootnoteText"/>
        <w:spacing w:before="0"/>
        <w:rPr>
          <w:rFonts w:cs="Times New Roman"/>
        </w:rPr>
      </w:pPr>
      <w:r w:rsidRPr="007A406B">
        <w:rPr>
          <w:rStyle w:val="FootnoteReference"/>
          <w:rFonts w:cs="Times New Roman"/>
        </w:rPr>
        <w:footnoteRef/>
      </w:r>
      <w:r w:rsidRPr="007A406B">
        <w:rPr>
          <w:rFonts w:cs="Times New Roman"/>
        </w:rPr>
        <w:t xml:space="preserve"> </w:t>
      </w:r>
      <w:r w:rsidRPr="007A406B">
        <w:rPr>
          <w:rFonts w:cs="Times New Roman"/>
          <w:i/>
        </w:rPr>
        <w:t>See e.g.</w:t>
      </w:r>
      <w:r w:rsidRPr="007A406B">
        <w:rPr>
          <w:rFonts w:cs="Times New Roman"/>
        </w:rPr>
        <w:t xml:space="preserve"> </w:t>
      </w:r>
      <w:r w:rsidRPr="007A406B">
        <w:rPr>
          <w:rFonts w:cs="Times New Roman"/>
          <w:i/>
        </w:rPr>
        <w:t>CyberSource Corp. v. Retail Decisions, Inc.</w:t>
      </w:r>
      <w:r w:rsidRPr="007A406B">
        <w:rPr>
          <w:rFonts w:cs="Times New Roman"/>
        </w:rPr>
        <w:t>, 654 F.3d 1366, 1373 (Fed. Cir. 2011)</w:t>
      </w:r>
      <w:r w:rsidR="008452BB" w:rsidRPr="007A406B">
        <w:rPr>
          <w:rFonts w:cs="Times New Roman"/>
        </w:rPr>
        <w:t xml:space="preserve">; </w:t>
      </w:r>
      <w:r w:rsidR="008452BB" w:rsidRPr="007A406B">
        <w:rPr>
          <w:rFonts w:cs="Times New Roman"/>
          <w:i/>
        </w:rPr>
        <w:t>SEVEN Networks, LLC v. Google LLC</w:t>
      </w:r>
      <w:r w:rsidR="008452BB" w:rsidRPr="007A406B">
        <w:rPr>
          <w:rFonts w:cs="Times New Roman"/>
        </w:rPr>
        <w:t>, No. 2:17-CV-441-JRG, 2018 WL 5263271, at *30 (E.D. Tex. Oct. 23, 2018)</w:t>
      </w:r>
    </w:p>
  </w:footnote>
  <w:footnote w:id="52">
    <w:p w14:paraId="241CC07B" w14:textId="17829259" w:rsidR="00B673C7" w:rsidRPr="007A406B" w:rsidRDefault="00B673C7" w:rsidP="007A406B">
      <w:pPr>
        <w:pStyle w:val="FootnoteText"/>
        <w:spacing w:before="0"/>
        <w:rPr>
          <w:rFonts w:cs="Times New Roman"/>
        </w:rPr>
      </w:pPr>
      <w:r w:rsidRPr="007A406B">
        <w:rPr>
          <w:rStyle w:val="FootnoteReference"/>
          <w:rFonts w:cs="Times New Roman"/>
        </w:rPr>
        <w:footnoteRef/>
      </w:r>
      <w:r w:rsidRPr="007A406B">
        <w:rPr>
          <w:rFonts w:cs="Times New Roman"/>
        </w:rPr>
        <w:t xml:space="preserve"> </w:t>
      </w:r>
      <w:r w:rsidRPr="007A406B">
        <w:rPr>
          <w:rFonts w:cs="Times New Roman"/>
          <w:i/>
        </w:rPr>
        <w:t>Alice Corp. Pty. Ltd. v. CLS Bank Intern</w:t>
      </w:r>
    </w:p>
  </w:footnote>
  <w:footnote w:id="53">
    <w:p w14:paraId="7A8C10DB" w14:textId="353427EB" w:rsidR="0082773E" w:rsidRPr="007A406B" w:rsidRDefault="0082773E" w:rsidP="007A406B">
      <w:pPr>
        <w:pStyle w:val="FootnoteText"/>
        <w:spacing w:before="0"/>
        <w:rPr>
          <w:rFonts w:cs="Times New Roman"/>
        </w:rPr>
      </w:pPr>
      <w:r w:rsidRPr="007A406B">
        <w:rPr>
          <w:rStyle w:val="FootnoteReference"/>
          <w:rFonts w:cs="Times New Roman"/>
        </w:rPr>
        <w:footnoteRef/>
      </w:r>
      <w:r w:rsidRPr="007A406B">
        <w:rPr>
          <w:rFonts w:cs="Times New Roman"/>
        </w:rPr>
        <w:t xml:space="preserve"> </w:t>
      </w:r>
      <w:r w:rsidRPr="007A406B">
        <w:rPr>
          <w:rFonts w:cs="Times New Roman"/>
          <w:i/>
        </w:rPr>
        <w:t>Alice Corp. Pty. Ltd. v. CLS Bank Intern</w:t>
      </w:r>
    </w:p>
  </w:footnote>
  <w:footnote w:id="54">
    <w:p w14:paraId="0756280A" w14:textId="4F813B0F" w:rsidR="004F61DC" w:rsidRDefault="004F61DC">
      <w:pPr>
        <w:pStyle w:val="FootnoteText"/>
      </w:pPr>
      <w:r>
        <w:rPr>
          <w:rStyle w:val="FootnoteReference"/>
        </w:rPr>
        <w:footnoteRef/>
      </w:r>
      <w:r>
        <w:t xml:space="preserve"> </w:t>
      </w:r>
      <w:r w:rsidRPr="004F61DC">
        <w:rPr>
          <w:i/>
        </w:rPr>
        <w:t>See</w:t>
      </w:r>
      <w:r w:rsidRPr="004F61DC">
        <w:t xml:space="preserve"> Jasper L. Tran, Software Patents: A One-Year Review of Alice v. CLS Bank, 97 J. PAT. &amp; TRADEMARK OFF. SOC'Y, 532, 539-540 (2015)</w:t>
      </w:r>
    </w:p>
  </w:footnote>
  <w:footnote w:id="55">
    <w:p w14:paraId="2426E9A4" w14:textId="25975B25" w:rsidR="008722F6" w:rsidRDefault="008722F6" w:rsidP="00E20144">
      <w:pPr>
        <w:pStyle w:val="FootnoteText"/>
      </w:pPr>
      <w:r>
        <w:rPr>
          <w:rStyle w:val="FootnoteReference"/>
        </w:rPr>
        <w:footnoteRef/>
      </w:r>
      <w:r>
        <w:t xml:space="preserve"> </w:t>
      </w:r>
      <w:r w:rsidR="00E20144">
        <w:t xml:space="preserve">Robert Daniel Garza, Software Patents and Pretrial Dismissal Based on Ineligibility, 24 Rich. J.L. &amp; Tech. 1, 28 (2018); </w:t>
      </w:r>
      <w:r w:rsidRPr="00E20144">
        <w:rPr>
          <w:i/>
        </w:rPr>
        <w:t>See</w:t>
      </w:r>
      <w:r w:rsidRPr="008722F6">
        <w:t xml:space="preserve"> </w:t>
      </w:r>
      <w:proofErr w:type="spellStart"/>
      <w:r w:rsidRPr="008722F6">
        <w:t>Versata</w:t>
      </w:r>
      <w:proofErr w:type="spellEnd"/>
      <w:r w:rsidRPr="008722F6">
        <w:t xml:space="preserve"> Dev. Grp., Inc. v. SAP America, 793 F.3d 1306 (Fed. Cir. 2015); Intellectual Ventures I LLC v. Capital One Bank (USA), 792 F.3d 1363, 1367-68 (Fed. Cir. 2015); Internet Patents Corp. v. Active Network, Inc., 790 F.3d 1343, 1345 (Fed. Cir. 2015) OIP Techs., Inc. v. Amazon.com, Inc., 788 F.3d 1359, 1362-63 (Fed. Cir. 2012); Content Extraction &amp; Transmission LLC v. Wells Fargo Bank, Nat'l </w:t>
      </w:r>
      <w:proofErr w:type="spellStart"/>
      <w:r w:rsidRPr="008722F6">
        <w:t>Ass'n</w:t>
      </w:r>
      <w:proofErr w:type="spellEnd"/>
      <w:r w:rsidRPr="008722F6">
        <w:t xml:space="preserve">, 776 F.3d 1343, 1346-47 (Fed. Cir. 2014); DDR Holdings, LLC v. Hotels.com, L.P., 773 F.3d at 1245, 1256; </w:t>
      </w:r>
      <w:proofErr w:type="spellStart"/>
      <w:r w:rsidRPr="008722F6">
        <w:t>Ultramercial</w:t>
      </w:r>
      <w:proofErr w:type="spellEnd"/>
      <w:r w:rsidRPr="008722F6">
        <w:t xml:space="preserve">, Inc. v. Hulu, LLC, 772 F.3d 709, 721-22 (Fed. Cir. 2014); </w:t>
      </w:r>
      <w:proofErr w:type="spellStart"/>
      <w:r w:rsidRPr="008722F6">
        <w:t>buySAFE</w:t>
      </w:r>
      <w:proofErr w:type="spellEnd"/>
      <w:r w:rsidRPr="008722F6">
        <w:t xml:space="preserve">, Inc. v. Google, Inc., 765 F.3d 1350, 1351 (Fed. Cir. 2014); Planet Bingo, LLC v. VKGS LLC, 576 F. Appx. 1005, 1006 (Fed. Cir. 2014); Digitech Image Techs. v. </w:t>
      </w:r>
      <w:proofErr w:type="spellStart"/>
      <w:r w:rsidRPr="008722F6">
        <w:t>Elecs</w:t>
      </w:r>
      <w:proofErr w:type="spellEnd"/>
      <w:r w:rsidRPr="008722F6">
        <w:t>. for Imaging, 758 F.3d 1344, 1348-51 (Fed. Cir. 2014).</w:t>
      </w:r>
    </w:p>
  </w:footnote>
  <w:footnote w:id="56">
    <w:p w14:paraId="1EC29552" w14:textId="7E527E13" w:rsidR="007E1601" w:rsidRDefault="007E1601">
      <w:pPr>
        <w:pStyle w:val="FootnoteText"/>
      </w:pPr>
      <w:r>
        <w:rPr>
          <w:rStyle w:val="FootnoteReference"/>
        </w:rPr>
        <w:footnoteRef/>
      </w:r>
      <w:r>
        <w:t xml:space="preserve"> </w:t>
      </w:r>
      <w:r w:rsidRPr="007E1601">
        <w:rPr>
          <w:i/>
        </w:rPr>
        <w:t>See DDR Holdings</w:t>
      </w:r>
      <w:r w:rsidRPr="007E1601">
        <w:t>, LLC, 773 F.3d at 1245; Part IV (A) - A. DDR Holdings: Rooted in Computer Technology - The First Victory.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437C8"/>
    <w:multiLevelType w:val="hybridMultilevel"/>
    <w:tmpl w:val="41027BF4"/>
    <w:lvl w:ilvl="0" w:tplc="C56428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8D7377"/>
    <w:multiLevelType w:val="hybridMultilevel"/>
    <w:tmpl w:val="D68670F4"/>
    <w:lvl w:ilvl="0" w:tplc="225ED7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93C54"/>
    <w:multiLevelType w:val="hybridMultilevel"/>
    <w:tmpl w:val="335A51B2"/>
    <w:lvl w:ilvl="0" w:tplc="DA78D9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A25EFD"/>
    <w:multiLevelType w:val="hybridMultilevel"/>
    <w:tmpl w:val="C5A60E5E"/>
    <w:lvl w:ilvl="0" w:tplc="5BDA11A4">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36470A"/>
    <w:multiLevelType w:val="hybridMultilevel"/>
    <w:tmpl w:val="9C5639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EB0DC3"/>
    <w:multiLevelType w:val="hybridMultilevel"/>
    <w:tmpl w:val="68D670FA"/>
    <w:lvl w:ilvl="0" w:tplc="C30AD112">
      <w:start w:val="1"/>
      <w:numFmt w:val="bullet"/>
      <w:lvlText w:val="•"/>
      <w:lvlJc w:val="left"/>
      <w:pPr>
        <w:tabs>
          <w:tab w:val="num" w:pos="720"/>
        </w:tabs>
        <w:ind w:left="720" w:hanging="360"/>
      </w:pPr>
      <w:rPr>
        <w:rFonts w:ascii="Times New Roman" w:hAnsi="Times New Roman" w:hint="default"/>
      </w:rPr>
    </w:lvl>
    <w:lvl w:ilvl="1" w:tplc="4FAC0C8A" w:tentative="1">
      <w:start w:val="1"/>
      <w:numFmt w:val="bullet"/>
      <w:lvlText w:val="•"/>
      <w:lvlJc w:val="left"/>
      <w:pPr>
        <w:tabs>
          <w:tab w:val="num" w:pos="1440"/>
        </w:tabs>
        <w:ind w:left="1440" w:hanging="360"/>
      </w:pPr>
      <w:rPr>
        <w:rFonts w:ascii="Times New Roman" w:hAnsi="Times New Roman" w:hint="default"/>
      </w:rPr>
    </w:lvl>
    <w:lvl w:ilvl="2" w:tplc="517EBB22" w:tentative="1">
      <w:start w:val="1"/>
      <w:numFmt w:val="bullet"/>
      <w:lvlText w:val="•"/>
      <w:lvlJc w:val="left"/>
      <w:pPr>
        <w:tabs>
          <w:tab w:val="num" w:pos="2160"/>
        </w:tabs>
        <w:ind w:left="2160" w:hanging="360"/>
      </w:pPr>
      <w:rPr>
        <w:rFonts w:ascii="Times New Roman" w:hAnsi="Times New Roman" w:hint="default"/>
      </w:rPr>
    </w:lvl>
    <w:lvl w:ilvl="3" w:tplc="971A2AFE" w:tentative="1">
      <w:start w:val="1"/>
      <w:numFmt w:val="bullet"/>
      <w:lvlText w:val="•"/>
      <w:lvlJc w:val="left"/>
      <w:pPr>
        <w:tabs>
          <w:tab w:val="num" w:pos="2880"/>
        </w:tabs>
        <w:ind w:left="2880" w:hanging="360"/>
      </w:pPr>
      <w:rPr>
        <w:rFonts w:ascii="Times New Roman" w:hAnsi="Times New Roman" w:hint="default"/>
      </w:rPr>
    </w:lvl>
    <w:lvl w:ilvl="4" w:tplc="CC6602CE" w:tentative="1">
      <w:start w:val="1"/>
      <w:numFmt w:val="bullet"/>
      <w:lvlText w:val="•"/>
      <w:lvlJc w:val="left"/>
      <w:pPr>
        <w:tabs>
          <w:tab w:val="num" w:pos="3600"/>
        </w:tabs>
        <w:ind w:left="3600" w:hanging="360"/>
      </w:pPr>
      <w:rPr>
        <w:rFonts w:ascii="Times New Roman" w:hAnsi="Times New Roman" w:hint="default"/>
      </w:rPr>
    </w:lvl>
    <w:lvl w:ilvl="5" w:tplc="D200EAA8" w:tentative="1">
      <w:start w:val="1"/>
      <w:numFmt w:val="bullet"/>
      <w:lvlText w:val="•"/>
      <w:lvlJc w:val="left"/>
      <w:pPr>
        <w:tabs>
          <w:tab w:val="num" w:pos="4320"/>
        </w:tabs>
        <w:ind w:left="4320" w:hanging="360"/>
      </w:pPr>
      <w:rPr>
        <w:rFonts w:ascii="Times New Roman" w:hAnsi="Times New Roman" w:hint="default"/>
      </w:rPr>
    </w:lvl>
    <w:lvl w:ilvl="6" w:tplc="CEAAC3E2" w:tentative="1">
      <w:start w:val="1"/>
      <w:numFmt w:val="bullet"/>
      <w:lvlText w:val="•"/>
      <w:lvlJc w:val="left"/>
      <w:pPr>
        <w:tabs>
          <w:tab w:val="num" w:pos="5040"/>
        </w:tabs>
        <w:ind w:left="5040" w:hanging="360"/>
      </w:pPr>
      <w:rPr>
        <w:rFonts w:ascii="Times New Roman" w:hAnsi="Times New Roman" w:hint="default"/>
      </w:rPr>
    </w:lvl>
    <w:lvl w:ilvl="7" w:tplc="2C3EC742" w:tentative="1">
      <w:start w:val="1"/>
      <w:numFmt w:val="bullet"/>
      <w:lvlText w:val="•"/>
      <w:lvlJc w:val="left"/>
      <w:pPr>
        <w:tabs>
          <w:tab w:val="num" w:pos="5760"/>
        </w:tabs>
        <w:ind w:left="5760" w:hanging="360"/>
      </w:pPr>
      <w:rPr>
        <w:rFonts w:ascii="Times New Roman" w:hAnsi="Times New Roman" w:hint="default"/>
      </w:rPr>
    </w:lvl>
    <w:lvl w:ilvl="8" w:tplc="BD22669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749F3E55"/>
    <w:multiLevelType w:val="hybridMultilevel"/>
    <w:tmpl w:val="2B7EE9B6"/>
    <w:lvl w:ilvl="0" w:tplc="4F305680">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A81630"/>
    <w:multiLevelType w:val="hybridMultilevel"/>
    <w:tmpl w:val="F5D47062"/>
    <w:lvl w:ilvl="0" w:tplc="C036792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 w:numId="6">
    <w:abstractNumId w:val="6"/>
  </w:num>
  <w:num w:numId="7">
    <w:abstractNumId w:val="5"/>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th guthrie">
    <w15:presenceInfo w15:providerId="Windows Live" w15:userId="02d674730e27a0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715"/>
    <w:rsid w:val="00004E58"/>
    <w:rsid w:val="000102DA"/>
    <w:rsid w:val="0001184D"/>
    <w:rsid w:val="000157A9"/>
    <w:rsid w:val="00015828"/>
    <w:rsid w:val="00020A90"/>
    <w:rsid w:val="00021CE7"/>
    <w:rsid w:val="00031B0C"/>
    <w:rsid w:val="000329E9"/>
    <w:rsid w:val="00034080"/>
    <w:rsid w:val="000356D6"/>
    <w:rsid w:val="00041D04"/>
    <w:rsid w:val="000448B7"/>
    <w:rsid w:val="00046358"/>
    <w:rsid w:val="00051CA6"/>
    <w:rsid w:val="00061D8B"/>
    <w:rsid w:val="00062B61"/>
    <w:rsid w:val="00062E03"/>
    <w:rsid w:val="00067B22"/>
    <w:rsid w:val="00073D3A"/>
    <w:rsid w:val="00073D4B"/>
    <w:rsid w:val="00076925"/>
    <w:rsid w:val="0007770E"/>
    <w:rsid w:val="000802E0"/>
    <w:rsid w:val="000833A5"/>
    <w:rsid w:val="00090802"/>
    <w:rsid w:val="00091CA1"/>
    <w:rsid w:val="00092B4F"/>
    <w:rsid w:val="000A2E03"/>
    <w:rsid w:val="000A77BC"/>
    <w:rsid w:val="000B0A5E"/>
    <w:rsid w:val="000B4A18"/>
    <w:rsid w:val="000B4F42"/>
    <w:rsid w:val="000B7D37"/>
    <w:rsid w:val="000C02DB"/>
    <w:rsid w:val="000C0C06"/>
    <w:rsid w:val="000D0BD7"/>
    <w:rsid w:val="000D191A"/>
    <w:rsid w:val="000D2B87"/>
    <w:rsid w:val="000D2F64"/>
    <w:rsid w:val="000D4D15"/>
    <w:rsid w:val="000D561C"/>
    <w:rsid w:val="000E0536"/>
    <w:rsid w:val="000E0603"/>
    <w:rsid w:val="000E17C4"/>
    <w:rsid w:val="000E500D"/>
    <w:rsid w:val="000E5734"/>
    <w:rsid w:val="000F4515"/>
    <w:rsid w:val="000F73F4"/>
    <w:rsid w:val="001038AB"/>
    <w:rsid w:val="00104DD9"/>
    <w:rsid w:val="00110EA6"/>
    <w:rsid w:val="00111B21"/>
    <w:rsid w:val="00112247"/>
    <w:rsid w:val="00120C9A"/>
    <w:rsid w:val="00122DA4"/>
    <w:rsid w:val="00123047"/>
    <w:rsid w:val="001360AE"/>
    <w:rsid w:val="00146381"/>
    <w:rsid w:val="00153B39"/>
    <w:rsid w:val="00157622"/>
    <w:rsid w:val="00162B75"/>
    <w:rsid w:val="00164E50"/>
    <w:rsid w:val="001676FC"/>
    <w:rsid w:val="001715A5"/>
    <w:rsid w:val="00175C04"/>
    <w:rsid w:val="001804AF"/>
    <w:rsid w:val="001808D3"/>
    <w:rsid w:val="0018090C"/>
    <w:rsid w:val="00180D70"/>
    <w:rsid w:val="00187415"/>
    <w:rsid w:val="001901F0"/>
    <w:rsid w:val="00191AAC"/>
    <w:rsid w:val="001944D1"/>
    <w:rsid w:val="00196BDC"/>
    <w:rsid w:val="001A4487"/>
    <w:rsid w:val="001A6A55"/>
    <w:rsid w:val="001C2B7B"/>
    <w:rsid w:val="001C4709"/>
    <w:rsid w:val="001C4CA1"/>
    <w:rsid w:val="001C56F6"/>
    <w:rsid w:val="001D0E9A"/>
    <w:rsid w:val="001D6DB5"/>
    <w:rsid w:val="001E2F70"/>
    <w:rsid w:val="001E3E18"/>
    <w:rsid w:val="001E549F"/>
    <w:rsid w:val="001F4D74"/>
    <w:rsid w:val="001F6FB0"/>
    <w:rsid w:val="001F7B5F"/>
    <w:rsid w:val="002055CF"/>
    <w:rsid w:val="00213224"/>
    <w:rsid w:val="0021788A"/>
    <w:rsid w:val="00221C85"/>
    <w:rsid w:val="0022412D"/>
    <w:rsid w:val="00225A66"/>
    <w:rsid w:val="002317DA"/>
    <w:rsid w:val="00241DA8"/>
    <w:rsid w:val="00245CB1"/>
    <w:rsid w:val="002525F7"/>
    <w:rsid w:val="00256FB0"/>
    <w:rsid w:val="00257080"/>
    <w:rsid w:val="002630F3"/>
    <w:rsid w:val="00267940"/>
    <w:rsid w:val="00277D42"/>
    <w:rsid w:val="00280611"/>
    <w:rsid w:val="00280856"/>
    <w:rsid w:val="00281541"/>
    <w:rsid w:val="002869B1"/>
    <w:rsid w:val="0029185C"/>
    <w:rsid w:val="00294359"/>
    <w:rsid w:val="0029649A"/>
    <w:rsid w:val="002A2C36"/>
    <w:rsid w:val="002A4D95"/>
    <w:rsid w:val="002B4514"/>
    <w:rsid w:val="002B5D3E"/>
    <w:rsid w:val="002B6A3B"/>
    <w:rsid w:val="002C6953"/>
    <w:rsid w:val="002E3F2B"/>
    <w:rsid w:val="002F15ED"/>
    <w:rsid w:val="002F1BC6"/>
    <w:rsid w:val="002F5050"/>
    <w:rsid w:val="002F506B"/>
    <w:rsid w:val="00302FAA"/>
    <w:rsid w:val="00302FDE"/>
    <w:rsid w:val="00310BAD"/>
    <w:rsid w:val="00313A5A"/>
    <w:rsid w:val="00314C49"/>
    <w:rsid w:val="00324040"/>
    <w:rsid w:val="0032486C"/>
    <w:rsid w:val="003306D2"/>
    <w:rsid w:val="003308BE"/>
    <w:rsid w:val="00330FED"/>
    <w:rsid w:val="003318B9"/>
    <w:rsid w:val="00340E88"/>
    <w:rsid w:val="003415DE"/>
    <w:rsid w:val="00345ECE"/>
    <w:rsid w:val="00346002"/>
    <w:rsid w:val="00356F2D"/>
    <w:rsid w:val="00357835"/>
    <w:rsid w:val="00361BEA"/>
    <w:rsid w:val="00363566"/>
    <w:rsid w:val="0036481A"/>
    <w:rsid w:val="0037321E"/>
    <w:rsid w:val="0037415D"/>
    <w:rsid w:val="00375F68"/>
    <w:rsid w:val="003766C1"/>
    <w:rsid w:val="0037776D"/>
    <w:rsid w:val="00380995"/>
    <w:rsid w:val="00383463"/>
    <w:rsid w:val="003836FF"/>
    <w:rsid w:val="00383A40"/>
    <w:rsid w:val="00386A3F"/>
    <w:rsid w:val="0038742F"/>
    <w:rsid w:val="003877B6"/>
    <w:rsid w:val="0039771A"/>
    <w:rsid w:val="003A128F"/>
    <w:rsid w:val="003A2E8F"/>
    <w:rsid w:val="003A3E41"/>
    <w:rsid w:val="003A7B15"/>
    <w:rsid w:val="003B1A58"/>
    <w:rsid w:val="003B4234"/>
    <w:rsid w:val="003C0529"/>
    <w:rsid w:val="003C07EF"/>
    <w:rsid w:val="003C2C70"/>
    <w:rsid w:val="003C2F0E"/>
    <w:rsid w:val="003E01F8"/>
    <w:rsid w:val="003E6D00"/>
    <w:rsid w:val="003F04C9"/>
    <w:rsid w:val="003F7C4C"/>
    <w:rsid w:val="003F7D16"/>
    <w:rsid w:val="003F7F77"/>
    <w:rsid w:val="0040031A"/>
    <w:rsid w:val="00400744"/>
    <w:rsid w:val="004024FF"/>
    <w:rsid w:val="00403C0D"/>
    <w:rsid w:val="00406B30"/>
    <w:rsid w:val="0041094E"/>
    <w:rsid w:val="00411AC4"/>
    <w:rsid w:val="00411F48"/>
    <w:rsid w:val="00414ACD"/>
    <w:rsid w:val="00420A56"/>
    <w:rsid w:val="00422980"/>
    <w:rsid w:val="00424B66"/>
    <w:rsid w:val="00440A48"/>
    <w:rsid w:val="004466D1"/>
    <w:rsid w:val="00447703"/>
    <w:rsid w:val="00452BD9"/>
    <w:rsid w:val="004577B1"/>
    <w:rsid w:val="00463584"/>
    <w:rsid w:val="00463D5B"/>
    <w:rsid w:val="004671D7"/>
    <w:rsid w:val="0047151A"/>
    <w:rsid w:val="00473EF6"/>
    <w:rsid w:val="00474BE8"/>
    <w:rsid w:val="00476D65"/>
    <w:rsid w:val="00477A99"/>
    <w:rsid w:val="00480F67"/>
    <w:rsid w:val="00484BCE"/>
    <w:rsid w:val="00497308"/>
    <w:rsid w:val="004A53D9"/>
    <w:rsid w:val="004A60BA"/>
    <w:rsid w:val="004A6DBA"/>
    <w:rsid w:val="004B620C"/>
    <w:rsid w:val="004C078D"/>
    <w:rsid w:val="004C37FD"/>
    <w:rsid w:val="004C419E"/>
    <w:rsid w:val="004C484F"/>
    <w:rsid w:val="004C5077"/>
    <w:rsid w:val="004C52DE"/>
    <w:rsid w:val="004C5EAF"/>
    <w:rsid w:val="004E12C0"/>
    <w:rsid w:val="004E361E"/>
    <w:rsid w:val="004F119C"/>
    <w:rsid w:val="004F2C41"/>
    <w:rsid w:val="004F3CB3"/>
    <w:rsid w:val="004F61DC"/>
    <w:rsid w:val="00503560"/>
    <w:rsid w:val="00507D5D"/>
    <w:rsid w:val="00510902"/>
    <w:rsid w:val="00512487"/>
    <w:rsid w:val="005130ED"/>
    <w:rsid w:val="0051363C"/>
    <w:rsid w:val="00514E8A"/>
    <w:rsid w:val="00523272"/>
    <w:rsid w:val="0052477F"/>
    <w:rsid w:val="005324E3"/>
    <w:rsid w:val="00535B8B"/>
    <w:rsid w:val="0053736E"/>
    <w:rsid w:val="00537AE1"/>
    <w:rsid w:val="0054099B"/>
    <w:rsid w:val="00543F69"/>
    <w:rsid w:val="00554C5D"/>
    <w:rsid w:val="00555023"/>
    <w:rsid w:val="005611DD"/>
    <w:rsid w:val="00561E1C"/>
    <w:rsid w:val="0056223A"/>
    <w:rsid w:val="00562D19"/>
    <w:rsid w:val="00564194"/>
    <w:rsid w:val="00572FF2"/>
    <w:rsid w:val="00574002"/>
    <w:rsid w:val="0057674F"/>
    <w:rsid w:val="00577E41"/>
    <w:rsid w:val="00580842"/>
    <w:rsid w:val="00595B10"/>
    <w:rsid w:val="005960C9"/>
    <w:rsid w:val="005A3FEF"/>
    <w:rsid w:val="005B0C5F"/>
    <w:rsid w:val="005B0DFB"/>
    <w:rsid w:val="005B1E00"/>
    <w:rsid w:val="005C5A02"/>
    <w:rsid w:val="005D0C52"/>
    <w:rsid w:val="005D0DA8"/>
    <w:rsid w:val="005E201C"/>
    <w:rsid w:val="005E202A"/>
    <w:rsid w:val="005E3800"/>
    <w:rsid w:val="005E524F"/>
    <w:rsid w:val="005E53AA"/>
    <w:rsid w:val="005E5961"/>
    <w:rsid w:val="005E61E2"/>
    <w:rsid w:val="005F1F06"/>
    <w:rsid w:val="005F70DB"/>
    <w:rsid w:val="00603275"/>
    <w:rsid w:val="006120D1"/>
    <w:rsid w:val="00623C1E"/>
    <w:rsid w:val="00626E4E"/>
    <w:rsid w:val="00626E55"/>
    <w:rsid w:val="00633C4D"/>
    <w:rsid w:val="00634A81"/>
    <w:rsid w:val="00635F48"/>
    <w:rsid w:val="00636D7D"/>
    <w:rsid w:val="0064307B"/>
    <w:rsid w:val="006450DC"/>
    <w:rsid w:val="00653704"/>
    <w:rsid w:val="00657F19"/>
    <w:rsid w:val="00660B5C"/>
    <w:rsid w:val="00661F75"/>
    <w:rsid w:val="006630ED"/>
    <w:rsid w:val="006647EB"/>
    <w:rsid w:val="00677DE4"/>
    <w:rsid w:val="00683F90"/>
    <w:rsid w:val="00686150"/>
    <w:rsid w:val="0068652E"/>
    <w:rsid w:val="00686E49"/>
    <w:rsid w:val="00686FAE"/>
    <w:rsid w:val="006915F4"/>
    <w:rsid w:val="0069281A"/>
    <w:rsid w:val="00692CA8"/>
    <w:rsid w:val="00695531"/>
    <w:rsid w:val="00697B76"/>
    <w:rsid w:val="006A1206"/>
    <w:rsid w:val="006A1615"/>
    <w:rsid w:val="006B459F"/>
    <w:rsid w:val="006B6357"/>
    <w:rsid w:val="006B76BC"/>
    <w:rsid w:val="006C3006"/>
    <w:rsid w:val="006C590B"/>
    <w:rsid w:val="006C5E1E"/>
    <w:rsid w:val="006C7F34"/>
    <w:rsid w:val="006D36C1"/>
    <w:rsid w:val="006D7A73"/>
    <w:rsid w:val="006E0169"/>
    <w:rsid w:val="006E37CF"/>
    <w:rsid w:val="006E73EF"/>
    <w:rsid w:val="006F58B5"/>
    <w:rsid w:val="006F5BB9"/>
    <w:rsid w:val="00700B17"/>
    <w:rsid w:val="007040C2"/>
    <w:rsid w:val="00706CD2"/>
    <w:rsid w:val="00707339"/>
    <w:rsid w:val="00712C0F"/>
    <w:rsid w:val="00713A69"/>
    <w:rsid w:val="00713C65"/>
    <w:rsid w:val="007155DC"/>
    <w:rsid w:val="007161E7"/>
    <w:rsid w:val="00721928"/>
    <w:rsid w:val="00727014"/>
    <w:rsid w:val="00727965"/>
    <w:rsid w:val="00727DD8"/>
    <w:rsid w:val="00731346"/>
    <w:rsid w:val="007328A4"/>
    <w:rsid w:val="00733C03"/>
    <w:rsid w:val="0073414A"/>
    <w:rsid w:val="00735B5B"/>
    <w:rsid w:val="0073648C"/>
    <w:rsid w:val="007426D8"/>
    <w:rsid w:val="0074598A"/>
    <w:rsid w:val="007470BF"/>
    <w:rsid w:val="007510E6"/>
    <w:rsid w:val="007531E8"/>
    <w:rsid w:val="0075378D"/>
    <w:rsid w:val="00764F51"/>
    <w:rsid w:val="00771849"/>
    <w:rsid w:val="007743D8"/>
    <w:rsid w:val="0077794C"/>
    <w:rsid w:val="00785157"/>
    <w:rsid w:val="00791077"/>
    <w:rsid w:val="00791C94"/>
    <w:rsid w:val="00793456"/>
    <w:rsid w:val="007960EE"/>
    <w:rsid w:val="007A0E51"/>
    <w:rsid w:val="007A406B"/>
    <w:rsid w:val="007A4CDE"/>
    <w:rsid w:val="007B3E6D"/>
    <w:rsid w:val="007B4360"/>
    <w:rsid w:val="007B5C08"/>
    <w:rsid w:val="007B694F"/>
    <w:rsid w:val="007B7789"/>
    <w:rsid w:val="007D197D"/>
    <w:rsid w:val="007D22FB"/>
    <w:rsid w:val="007D39A4"/>
    <w:rsid w:val="007D65E9"/>
    <w:rsid w:val="007E1601"/>
    <w:rsid w:val="007E4B5C"/>
    <w:rsid w:val="007F21A3"/>
    <w:rsid w:val="007F5570"/>
    <w:rsid w:val="00807F85"/>
    <w:rsid w:val="00823998"/>
    <w:rsid w:val="00826D98"/>
    <w:rsid w:val="0082773E"/>
    <w:rsid w:val="00827DEC"/>
    <w:rsid w:val="008308C9"/>
    <w:rsid w:val="00830921"/>
    <w:rsid w:val="0083471A"/>
    <w:rsid w:val="00837B6F"/>
    <w:rsid w:val="00840EC8"/>
    <w:rsid w:val="00841AA4"/>
    <w:rsid w:val="008452BB"/>
    <w:rsid w:val="00862062"/>
    <w:rsid w:val="0086575B"/>
    <w:rsid w:val="00867D1D"/>
    <w:rsid w:val="008722F6"/>
    <w:rsid w:val="00872B1B"/>
    <w:rsid w:val="00876AF9"/>
    <w:rsid w:val="00884940"/>
    <w:rsid w:val="00896FE0"/>
    <w:rsid w:val="008B6215"/>
    <w:rsid w:val="008B7A00"/>
    <w:rsid w:val="008B7F4E"/>
    <w:rsid w:val="008C1838"/>
    <w:rsid w:val="008C2392"/>
    <w:rsid w:val="008C36BC"/>
    <w:rsid w:val="008C5C63"/>
    <w:rsid w:val="008D726A"/>
    <w:rsid w:val="008D747E"/>
    <w:rsid w:val="008E0C0B"/>
    <w:rsid w:val="008E0FBA"/>
    <w:rsid w:val="008E3DE3"/>
    <w:rsid w:val="008E650B"/>
    <w:rsid w:val="008E7715"/>
    <w:rsid w:val="008E7835"/>
    <w:rsid w:val="008F090C"/>
    <w:rsid w:val="008F4123"/>
    <w:rsid w:val="008F5FB1"/>
    <w:rsid w:val="00906576"/>
    <w:rsid w:val="00907D02"/>
    <w:rsid w:val="00910952"/>
    <w:rsid w:val="009145C0"/>
    <w:rsid w:val="009202F4"/>
    <w:rsid w:val="00926925"/>
    <w:rsid w:val="00930A74"/>
    <w:rsid w:val="00933EBD"/>
    <w:rsid w:val="00934DDF"/>
    <w:rsid w:val="00937682"/>
    <w:rsid w:val="0094033F"/>
    <w:rsid w:val="00942D09"/>
    <w:rsid w:val="00947401"/>
    <w:rsid w:val="00953DE5"/>
    <w:rsid w:val="009654AE"/>
    <w:rsid w:val="00965A40"/>
    <w:rsid w:val="00976316"/>
    <w:rsid w:val="009771A8"/>
    <w:rsid w:val="00977877"/>
    <w:rsid w:val="009833EE"/>
    <w:rsid w:val="009963E0"/>
    <w:rsid w:val="009974F1"/>
    <w:rsid w:val="00997E2D"/>
    <w:rsid w:val="009A729B"/>
    <w:rsid w:val="009A7DEC"/>
    <w:rsid w:val="009B2B47"/>
    <w:rsid w:val="009B58C5"/>
    <w:rsid w:val="009C21B7"/>
    <w:rsid w:val="009C377C"/>
    <w:rsid w:val="009C560A"/>
    <w:rsid w:val="009C5B36"/>
    <w:rsid w:val="009C6D5B"/>
    <w:rsid w:val="009D1770"/>
    <w:rsid w:val="009D291F"/>
    <w:rsid w:val="009D2A45"/>
    <w:rsid w:val="009D4639"/>
    <w:rsid w:val="009E4DC9"/>
    <w:rsid w:val="00A00A5F"/>
    <w:rsid w:val="00A03E0F"/>
    <w:rsid w:val="00A14450"/>
    <w:rsid w:val="00A17CAD"/>
    <w:rsid w:val="00A27743"/>
    <w:rsid w:val="00A321AC"/>
    <w:rsid w:val="00A34E21"/>
    <w:rsid w:val="00A40585"/>
    <w:rsid w:val="00A424E3"/>
    <w:rsid w:val="00A432A4"/>
    <w:rsid w:val="00A52F44"/>
    <w:rsid w:val="00A55113"/>
    <w:rsid w:val="00A561E7"/>
    <w:rsid w:val="00A57DCE"/>
    <w:rsid w:val="00A6263B"/>
    <w:rsid w:val="00A62F8F"/>
    <w:rsid w:val="00A67416"/>
    <w:rsid w:val="00A731A1"/>
    <w:rsid w:val="00A80202"/>
    <w:rsid w:val="00A81947"/>
    <w:rsid w:val="00A83E83"/>
    <w:rsid w:val="00A864CA"/>
    <w:rsid w:val="00A92CF2"/>
    <w:rsid w:val="00A94485"/>
    <w:rsid w:val="00A9598D"/>
    <w:rsid w:val="00AA2E47"/>
    <w:rsid w:val="00AA3CDB"/>
    <w:rsid w:val="00AA3DD6"/>
    <w:rsid w:val="00AB07A1"/>
    <w:rsid w:val="00AB7673"/>
    <w:rsid w:val="00AB7BFF"/>
    <w:rsid w:val="00AC6BB4"/>
    <w:rsid w:val="00AC73DD"/>
    <w:rsid w:val="00AD1352"/>
    <w:rsid w:val="00AD1BAF"/>
    <w:rsid w:val="00AD41A5"/>
    <w:rsid w:val="00AD4814"/>
    <w:rsid w:val="00AE2C9B"/>
    <w:rsid w:val="00AE32C9"/>
    <w:rsid w:val="00AE489E"/>
    <w:rsid w:val="00AE50E7"/>
    <w:rsid w:val="00AE6A6A"/>
    <w:rsid w:val="00AE7D84"/>
    <w:rsid w:val="00AF4D0E"/>
    <w:rsid w:val="00AF53C0"/>
    <w:rsid w:val="00AF743A"/>
    <w:rsid w:val="00B00EAA"/>
    <w:rsid w:val="00B035E5"/>
    <w:rsid w:val="00B04025"/>
    <w:rsid w:val="00B04C07"/>
    <w:rsid w:val="00B04C28"/>
    <w:rsid w:val="00B057A5"/>
    <w:rsid w:val="00B149DE"/>
    <w:rsid w:val="00B1523F"/>
    <w:rsid w:val="00B22C5C"/>
    <w:rsid w:val="00B40183"/>
    <w:rsid w:val="00B40A6D"/>
    <w:rsid w:val="00B41B4B"/>
    <w:rsid w:val="00B41F6A"/>
    <w:rsid w:val="00B44B11"/>
    <w:rsid w:val="00B44F75"/>
    <w:rsid w:val="00B45CA6"/>
    <w:rsid w:val="00B52A5C"/>
    <w:rsid w:val="00B5337E"/>
    <w:rsid w:val="00B55809"/>
    <w:rsid w:val="00B56994"/>
    <w:rsid w:val="00B65F74"/>
    <w:rsid w:val="00B673C7"/>
    <w:rsid w:val="00B746B7"/>
    <w:rsid w:val="00B7787F"/>
    <w:rsid w:val="00B80E35"/>
    <w:rsid w:val="00B92109"/>
    <w:rsid w:val="00B9770F"/>
    <w:rsid w:val="00BB59C6"/>
    <w:rsid w:val="00BB6547"/>
    <w:rsid w:val="00BC7A58"/>
    <w:rsid w:val="00BD0C9A"/>
    <w:rsid w:val="00BD41BD"/>
    <w:rsid w:val="00BD5475"/>
    <w:rsid w:val="00BE147F"/>
    <w:rsid w:val="00BE1A3F"/>
    <w:rsid w:val="00BF09FB"/>
    <w:rsid w:val="00BF0CFC"/>
    <w:rsid w:val="00BF4A72"/>
    <w:rsid w:val="00BF5DE2"/>
    <w:rsid w:val="00BF6F7B"/>
    <w:rsid w:val="00C01118"/>
    <w:rsid w:val="00C02C23"/>
    <w:rsid w:val="00C02FBB"/>
    <w:rsid w:val="00C106F1"/>
    <w:rsid w:val="00C1236E"/>
    <w:rsid w:val="00C17D4D"/>
    <w:rsid w:val="00C17F96"/>
    <w:rsid w:val="00C2331F"/>
    <w:rsid w:val="00C2476D"/>
    <w:rsid w:val="00C25E59"/>
    <w:rsid w:val="00C273C3"/>
    <w:rsid w:val="00C30DA6"/>
    <w:rsid w:val="00C31118"/>
    <w:rsid w:val="00C401B5"/>
    <w:rsid w:val="00C506A8"/>
    <w:rsid w:val="00C61570"/>
    <w:rsid w:val="00C71B70"/>
    <w:rsid w:val="00C72E21"/>
    <w:rsid w:val="00C73145"/>
    <w:rsid w:val="00C7501A"/>
    <w:rsid w:val="00C7759C"/>
    <w:rsid w:val="00C80CED"/>
    <w:rsid w:val="00C837DD"/>
    <w:rsid w:val="00C87660"/>
    <w:rsid w:val="00C90866"/>
    <w:rsid w:val="00C96A91"/>
    <w:rsid w:val="00CA5A6D"/>
    <w:rsid w:val="00CA6EE7"/>
    <w:rsid w:val="00CA6EF2"/>
    <w:rsid w:val="00CB03D8"/>
    <w:rsid w:val="00CB0423"/>
    <w:rsid w:val="00CB4B9A"/>
    <w:rsid w:val="00CB60D7"/>
    <w:rsid w:val="00CB753F"/>
    <w:rsid w:val="00CC2DA9"/>
    <w:rsid w:val="00CC70E9"/>
    <w:rsid w:val="00CD27D4"/>
    <w:rsid w:val="00CD5BC9"/>
    <w:rsid w:val="00CD6E18"/>
    <w:rsid w:val="00CE2298"/>
    <w:rsid w:val="00CE6365"/>
    <w:rsid w:val="00CF2BCF"/>
    <w:rsid w:val="00CF3DCE"/>
    <w:rsid w:val="00CF7427"/>
    <w:rsid w:val="00CF79D8"/>
    <w:rsid w:val="00D01AC6"/>
    <w:rsid w:val="00D03938"/>
    <w:rsid w:val="00D14959"/>
    <w:rsid w:val="00D14C5A"/>
    <w:rsid w:val="00D14F80"/>
    <w:rsid w:val="00D16540"/>
    <w:rsid w:val="00D2540C"/>
    <w:rsid w:val="00D30006"/>
    <w:rsid w:val="00D40F26"/>
    <w:rsid w:val="00D56B8F"/>
    <w:rsid w:val="00D73A64"/>
    <w:rsid w:val="00D74D3E"/>
    <w:rsid w:val="00D83BD3"/>
    <w:rsid w:val="00D84083"/>
    <w:rsid w:val="00D91558"/>
    <w:rsid w:val="00D94863"/>
    <w:rsid w:val="00D94D8F"/>
    <w:rsid w:val="00D95DF3"/>
    <w:rsid w:val="00DA1BB6"/>
    <w:rsid w:val="00DA2916"/>
    <w:rsid w:val="00DA646A"/>
    <w:rsid w:val="00DA7D1E"/>
    <w:rsid w:val="00DB0D21"/>
    <w:rsid w:val="00DB2AE3"/>
    <w:rsid w:val="00DB6783"/>
    <w:rsid w:val="00DB6FFB"/>
    <w:rsid w:val="00DC3FEE"/>
    <w:rsid w:val="00DD25FD"/>
    <w:rsid w:val="00DD44D8"/>
    <w:rsid w:val="00DD4D90"/>
    <w:rsid w:val="00DE7CC2"/>
    <w:rsid w:val="00DF0887"/>
    <w:rsid w:val="00DF3953"/>
    <w:rsid w:val="00DF4EB9"/>
    <w:rsid w:val="00E07FB0"/>
    <w:rsid w:val="00E13050"/>
    <w:rsid w:val="00E145D5"/>
    <w:rsid w:val="00E20144"/>
    <w:rsid w:val="00E23289"/>
    <w:rsid w:val="00E25E5D"/>
    <w:rsid w:val="00E35A23"/>
    <w:rsid w:val="00E410D5"/>
    <w:rsid w:val="00E43E6B"/>
    <w:rsid w:val="00E44BC2"/>
    <w:rsid w:val="00E44E50"/>
    <w:rsid w:val="00E44EC1"/>
    <w:rsid w:val="00E538C3"/>
    <w:rsid w:val="00E562D6"/>
    <w:rsid w:val="00E5670D"/>
    <w:rsid w:val="00E61737"/>
    <w:rsid w:val="00E82053"/>
    <w:rsid w:val="00E864FB"/>
    <w:rsid w:val="00E913FD"/>
    <w:rsid w:val="00E93D8B"/>
    <w:rsid w:val="00EA342B"/>
    <w:rsid w:val="00EA680F"/>
    <w:rsid w:val="00EB07D3"/>
    <w:rsid w:val="00EB1C5F"/>
    <w:rsid w:val="00EC49B6"/>
    <w:rsid w:val="00EC7338"/>
    <w:rsid w:val="00EC7603"/>
    <w:rsid w:val="00ED3CA2"/>
    <w:rsid w:val="00ED6A7A"/>
    <w:rsid w:val="00EE473D"/>
    <w:rsid w:val="00EE5DE3"/>
    <w:rsid w:val="00EE5E04"/>
    <w:rsid w:val="00EF18AC"/>
    <w:rsid w:val="00F03766"/>
    <w:rsid w:val="00F1125C"/>
    <w:rsid w:val="00F11EAE"/>
    <w:rsid w:val="00F13485"/>
    <w:rsid w:val="00F146AA"/>
    <w:rsid w:val="00F1612A"/>
    <w:rsid w:val="00F17CC8"/>
    <w:rsid w:val="00F20C04"/>
    <w:rsid w:val="00F245E7"/>
    <w:rsid w:val="00F31E2F"/>
    <w:rsid w:val="00F3286C"/>
    <w:rsid w:val="00F342D0"/>
    <w:rsid w:val="00F40A20"/>
    <w:rsid w:val="00F53385"/>
    <w:rsid w:val="00F53BC5"/>
    <w:rsid w:val="00F600C8"/>
    <w:rsid w:val="00F6495F"/>
    <w:rsid w:val="00F66592"/>
    <w:rsid w:val="00F66766"/>
    <w:rsid w:val="00F66E0D"/>
    <w:rsid w:val="00F701C5"/>
    <w:rsid w:val="00F7436C"/>
    <w:rsid w:val="00F77903"/>
    <w:rsid w:val="00F80349"/>
    <w:rsid w:val="00F8042C"/>
    <w:rsid w:val="00F8340D"/>
    <w:rsid w:val="00F844EB"/>
    <w:rsid w:val="00F85524"/>
    <w:rsid w:val="00F908D4"/>
    <w:rsid w:val="00F922AD"/>
    <w:rsid w:val="00F97A80"/>
    <w:rsid w:val="00FA104C"/>
    <w:rsid w:val="00FA1AC5"/>
    <w:rsid w:val="00FA791C"/>
    <w:rsid w:val="00FB1089"/>
    <w:rsid w:val="00FB343A"/>
    <w:rsid w:val="00FB5B5C"/>
    <w:rsid w:val="00FC20AE"/>
    <w:rsid w:val="00FC68FE"/>
    <w:rsid w:val="00FD04BF"/>
    <w:rsid w:val="00FD26EF"/>
    <w:rsid w:val="00FD2CB6"/>
    <w:rsid w:val="00FE44F1"/>
    <w:rsid w:val="00FE7E7C"/>
    <w:rsid w:val="00FF55EB"/>
    <w:rsid w:val="00FF5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9CAD3"/>
  <w15:chartTrackingRefBased/>
  <w15:docId w15:val="{83808D63-425F-4A30-9D7A-294CFF3E5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646A"/>
    <w:pPr>
      <w:spacing w:before="240" w:after="240" w:line="240" w:lineRule="auto"/>
    </w:pPr>
    <w:rPr>
      <w:rFonts w:ascii="Times New Roman" w:hAnsi="Times New Roman"/>
      <w:color w:val="000000" w:themeColor="text1"/>
      <w:sz w:val="24"/>
    </w:rPr>
  </w:style>
  <w:style w:type="paragraph" w:styleId="Heading1">
    <w:name w:val="heading 1"/>
    <w:basedOn w:val="Normal"/>
    <w:next w:val="Normal"/>
    <w:link w:val="Heading1Char"/>
    <w:autoRedefine/>
    <w:uiPriority w:val="9"/>
    <w:qFormat/>
    <w:rsid w:val="00420A56"/>
    <w:pPr>
      <w:keepNext/>
      <w:keepLines/>
      <w:numPr>
        <w:numId w:val="5"/>
      </w:numPr>
      <w:spacing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302FDE"/>
    <w:pPr>
      <w:keepNext/>
      <w:keepLines/>
      <w:numPr>
        <w:numId w:val="6"/>
      </w:numPr>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715"/>
    <w:pPr>
      <w:ind w:left="720"/>
      <w:contextualSpacing/>
    </w:pPr>
  </w:style>
  <w:style w:type="paragraph" w:styleId="FootnoteText">
    <w:name w:val="footnote text"/>
    <w:basedOn w:val="Normal"/>
    <w:link w:val="FootnoteTextChar"/>
    <w:uiPriority w:val="99"/>
    <w:semiHidden/>
    <w:unhideWhenUsed/>
    <w:rsid w:val="008E7715"/>
    <w:pPr>
      <w:spacing w:after="0"/>
    </w:pPr>
    <w:rPr>
      <w:sz w:val="20"/>
      <w:szCs w:val="20"/>
    </w:rPr>
  </w:style>
  <w:style w:type="character" w:customStyle="1" w:styleId="FootnoteTextChar">
    <w:name w:val="Footnote Text Char"/>
    <w:basedOn w:val="DefaultParagraphFont"/>
    <w:link w:val="FootnoteText"/>
    <w:uiPriority w:val="99"/>
    <w:semiHidden/>
    <w:rsid w:val="008E7715"/>
    <w:rPr>
      <w:rFonts w:ascii="Times New Roman" w:hAnsi="Times New Roman"/>
      <w:sz w:val="20"/>
      <w:szCs w:val="20"/>
    </w:rPr>
  </w:style>
  <w:style w:type="character" w:styleId="FootnoteReference">
    <w:name w:val="footnote reference"/>
    <w:basedOn w:val="DefaultParagraphFont"/>
    <w:uiPriority w:val="99"/>
    <w:semiHidden/>
    <w:unhideWhenUsed/>
    <w:rsid w:val="008E7715"/>
    <w:rPr>
      <w:vertAlign w:val="superscript"/>
    </w:rPr>
  </w:style>
  <w:style w:type="character" w:styleId="Hyperlink">
    <w:name w:val="Hyperlink"/>
    <w:basedOn w:val="DefaultParagraphFont"/>
    <w:uiPriority w:val="99"/>
    <w:unhideWhenUsed/>
    <w:rsid w:val="00D95DF3"/>
    <w:rPr>
      <w:color w:val="0563C1" w:themeColor="hyperlink"/>
      <w:u w:val="single"/>
    </w:rPr>
  </w:style>
  <w:style w:type="character" w:styleId="UnresolvedMention">
    <w:name w:val="Unresolved Mention"/>
    <w:basedOn w:val="DefaultParagraphFont"/>
    <w:uiPriority w:val="99"/>
    <w:semiHidden/>
    <w:unhideWhenUsed/>
    <w:rsid w:val="00D95DF3"/>
    <w:rPr>
      <w:color w:val="605E5C"/>
      <w:shd w:val="clear" w:color="auto" w:fill="E1DFDD"/>
    </w:rPr>
  </w:style>
  <w:style w:type="character" w:styleId="CommentReference">
    <w:name w:val="annotation reference"/>
    <w:basedOn w:val="DefaultParagraphFont"/>
    <w:uiPriority w:val="99"/>
    <w:semiHidden/>
    <w:unhideWhenUsed/>
    <w:rsid w:val="00862062"/>
    <w:rPr>
      <w:sz w:val="16"/>
      <w:szCs w:val="16"/>
    </w:rPr>
  </w:style>
  <w:style w:type="paragraph" w:styleId="CommentText">
    <w:name w:val="annotation text"/>
    <w:basedOn w:val="Normal"/>
    <w:link w:val="CommentTextChar"/>
    <w:uiPriority w:val="99"/>
    <w:semiHidden/>
    <w:unhideWhenUsed/>
    <w:rsid w:val="00862062"/>
    <w:rPr>
      <w:sz w:val="20"/>
      <w:szCs w:val="20"/>
    </w:rPr>
  </w:style>
  <w:style w:type="character" w:customStyle="1" w:styleId="CommentTextChar">
    <w:name w:val="Comment Text Char"/>
    <w:basedOn w:val="DefaultParagraphFont"/>
    <w:link w:val="CommentText"/>
    <w:uiPriority w:val="99"/>
    <w:semiHidden/>
    <w:rsid w:val="0086206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62062"/>
    <w:rPr>
      <w:b/>
      <w:bCs/>
    </w:rPr>
  </w:style>
  <w:style w:type="character" w:customStyle="1" w:styleId="CommentSubjectChar">
    <w:name w:val="Comment Subject Char"/>
    <w:basedOn w:val="CommentTextChar"/>
    <w:link w:val="CommentSubject"/>
    <w:uiPriority w:val="99"/>
    <w:semiHidden/>
    <w:rsid w:val="00862062"/>
    <w:rPr>
      <w:rFonts w:ascii="Times New Roman" w:hAnsi="Times New Roman"/>
      <w:b/>
      <w:bCs/>
      <w:sz w:val="20"/>
      <w:szCs w:val="20"/>
    </w:rPr>
  </w:style>
  <w:style w:type="paragraph" w:styleId="BalloonText">
    <w:name w:val="Balloon Text"/>
    <w:basedOn w:val="Normal"/>
    <w:link w:val="BalloonTextChar"/>
    <w:uiPriority w:val="99"/>
    <w:semiHidden/>
    <w:unhideWhenUsed/>
    <w:rsid w:val="0086206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2062"/>
    <w:rPr>
      <w:rFonts w:ascii="Segoe UI" w:hAnsi="Segoe UI" w:cs="Segoe UI"/>
      <w:sz w:val="18"/>
      <w:szCs w:val="18"/>
    </w:rPr>
  </w:style>
  <w:style w:type="character" w:customStyle="1" w:styleId="Heading1Char">
    <w:name w:val="Heading 1 Char"/>
    <w:basedOn w:val="DefaultParagraphFont"/>
    <w:link w:val="Heading1"/>
    <w:uiPriority w:val="9"/>
    <w:rsid w:val="00420A56"/>
    <w:rPr>
      <w:rFonts w:ascii="Times New Roman" w:eastAsiaTheme="majorEastAsia" w:hAnsi="Times New Roman" w:cstheme="majorBidi"/>
      <w:color w:val="000000" w:themeColor="text1"/>
      <w:sz w:val="24"/>
      <w:szCs w:val="32"/>
    </w:rPr>
  </w:style>
  <w:style w:type="character" w:customStyle="1" w:styleId="Heading2Char">
    <w:name w:val="Heading 2 Char"/>
    <w:basedOn w:val="DefaultParagraphFont"/>
    <w:link w:val="Heading2"/>
    <w:uiPriority w:val="9"/>
    <w:rsid w:val="00302FDE"/>
    <w:rPr>
      <w:rFonts w:ascii="Times New Roman" w:eastAsiaTheme="majorEastAsia" w:hAnsi="Times New Roman" w:cstheme="majorBidi"/>
      <w:color w:val="000000" w:themeColor="text1"/>
      <w:sz w:val="26"/>
      <w:szCs w:val="26"/>
    </w:rPr>
  </w:style>
  <w:style w:type="paragraph" w:styleId="Title">
    <w:name w:val="Title"/>
    <w:basedOn w:val="Normal"/>
    <w:next w:val="Normal"/>
    <w:link w:val="TitleChar"/>
    <w:uiPriority w:val="10"/>
    <w:qFormat/>
    <w:rsid w:val="00034080"/>
    <w:pPr>
      <w:spacing w:before="0" w:after="0"/>
      <w:contextualSpacing/>
      <w:jc w:val="center"/>
    </w:pPr>
    <w:rPr>
      <w:rFonts w:eastAsiaTheme="majorEastAsia" w:cstheme="majorBidi"/>
      <w:color w:val="auto"/>
      <w:spacing w:val="-10"/>
      <w:kern w:val="28"/>
      <w:sz w:val="32"/>
      <w:szCs w:val="56"/>
    </w:rPr>
  </w:style>
  <w:style w:type="character" w:customStyle="1" w:styleId="TitleChar">
    <w:name w:val="Title Char"/>
    <w:basedOn w:val="DefaultParagraphFont"/>
    <w:link w:val="Title"/>
    <w:uiPriority w:val="10"/>
    <w:rsid w:val="00034080"/>
    <w:rPr>
      <w:rFonts w:ascii="Times New Roman" w:eastAsiaTheme="majorEastAsia" w:hAnsi="Times New Roman" w:cstheme="majorBidi"/>
      <w:spacing w:val="-10"/>
      <w:kern w:val="28"/>
      <w:sz w:val="32"/>
      <w:szCs w:val="56"/>
    </w:rPr>
  </w:style>
  <w:style w:type="character" w:customStyle="1" w:styleId="cohl">
    <w:name w:val="co_hl"/>
    <w:basedOn w:val="DefaultParagraphFont"/>
    <w:rsid w:val="00997E2D"/>
  </w:style>
  <w:style w:type="character" w:styleId="Emphasis">
    <w:name w:val="Emphasis"/>
    <w:basedOn w:val="DefaultParagraphFont"/>
    <w:uiPriority w:val="20"/>
    <w:qFormat/>
    <w:rsid w:val="00004E58"/>
    <w:rPr>
      <w:i/>
      <w:iCs/>
    </w:rPr>
  </w:style>
  <w:style w:type="character" w:customStyle="1" w:styleId="costarpage">
    <w:name w:val="co_starpage"/>
    <w:basedOn w:val="DefaultParagraphFont"/>
    <w:rsid w:val="00004E58"/>
  </w:style>
  <w:style w:type="paragraph" w:styleId="NormalWeb">
    <w:name w:val="Normal (Web)"/>
    <w:basedOn w:val="Normal"/>
    <w:uiPriority w:val="99"/>
    <w:semiHidden/>
    <w:unhideWhenUsed/>
    <w:rsid w:val="00827DEC"/>
    <w:pPr>
      <w:spacing w:before="100" w:beforeAutospacing="1" w:after="100" w:afterAutospacing="1"/>
    </w:pPr>
    <w:rPr>
      <w:rFonts w:eastAsia="Times New Roman" w:cs="Times New Roman"/>
      <w:color w:val="auto"/>
      <w:szCs w:val="24"/>
    </w:rPr>
  </w:style>
  <w:style w:type="paragraph" w:styleId="Caption">
    <w:name w:val="caption"/>
    <w:basedOn w:val="Normal"/>
    <w:next w:val="Normal"/>
    <w:uiPriority w:val="35"/>
    <w:unhideWhenUsed/>
    <w:qFormat/>
    <w:rsid w:val="008B7A00"/>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92725">
      <w:bodyDiv w:val="1"/>
      <w:marLeft w:val="0"/>
      <w:marRight w:val="0"/>
      <w:marTop w:val="0"/>
      <w:marBottom w:val="0"/>
      <w:divBdr>
        <w:top w:val="none" w:sz="0" w:space="0" w:color="auto"/>
        <w:left w:val="none" w:sz="0" w:space="0" w:color="auto"/>
        <w:bottom w:val="none" w:sz="0" w:space="0" w:color="auto"/>
        <w:right w:val="none" w:sz="0" w:space="0" w:color="auto"/>
      </w:divBdr>
    </w:div>
    <w:div w:id="515460894">
      <w:bodyDiv w:val="1"/>
      <w:marLeft w:val="0"/>
      <w:marRight w:val="0"/>
      <w:marTop w:val="0"/>
      <w:marBottom w:val="0"/>
      <w:divBdr>
        <w:top w:val="none" w:sz="0" w:space="0" w:color="auto"/>
        <w:left w:val="none" w:sz="0" w:space="0" w:color="auto"/>
        <w:bottom w:val="none" w:sz="0" w:space="0" w:color="auto"/>
        <w:right w:val="none" w:sz="0" w:space="0" w:color="auto"/>
      </w:divBdr>
    </w:div>
    <w:div w:id="638144242">
      <w:bodyDiv w:val="1"/>
      <w:marLeft w:val="0"/>
      <w:marRight w:val="0"/>
      <w:marTop w:val="0"/>
      <w:marBottom w:val="0"/>
      <w:divBdr>
        <w:top w:val="none" w:sz="0" w:space="0" w:color="auto"/>
        <w:left w:val="none" w:sz="0" w:space="0" w:color="auto"/>
        <w:bottom w:val="none" w:sz="0" w:space="0" w:color="auto"/>
        <w:right w:val="none" w:sz="0" w:space="0" w:color="auto"/>
      </w:divBdr>
    </w:div>
    <w:div w:id="702167704">
      <w:bodyDiv w:val="1"/>
      <w:marLeft w:val="0"/>
      <w:marRight w:val="0"/>
      <w:marTop w:val="0"/>
      <w:marBottom w:val="0"/>
      <w:divBdr>
        <w:top w:val="none" w:sz="0" w:space="0" w:color="auto"/>
        <w:left w:val="none" w:sz="0" w:space="0" w:color="auto"/>
        <w:bottom w:val="none" w:sz="0" w:space="0" w:color="auto"/>
        <w:right w:val="none" w:sz="0" w:space="0" w:color="auto"/>
      </w:divBdr>
    </w:div>
    <w:div w:id="1161703725">
      <w:bodyDiv w:val="1"/>
      <w:marLeft w:val="0"/>
      <w:marRight w:val="0"/>
      <w:marTop w:val="0"/>
      <w:marBottom w:val="0"/>
      <w:divBdr>
        <w:top w:val="none" w:sz="0" w:space="0" w:color="auto"/>
        <w:left w:val="none" w:sz="0" w:space="0" w:color="auto"/>
        <w:bottom w:val="none" w:sz="0" w:space="0" w:color="auto"/>
        <w:right w:val="none" w:sz="0" w:space="0" w:color="auto"/>
      </w:divBdr>
    </w:div>
    <w:div w:id="1236010287">
      <w:bodyDiv w:val="1"/>
      <w:marLeft w:val="0"/>
      <w:marRight w:val="0"/>
      <w:marTop w:val="0"/>
      <w:marBottom w:val="0"/>
      <w:divBdr>
        <w:top w:val="none" w:sz="0" w:space="0" w:color="auto"/>
        <w:left w:val="none" w:sz="0" w:space="0" w:color="auto"/>
        <w:bottom w:val="none" w:sz="0" w:space="0" w:color="auto"/>
        <w:right w:val="none" w:sz="0" w:space="0" w:color="auto"/>
      </w:divBdr>
    </w:div>
    <w:div w:id="1349989282">
      <w:bodyDiv w:val="1"/>
      <w:marLeft w:val="0"/>
      <w:marRight w:val="0"/>
      <w:marTop w:val="0"/>
      <w:marBottom w:val="0"/>
      <w:divBdr>
        <w:top w:val="none" w:sz="0" w:space="0" w:color="auto"/>
        <w:left w:val="none" w:sz="0" w:space="0" w:color="auto"/>
        <w:bottom w:val="none" w:sz="0" w:space="0" w:color="auto"/>
        <w:right w:val="none" w:sz="0" w:space="0" w:color="auto"/>
      </w:divBdr>
    </w:div>
    <w:div w:id="1579829436">
      <w:bodyDiv w:val="1"/>
      <w:marLeft w:val="0"/>
      <w:marRight w:val="0"/>
      <w:marTop w:val="0"/>
      <w:marBottom w:val="0"/>
      <w:divBdr>
        <w:top w:val="none" w:sz="0" w:space="0" w:color="auto"/>
        <w:left w:val="none" w:sz="0" w:space="0" w:color="auto"/>
        <w:bottom w:val="none" w:sz="0" w:space="0" w:color="auto"/>
        <w:right w:val="none" w:sz="0" w:space="0" w:color="auto"/>
      </w:divBdr>
    </w:div>
    <w:div w:id="1698239923">
      <w:bodyDiv w:val="1"/>
      <w:marLeft w:val="0"/>
      <w:marRight w:val="0"/>
      <w:marTop w:val="0"/>
      <w:marBottom w:val="0"/>
      <w:divBdr>
        <w:top w:val="none" w:sz="0" w:space="0" w:color="auto"/>
        <w:left w:val="none" w:sz="0" w:space="0" w:color="auto"/>
        <w:bottom w:val="none" w:sz="0" w:space="0" w:color="auto"/>
        <w:right w:val="none" w:sz="0" w:space="0" w:color="auto"/>
      </w:divBdr>
    </w:div>
    <w:div w:id="1835030479">
      <w:bodyDiv w:val="1"/>
      <w:marLeft w:val="0"/>
      <w:marRight w:val="0"/>
      <w:marTop w:val="0"/>
      <w:marBottom w:val="0"/>
      <w:divBdr>
        <w:top w:val="none" w:sz="0" w:space="0" w:color="auto"/>
        <w:left w:val="none" w:sz="0" w:space="0" w:color="auto"/>
        <w:bottom w:val="none" w:sz="0" w:space="0" w:color="auto"/>
        <w:right w:val="none" w:sz="0" w:space="0" w:color="auto"/>
      </w:divBdr>
      <w:divsChild>
        <w:div w:id="667055059">
          <w:marLeft w:val="547"/>
          <w:marRight w:val="0"/>
          <w:marTop w:val="77"/>
          <w:marBottom w:val="0"/>
          <w:divBdr>
            <w:top w:val="none" w:sz="0" w:space="0" w:color="auto"/>
            <w:left w:val="none" w:sz="0" w:space="0" w:color="auto"/>
            <w:bottom w:val="none" w:sz="0" w:space="0" w:color="auto"/>
            <w:right w:val="none" w:sz="0" w:space="0" w:color="auto"/>
          </w:divBdr>
        </w:div>
        <w:div w:id="2027709214">
          <w:marLeft w:val="547"/>
          <w:marRight w:val="0"/>
          <w:marTop w:val="77"/>
          <w:marBottom w:val="0"/>
          <w:divBdr>
            <w:top w:val="none" w:sz="0" w:space="0" w:color="auto"/>
            <w:left w:val="none" w:sz="0" w:space="0" w:color="auto"/>
            <w:bottom w:val="none" w:sz="0" w:space="0" w:color="auto"/>
            <w:right w:val="none" w:sz="0" w:space="0" w:color="auto"/>
          </w:divBdr>
        </w:div>
        <w:div w:id="1532647554">
          <w:marLeft w:val="547"/>
          <w:marRight w:val="0"/>
          <w:marTop w:val="77"/>
          <w:marBottom w:val="0"/>
          <w:divBdr>
            <w:top w:val="none" w:sz="0" w:space="0" w:color="auto"/>
            <w:left w:val="none" w:sz="0" w:space="0" w:color="auto"/>
            <w:bottom w:val="none" w:sz="0" w:space="0" w:color="auto"/>
            <w:right w:val="none" w:sz="0" w:space="0" w:color="auto"/>
          </w:divBdr>
        </w:div>
        <w:div w:id="1585608260">
          <w:marLeft w:val="547"/>
          <w:marRight w:val="0"/>
          <w:marTop w:val="77"/>
          <w:marBottom w:val="0"/>
          <w:divBdr>
            <w:top w:val="none" w:sz="0" w:space="0" w:color="auto"/>
            <w:left w:val="none" w:sz="0" w:space="0" w:color="auto"/>
            <w:bottom w:val="none" w:sz="0" w:space="0" w:color="auto"/>
            <w:right w:val="none" w:sz="0" w:space="0" w:color="auto"/>
          </w:divBdr>
        </w:div>
        <w:div w:id="211159662">
          <w:marLeft w:val="547"/>
          <w:marRight w:val="0"/>
          <w:marTop w:val="77"/>
          <w:marBottom w:val="0"/>
          <w:divBdr>
            <w:top w:val="none" w:sz="0" w:space="0" w:color="auto"/>
            <w:left w:val="none" w:sz="0" w:space="0" w:color="auto"/>
            <w:bottom w:val="none" w:sz="0" w:space="0" w:color="auto"/>
            <w:right w:val="none" w:sz="0" w:space="0" w:color="auto"/>
          </w:divBdr>
        </w:div>
        <w:div w:id="501699946">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spto.gov/web/offices/pac/mpep/s2106.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s://www.uspto.gov/web/offices/pac/mpep/mpep-0020-introduction.html" TargetMode="External"/><Relationship Id="rId1" Type="http://schemas.openxmlformats.org/officeDocument/2006/relationships/hyperlink" Target="https://www.ipwatchdog.com/2017/05/21/alice-over-half-u-s-utility-patents-issued-annually-software/id=833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2AB03-86A5-4E83-949E-B8A9FC5AB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710</TotalTime>
  <Pages>12</Pages>
  <Words>2111</Words>
  <Characters>11401</Characters>
  <Application>Microsoft Office Word</Application>
  <DocSecurity>0</DocSecurity>
  <Lines>156</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guthrie</dc:creator>
  <cp:keywords/>
  <dc:description/>
  <cp:lastModifiedBy>seth guthrie</cp:lastModifiedBy>
  <cp:revision>325</cp:revision>
  <dcterms:created xsi:type="dcterms:W3CDTF">2018-11-18T02:42:00Z</dcterms:created>
  <dcterms:modified xsi:type="dcterms:W3CDTF">2018-11-20T05:49:00Z</dcterms:modified>
</cp:coreProperties>
</file>