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00137E10" w:rsidR="008E7715" w:rsidRDefault="008E7715" w:rsidP="008E7715">
      <w:pPr>
        <w:jc w:val="center"/>
      </w:pPr>
      <w:r>
        <w:t>Software Patents Notes</w:t>
      </w:r>
    </w:p>
    <w:p w14:paraId="06D7D926" w14:textId="35AACDAD" w:rsidR="008E7715" w:rsidRDefault="008E7715" w:rsidP="008E7715">
      <w:r>
        <w:t>[INTRODUCTION]</w:t>
      </w:r>
    </w:p>
    <w:p w14:paraId="74A1374B" w14:textId="33000911" w:rsidR="008E7715" w:rsidRDefault="008E7715" w:rsidP="008E7715">
      <w:r>
        <w:t>[BACKGROUND]</w:t>
      </w:r>
    </w:p>
    <w:p w14:paraId="20325A4A" w14:textId="6C973834" w:rsidR="00727014" w:rsidRDefault="008E7715" w:rsidP="00686E49">
      <w:r>
        <w:tab/>
        <w:t xml:space="preserve">The United States Patent System </w:t>
      </w:r>
      <w:r w:rsidR="005960C9">
        <w:t xml:space="preserve">is rooted </w:t>
      </w:r>
      <w:r>
        <w:t>in the Constitution</w:t>
      </w:r>
      <w:r>
        <w:rPr>
          <w:rStyle w:val="FootnoteReference"/>
        </w:rPr>
        <w:footnoteReference w:id="1"/>
      </w:r>
      <w:r w:rsidR="00E07FB0">
        <w:t xml:space="preserve"> and first laid out </w:t>
      </w:r>
      <w:r w:rsidR="007B4360">
        <w:t xml:space="preserve">in law </w:t>
      </w:r>
      <w:r w:rsidR="00E07FB0">
        <w:t xml:space="preserve">by the </w:t>
      </w:r>
      <w:r w:rsidR="009E4DC9">
        <w:t>Patent Act of 1790.</w:t>
      </w:r>
      <w:r w:rsidR="00BF5DE2">
        <w:t xml:space="preserve"> </w:t>
      </w:r>
      <w:r w:rsidR="007D39A4">
        <w:t>The</w:t>
      </w:r>
      <w:r w:rsidR="00BF5DE2">
        <w:t xml:space="preserve"> Act dictated that</w:t>
      </w:r>
      <w:r w:rsidR="008C36BC">
        <w:t xml:space="preserve"> </w:t>
      </w:r>
      <w:r w:rsidR="00AA3DD6">
        <w:t xml:space="preserve">patents </w:t>
      </w:r>
      <w:r w:rsidR="00BF5DE2">
        <w:t xml:space="preserve">be </w:t>
      </w:r>
      <w:r w:rsidR="00AA3DD6">
        <w:t xml:space="preserve">granted </w:t>
      </w:r>
      <w:r w:rsidR="004C484F">
        <w:t xml:space="preserve">by a board composing </w:t>
      </w:r>
      <w:r w:rsidR="00104DD9">
        <w:t xml:space="preserve">only three members: </w:t>
      </w:r>
      <w:r w:rsidR="004C484F">
        <w:t>the Secretary of State, Secretary of War and Attorney General</w:t>
      </w:r>
      <w:r w:rsidR="007D39A4">
        <w:t>.</w:t>
      </w:r>
      <w:r w:rsidR="000D2F64">
        <w:rPr>
          <w:rStyle w:val="FootnoteReference"/>
        </w:rPr>
        <w:footnoteReference w:id="2"/>
      </w:r>
      <w:r w:rsidR="004C37FD">
        <w:t xml:space="preserve"> Patent law has grown in scope considerably and</w:t>
      </w:r>
      <w:r w:rsidR="003F7D16">
        <w:t xml:space="preserve"> </w:t>
      </w:r>
      <w:r w:rsidR="004C37FD">
        <w:t>t</w:t>
      </w:r>
      <w:r w:rsidR="00841AA4">
        <w:t xml:space="preserve">oday is codified in </w:t>
      </w:r>
      <w:r w:rsidR="00AE489E">
        <w:t xml:space="preserve">Title </w:t>
      </w:r>
      <w:r w:rsidR="00841AA4">
        <w:t xml:space="preserve">35 </w:t>
      </w:r>
      <w:r w:rsidR="00F8042C">
        <w:t>of the United States Code</w:t>
      </w:r>
      <w:r w:rsidR="00841AA4">
        <w:t xml:space="preserve"> </w:t>
      </w:r>
      <w:r w:rsidR="00E562D6">
        <w:t>as</w:t>
      </w:r>
      <w:r w:rsidR="00906576">
        <w:t xml:space="preserve"> enacted </w:t>
      </w:r>
      <w:r w:rsidR="00447703">
        <w:t>Congress in 1952</w:t>
      </w:r>
      <w:r w:rsidR="003836FF">
        <w:t>.</w:t>
      </w:r>
      <w:r w:rsidR="00514E8A">
        <w:rPr>
          <w:rStyle w:val="FootnoteReference"/>
        </w:rPr>
        <w:footnoteReference w:id="3"/>
      </w:r>
      <w:r w:rsidR="00841AA4">
        <w:t xml:space="preserve"> </w:t>
      </w:r>
      <w:r w:rsidR="00F40A20">
        <w:t xml:space="preserve">Rather than </w:t>
      </w:r>
      <w:r w:rsidR="00657F19">
        <w:t>a small board, p</w:t>
      </w:r>
      <w:r w:rsidR="003F7D16">
        <w:t xml:space="preserve">atent applications are </w:t>
      </w:r>
      <w:r w:rsidR="00A14450">
        <w:t>scrutinized</w:t>
      </w:r>
      <w:r w:rsidR="003F7D16">
        <w:t xml:space="preserve"> </w:t>
      </w:r>
      <w:r w:rsidR="00497308">
        <w:t>by examiners at the United States Patent and Trademark Office (“</w:t>
      </w:r>
      <w:r w:rsidR="00841AA4">
        <w:t>US</w:t>
      </w:r>
      <w:r w:rsidR="00497308">
        <w:t>PTO”)</w:t>
      </w:r>
      <w:r w:rsidR="00F40A20">
        <w:t xml:space="preserve"> </w:t>
      </w:r>
      <w:r w:rsidR="00A27743">
        <w:t xml:space="preserve">35 U.S.C. § 101 </w:t>
      </w:r>
      <w:r w:rsidR="00B746B7">
        <w:t>states that patents may be obtained for</w:t>
      </w:r>
      <w:r w:rsidR="007B5C08">
        <w:t xml:space="preserve"> “</w:t>
      </w:r>
      <w:r w:rsidR="007B5C08" w:rsidRPr="007B5C08">
        <w:t>any new and useful process, machine, manufacture, or composition of matter, or any new and useful improvement thereof</w:t>
      </w:r>
      <w:r w:rsidR="00015828">
        <w:t xml:space="preserve">”. </w:t>
      </w:r>
      <w:r w:rsidR="00225A66">
        <w:t xml:space="preserve">Despite </w:t>
      </w:r>
      <w:r w:rsidR="00D14C5A">
        <w:t>the inclusiveness of this</w:t>
      </w:r>
      <w:r w:rsidR="006E73EF">
        <w:t xml:space="preserve"> broad statement, </w:t>
      </w:r>
      <w:r w:rsidR="00D14C5A">
        <w:t>patentability and patent eligibility</w:t>
      </w:r>
      <w:r w:rsidR="00A92CF2">
        <w:t xml:space="preserve"> is limited by both statute and judicial rulings.</w:t>
      </w:r>
      <w:r w:rsidR="00A92CF2">
        <w:rPr>
          <w:rStyle w:val="FootnoteReference"/>
        </w:rPr>
        <w:footnoteReference w:id="4"/>
      </w:r>
      <w:r w:rsidR="00A92CF2">
        <w:t xml:space="preserve"> </w:t>
      </w:r>
      <w:r w:rsidR="0054099B">
        <w:t xml:space="preserve">Patentability </w:t>
      </w:r>
      <w:r w:rsidR="003F04C9">
        <w:t>describes the standards to receive a patent, requiring</w:t>
      </w:r>
      <w:r w:rsidR="0054099B">
        <w:t xml:space="preserve"> a discovery be novel, nonobvious, and the inventor must disclose their invention with detail.</w:t>
      </w:r>
      <w:r w:rsidR="0054099B">
        <w:rPr>
          <w:rStyle w:val="FootnoteReference"/>
        </w:rPr>
        <w:footnoteReference w:id="5"/>
      </w:r>
      <w:r w:rsidR="0054099B">
        <w:t xml:space="preserve"> </w:t>
      </w:r>
      <w:r w:rsidR="00A432A4">
        <w:t>Patent eligib</w:t>
      </w:r>
      <w:r w:rsidR="00302FAA">
        <w:t>ility</w:t>
      </w:r>
      <w:r w:rsidR="00523272">
        <w:t xml:space="preserve"> </w:t>
      </w:r>
      <w:r w:rsidR="003F04C9">
        <w:t>concerns</w:t>
      </w:r>
      <w:r w:rsidR="00523272">
        <w:t xml:space="preserve"> what subject matter </w:t>
      </w:r>
      <w:r w:rsidR="00A864CA">
        <w:t>warrants the incentives for invention and protections provided by patent law</w:t>
      </w:r>
      <w:r w:rsidR="0054099B">
        <w:t>.</w:t>
      </w:r>
      <w:r w:rsidR="00543F69">
        <w:rPr>
          <w:rStyle w:val="FootnoteReference"/>
        </w:rPr>
        <w:footnoteReference w:id="6"/>
      </w:r>
      <w:r w:rsidR="00302FAA">
        <w:t xml:space="preserve"> </w:t>
      </w:r>
      <w:r w:rsidR="00FF55EB">
        <w:t>These two stand</w:t>
      </w:r>
      <w:r w:rsidR="00C25E59">
        <w:t>ards are closely related and are often conflated by courts when patent validity is considered.</w:t>
      </w:r>
      <w:r w:rsidR="00C25E59">
        <w:rPr>
          <w:rStyle w:val="FootnoteReference"/>
        </w:rPr>
        <w:footnoteReference w:id="7"/>
      </w:r>
      <w:r w:rsidR="00C25E59">
        <w:t xml:space="preserve"> </w:t>
      </w:r>
      <w:r w:rsidR="00B04C28">
        <w:t xml:space="preserve">35 U.S.C. </w:t>
      </w:r>
      <w:r w:rsidR="004C078D">
        <w:t xml:space="preserve">§ 101 </w:t>
      </w:r>
      <w:r w:rsidR="00B04C28">
        <w:t>forms the basis of patent eligibility</w:t>
      </w:r>
      <w:r w:rsidR="004C078D">
        <w:t>,</w:t>
      </w:r>
      <w:r w:rsidR="004C078D">
        <w:rPr>
          <w:rStyle w:val="FootnoteReference"/>
        </w:rPr>
        <w:footnoteReference w:id="8"/>
      </w:r>
      <w:r w:rsidR="004C078D">
        <w:t xml:space="preserve"> and t</w:t>
      </w:r>
      <w:r w:rsidR="00D03938">
        <w:t xml:space="preserve">he judiciary holds that </w:t>
      </w:r>
      <w:r w:rsidR="004C078D">
        <w:t xml:space="preserve">it </w:t>
      </w:r>
      <w:r w:rsidR="00D03938">
        <w:t>contains</w:t>
      </w:r>
      <w:r w:rsidR="00653704">
        <w:t xml:space="preserve"> an implicit exception disallowing</w:t>
      </w:r>
      <w:r w:rsidR="007470BF">
        <w:t xml:space="preserve"> patents for l</w:t>
      </w:r>
      <w:r w:rsidR="00162B75">
        <w:t>aws of nature, natural phenomena, and abstract ideas.</w:t>
      </w:r>
      <w:r w:rsidR="00162B75">
        <w:rPr>
          <w:rStyle w:val="FootnoteReference"/>
        </w:rPr>
        <w:footnoteReference w:id="9"/>
      </w:r>
      <w:r w:rsidR="00791C94">
        <w:t xml:space="preserve"> </w:t>
      </w:r>
      <w:r w:rsidR="007470BF">
        <w:t xml:space="preserve">These three exceptions </w:t>
      </w:r>
      <w:r w:rsidR="009833EE">
        <w:t>prevent monopolies on foundational laws and concepts that many technologies may depend on</w:t>
      </w:r>
      <w:r w:rsidR="00281541">
        <w:t xml:space="preserve">, </w:t>
      </w:r>
      <w:r w:rsidR="00FB5B5C">
        <w:t>insuring that the limited monopoly provided for by law does not hinder innovation</w:t>
      </w:r>
      <w:r w:rsidR="00A81947">
        <w:t>.</w:t>
      </w:r>
      <w:r w:rsidR="00A81947">
        <w:rPr>
          <w:rStyle w:val="FootnoteReference"/>
        </w:rPr>
        <w:footnoteReference w:id="10"/>
      </w:r>
      <w:r w:rsidR="001360AE">
        <w:t xml:space="preserve"> </w:t>
      </w:r>
      <w:r w:rsidR="00FA791C">
        <w:t xml:space="preserve">However too broad an interpretation of these exceptions </w:t>
      </w:r>
      <w:r w:rsidR="008C5C63">
        <w:t xml:space="preserve">would also </w:t>
      </w:r>
      <w:r w:rsidR="00473EF6">
        <w:t>imped</w:t>
      </w:r>
      <w:r w:rsidR="008C5C63">
        <w:t>e the</w:t>
      </w:r>
      <w:r w:rsidR="00FA791C">
        <w:t xml:space="preserve"> </w:t>
      </w:r>
      <w:r w:rsidR="009C377C">
        <w:t>patenting of important discoveries, therefore</w:t>
      </w:r>
      <w:r w:rsidR="00F701C5">
        <w:t xml:space="preserve"> </w:t>
      </w:r>
      <w:r w:rsidR="007531E8">
        <w:t xml:space="preserve">an invention or discovery </w:t>
      </w:r>
      <w:r w:rsidR="00510902">
        <w:t>can</w:t>
      </w:r>
      <w:r w:rsidR="007531E8">
        <w:t xml:space="preserve">not </w:t>
      </w:r>
      <w:r w:rsidR="00510902">
        <w:t xml:space="preserve">be </w:t>
      </w:r>
      <w:r w:rsidR="007531E8">
        <w:t xml:space="preserve">unpatentable </w:t>
      </w:r>
      <w:r w:rsidR="005611DD">
        <w:t xml:space="preserve">merely </w:t>
      </w:r>
      <w:r w:rsidR="007531E8">
        <w:t xml:space="preserve">because it </w:t>
      </w:r>
      <w:r w:rsidR="00876AF9">
        <w:t xml:space="preserve">contains natural phenomena or </w:t>
      </w:r>
      <w:r w:rsidR="00CE6365">
        <w:t>algorithm.</w:t>
      </w:r>
      <w:r w:rsidR="00CE6365">
        <w:rPr>
          <w:rStyle w:val="FootnoteReference"/>
        </w:rPr>
        <w:footnoteReference w:id="11"/>
      </w:r>
      <w:r w:rsidR="00A17CAD">
        <w:t xml:space="preserve"> </w:t>
      </w:r>
    </w:p>
    <w:p w14:paraId="136AA0EB" w14:textId="6B48479E" w:rsidR="00C837DD" w:rsidRDefault="003B4234" w:rsidP="00686E49">
      <w:r>
        <w:tab/>
      </w:r>
      <w:r w:rsidR="00510902">
        <w:t xml:space="preserve">Heading: Patent Eligibility </w:t>
      </w:r>
      <w:r w:rsidR="00C837DD">
        <w:t>[WHAT IS A LAW OF NATURE / NATURAL PHENOMENON</w:t>
      </w:r>
      <w:r w:rsidR="00C17D4D">
        <w:t xml:space="preserve"> / ABSTRACT IDEA</w:t>
      </w:r>
      <w:r w:rsidR="00C837DD">
        <w:t>]</w:t>
      </w:r>
    </w:p>
    <w:p w14:paraId="670A76B8" w14:textId="3BC1E974" w:rsidR="00BB59C6" w:rsidRDefault="008B6215" w:rsidP="00BB59C6">
      <w:pPr>
        <w:ind w:firstLine="720"/>
      </w:pPr>
      <w:r>
        <w:lastRenderedPageBreak/>
        <w:t xml:space="preserve">These </w:t>
      </w:r>
      <w:r w:rsidR="009C560A">
        <w:t xml:space="preserve">three exceptions </w:t>
      </w:r>
      <w:r w:rsidR="007328A4">
        <w:t>not always clearly defined or distinct from one another</w:t>
      </w:r>
      <w:r w:rsidR="00713A69">
        <w:t>. Laws of nature and natural phenomena are not markedly different</w:t>
      </w:r>
      <w:r w:rsidR="00FD2CB6">
        <w:t xml:space="preserve"> from each other</w:t>
      </w:r>
      <w:r w:rsidR="00FA1AC5">
        <w:t>, and include</w:t>
      </w:r>
      <w:r w:rsidR="00E145D5">
        <w:t xml:space="preserve"> </w:t>
      </w:r>
      <w:r w:rsidR="003C2C70">
        <w:t>discoveries about the wo</w:t>
      </w:r>
      <w:r w:rsidR="00F3286C">
        <w:t>rld</w:t>
      </w:r>
      <w:r w:rsidR="007155DC">
        <w:t>, thus</w:t>
      </w:r>
      <w:r w:rsidR="00F3286C">
        <w:t xml:space="preserve"> </w:t>
      </w:r>
      <w:r w:rsidR="007155DC">
        <w:t>the discovery of n</w:t>
      </w:r>
      <w:r w:rsidR="00F3286C">
        <w:t xml:space="preserve">ew plants, minerals, </w:t>
      </w:r>
      <w:r w:rsidR="007B694F">
        <w:t xml:space="preserve">or even </w:t>
      </w:r>
      <w:r w:rsidR="00F3286C">
        <w:t xml:space="preserve">Newton’s laws of motion, </w:t>
      </w:r>
      <w:proofErr w:type="spellStart"/>
      <w:r w:rsidR="00D84083">
        <w:t>can</w:t>
      </w:r>
      <w:r w:rsidR="001804AF">
        <w:t xml:space="preserve"> not</w:t>
      </w:r>
      <w:proofErr w:type="spellEnd"/>
      <w:r w:rsidR="001804AF">
        <w:t xml:space="preserve"> be patented.</w:t>
      </w:r>
      <w:r w:rsidR="00D2540C">
        <w:rPr>
          <w:rStyle w:val="FootnoteReference"/>
        </w:rPr>
        <w:footnoteReference w:id="12"/>
      </w:r>
      <w:r w:rsidR="0052477F">
        <w:t xml:space="preserve"> </w:t>
      </w:r>
      <w:r w:rsidR="00F77903">
        <w:t xml:space="preserve">The exceptions extend to even newly discovered uses of </w:t>
      </w:r>
      <w:r w:rsidR="00D73A64">
        <w:t>naturally occurring phenomenon</w:t>
      </w:r>
      <w:r w:rsidR="007B3E6D">
        <w:t>.</w:t>
      </w:r>
      <w:r w:rsidR="007B3E6D">
        <w:rPr>
          <w:rStyle w:val="FootnoteReference"/>
        </w:rPr>
        <w:footnoteReference w:id="13"/>
      </w:r>
      <w:r w:rsidR="00D73A64">
        <w:t xml:space="preserve"> </w:t>
      </w:r>
      <w:r w:rsidR="003877B6">
        <w:t xml:space="preserve">In </w:t>
      </w:r>
      <w:r w:rsidR="003877B6">
        <w:rPr>
          <w:i/>
        </w:rPr>
        <w:t xml:space="preserve">Funk Brothers Seed Co. v. </w:t>
      </w:r>
      <w:proofErr w:type="spellStart"/>
      <w:r w:rsidR="003877B6">
        <w:rPr>
          <w:i/>
        </w:rPr>
        <w:t>Kalo</w:t>
      </w:r>
      <w:proofErr w:type="spellEnd"/>
      <w:r w:rsidR="003877B6">
        <w:rPr>
          <w:i/>
        </w:rPr>
        <w:t xml:space="preserve"> Inoculant Co.</w:t>
      </w:r>
      <w:r w:rsidR="00692CA8">
        <w:rPr>
          <w:sz w:val="22"/>
        </w:rPr>
        <w:t xml:space="preserve"> [finish citation]</w:t>
      </w:r>
      <w:r w:rsidR="00A52F44">
        <w:rPr>
          <w:sz w:val="22"/>
        </w:rPr>
        <w:t xml:space="preserve">, </w:t>
      </w:r>
      <w:r w:rsidR="00686150">
        <w:rPr>
          <w:sz w:val="22"/>
        </w:rPr>
        <w:t xml:space="preserve">the disputed discovery was </w:t>
      </w:r>
      <w:r w:rsidR="00191AAC">
        <w:rPr>
          <w:sz w:val="22"/>
        </w:rPr>
        <w:t>a mixture of bacteria for inoculating the seeds of several different types of plants</w:t>
      </w:r>
      <w:r w:rsidR="001A4487">
        <w:rPr>
          <w:sz w:val="22"/>
        </w:rPr>
        <w:t xml:space="preserve"> at once</w:t>
      </w:r>
      <w:r w:rsidR="00CD5BC9">
        <w:rPr>
          <w:sz w:val="22"/>
        </w:rPr>
        <w:t>, rather than separately</w:t>
      </w:r>
      <w:r w:rsidR="00713C65">
        <w:t>.</w:t>
      </w:r>
      <w:r w:rsidR="004F2C41">
        <w:rPr>
          <w:rStyle w:val="FootnoteReference"/>
        </w:rPr>
        <w:footnoteReference w:id="14"/>
      </w:r>
      <w:r w:rsidR="003C07EF">
        <w:t xml:space="preserve"> It was ruled to be not eligible for patent and therefor</w:t>
      </w:r>
      <w:r w:rsidR="00BB59C6">
        <w:t>e</w:t>
      </w:r>
      <w:r w:rsidR="003C07EF">
        <w:t xml:space="preserve"> no infringement because the bacteria had not been altered</w:t>
      </w:r>
      <w:r w:rsidR="00BB59C6">
        <w:t>; it</w:t>
      </w:r>
      <w:r w:rsidR="003C07EF">
        <w:t xml:space="preserve"> was a natural pheno</w:t>
      </w:r>
      <w:r w:rsidR="003F7C4C">
        <w:t>menon.</w:t>
      </w:r>
      <w:r w:rsidR="003F7C4C">
        <w:rPr>
          <w:rStyle w:val="FootnoteReference"/>
        </w:rPr>
        <w:footnoteReference w:id="15"/>
      </w:r>
      <w:r w:rsidR="00713C65">
        <w:t xml:space="preserve"> </w:t>
      </w:r>
      <w:r w:rsidR="003F7C4C">
        <w:t xml:space="preserve">Conversely, in </w:t>
      </w:r>
      <w:r w:rsidR="00245CB1">
        <w:rPr>
          <w:i/>
        </w:rPr>
        <w:t>Diamond v. Chakrabarty</w:t>
      </w:r>
      <w:r w:rsidR="00245CB1">
        <w:t xml:space="preserve">, a </w:t>
      </w:r>
      <w:r w:rsidR="00930A74">
        <w:t>new species of bacteria was created that digested oil</w:t>
      </w:r>
      <w:r w:rsidR="000A2E03">
        <w:t xml:space="preserve"> was upheld to be patentable because it was not naturally occurring</w:t>
      </w:r>
      <w:r w:rsidR="00FD04BF">
        <w:t xml:space="preserve"> and it was unpatentable simply because it was a living organism</w:t>
      </w:r>
      <w:r w:rsidR="000A2E03">
        <w:t>.</w:t>
      </w:r>
      <w:r w:rsidR="000A2E03">
        <w:rPr>
          <w:rStyle w:val="FootnoteReference"/>
        </w:rPr>
        <w:footnoteReference w:id="16"/>
      </w:r>
      <w:r w:rsidR="006F58B5">
        <w:rPr>
          <w:i/>
        </w:rPr>
        <w:t xml:space="preserve"> </w:t>
      </w:r>
      <w:r w:rsidR="003766C1">
        <w:t xml:space="preserve">The lines are not so clearly drawn regarding abstract ideas. </w:t>
      </w:r>
    </w:p>
    <w:p w14:paraId="1AF98C2B" w14:textId="3F57E25F" w:rsidR="00785157" w:rsidRPr="00F1612A" w:rsidRDefault="00785157" w:rsidP="00F13485">
      <w:r>
        <w:tab/>
      </w:r>
      <w:r w:rsidR="00C02FBB">
        <w:t xml:space="preserve">The Supreme Court has not defined “abstract idea” nor is there a test for </w:t>
      </w:r>
      <w:r w:rsidR="009963E0">
        <w:t>discerning its meaning.</w:t>
      </w:r>
      <w:r w:rsidR="009963E0">
        <w:rPr>
          <w:rStyle w:val="FootnoteReference"/>
        </w:rPr>
        <w:footnoteReference w:id="17"/>
      </w:r>
      <w:r w:rsidR="009963E0">
        <w:t xml:space="preserve"> </w:t>
      </w:r>
      <w:r w:rsidR="00112247">
        <w:t>Each patent must be considered on a case by case basis.</w:t>
      </w:r>
      <w:r w:rsidR="00112247">
        <w:rPr>
          <w:rStyle w:val="FootnoteReference"/>
        </w:rPr>
        <w:footnoteReference w:id="18"/>
      </w:r>
      <w:r w:rsidR="0083471A">
        <w:t xml:space="preserve"> </w:t>
      </w:r>
      <w:r w:rsidR="0083471A" w:rsidRPr="0064307B">
        <w:rPr>
          <w:highlight w:val="yellow"/>
        </w:rPr>
        <w:t xml:space="preserve">[Discuss </w:t>
      </w:r>
      <w:proofErr w:type="spellStart"/>
      <w:r w:rsidR="0083471A" w:rsidRPr="0064307B">
        <w:rPr>
          <w:highlight w:val="yellow"/>
        </w:rPr>
        <w:t>Gottshalk</w:t>
      </w:r>
      <w:proofErr w:type="spellEnd"/>
      <w:r w:rsidR="0083471A" w:rsidRPr="0064307B">
        <w:rPr>
          <w:highlight w:val="yellow"/>
        </w:rPr>
        <w:t>].</w:t>
      </w:r>
      <w:r w:rsidR="0083471A">
        <w:t xml:space="preserve"> </w:t>
      </w:r>
      <w:r w:rsidR="007040C2">
        <w:t xml:space="preserve">Algorithms and mathematical </w:t>
      </w:r>
      <w:r w:rsidR="000B4F42">
        <w:t>formulas</w:t>
      </w:r>
      <w:r w:rsidR="007040C2">
        <w:t xml:space="preserve"> considered abstract ideas (and can also </w:t>
      </w:r>
      <w:r w:rsidR="00340E88">
        <w:t xml:space="preserve">be grouped with laws of nature or natural phenomena depending on </w:t>
      </w:r>
      <w:r w:rsidR="00AB7BFF">
        <w:t>the nature of the algorithm).</w:t>
      </w:r>
      <w:r w:rsidR="00AB7BFF">
        <w:rPr>
          <w:rStyle w:val="FootnoteReference"/>
        </w:rPr>
        <w:footnoteReference w:id="19"/>
      </w:r>
      <w:r w:rsidR="000B4F42">
        <w:t xml:space="preserve"> However, it is not impossible to receive patents that concern </w:t>
      </w:r>
      <w:r w:rsidR="00B44F75">
        <w:t>mathematical formulas.</w:t>
      </w:r>
      <w:r w:rsidR="00B44F75">
        <w:rPr>
          <w:rStyle w:val="FootnoteReference"/>
        </w:rPr>
        <w:footnoteReference w:id="20"/>
      </w:r>
      <w:r w:rsidR="00B44F75">
        <w:t xml:space="preserve"> </w:t>
      </w:r>
      <w:r w:rsidR="0083471A" w:rsidRPr="0064307B">
        <w:rPr>
          <w:highlight w:val="yellow"/>
        </w:rPr>
        <w:t xml:space="preserve">[Discuss </w:t>
      </w:r>
      <w:proofErr w:type="spellStart"/>
      <w:r w:rsidR="0083471A" w:rsidRPr="0064307B">
        <w:rPr>
          <w:highlight w:val="yellow"/>
        </w:rPr>
        <w:t>Diehr</w:t>
      </w:r>
      <w:proofErr w:type="spellEnd"/>
      <w:r w:rsidR="0083471A" w:rsidRPr="0064307B">
        <w:rPr>
          <w:highlight w:val="yellow"/>
        </w:rPr>
        <w:t>].</w:t>
      </w:r>
      <w:r w:rsidR="0083471A">
        <w:t xml:space="preserve"> </w:t>
      </w:r>
      <w:r w:rsidR="00F1612A">
        <w:t xml:space="preserve">What makes </w:t>
      </w:r>
      <w:proofErr w:type="spellStart"/>
      <w:r w:rsidR="00F1612A">
        <w:rPr>
          <w:i/>
        </w:rPr>
        <w:t>Diehr</w:t>
      </w:r>
      <w:proofErr w:type="spellEnd"/>
      <w:r w:rsidR="00F1612A">
        <w:rPr>
          <w:i/>
        </w:rPr>
        <w:t xml:space="preserve"> </w:t>
      </w:r>
      <w:r w:rsidR="00F1612A">
        <w:t>different?</w:t>
      </w:r>
      <w:r w:rsidR="00C73145">
        <w:t xml:space="preserve"> A law nature or </w:t>
      </w:r>
      <w:r w:rsidR="00EB1C5F">
        <w:t>formula is must do more than tell users to “apply it” to become patentable.</w:t>
      </w:r>
      <w:r w:rsidR="00EB1C5F">
        <w:rPr>
          <w:rStyle w:val="FootnoteReference"/>
        </w:rPr>
        <w:footnoteReference w:id="21"/>
      </w:r>
      <w:r w:rsidR="00EB1C5F">
        <w:t xml:space="preserve"> </w:t>
      </w:r>
    </w:p>
    <w:p w14:paraId="1459C67C" w14:textId="2624C4AF" w:rsidR="006E37CF" w:rsidRDefault="00937682" w:rsidP="00947401">
      <w:r>
        <w:tab/>
      </w:r>
      <w:r w:rsidR="006E37CF">
        <w:t>Heading – Software Patents &amp; Abstract ideas</w:t>
      </w:r>
    </w:p>
    <w:p w14:paraId="5EF52FCC" w14:textId="3B281BBB" w:rsidR="00386A3F" w:rsidRDefault="00F97A80" w:rsidP="00661F75">
      <w:pPr>
        <w:ind w:firstLine="720"/>
      </w:pPr>
      <w:r>
        <w:t>These exceptions</w:t>
      </w:r>
      <w:r w:rsidR="003A3E41">
        <w:t xml:space="preserve"> cause difficulty</w:t>
      </w:r>
      <w:r w:rsidR="00A6263B">
        <w:t xml:space="preserve"> </w:t>
      </w:r>
      <w:r w:rsidR="008D747E">
        <w:t xml:space="preserve">in several </w:t>
      </w:r>
      <w:r w:rsidR="00A6263B">
        <w:t>areas</w:t>
      </w:r>
      <w:r w:rsidR="00F20C04">
        <w:t xml:space="preserve">: </w:t>
      </w:r>
      <w:r w:rsidR="00A6263B">
        <w:t>business</w:t>
      </w:r>
      <w:r w:rsidR="00F20C04">
        <w:t xml:space="preserve"> methods</w:t>
      </w:r>
      <w:r w:rsidR="00A6263B">
        <w:t xml:space="preserve">, </w:t>
      </w:r>
      <w:r w:rsidR="00A424E3">
        <w:t>bio-technology</w:t>
      </w:r>
      <w:r w:rsidR="00A6263B">
        <w:t>, methods of medical treatment</w:t>
      </w:r>
      <w:r w:rsidR="00A424E3">
        <w:t>, and software</w:t>
      </w:r>
      <w:r>
        <w:t>.</w:t>
      </w:r>
      <w:r w:rsidR="00A424E3">
        <w:rPr>
          <w:rStyle w:val="FootnoteReference"/>
        </w:rPr>
        <w:footnoteReference w:id="22"/>
      </w:r>
      <w:r>
        <w:t xml:space="preserve"> </w:t>
      </w:r>
      <w:r w:rsidR="00F20C04">
        <w:t>S</w:t>
      </w:r>
      <w:r w:rsidR="00603275">
        <w:t>oftware</w:t>
      </w:r>
      <w:r w:rsidR="003B1A58">
        <w:t xml:space="preserve"> is not easily sorted into the statutory categories of 35 U.S.C. § 101: it is</w:t>
      </w:r>
      <w:r w:rsidR="00603275">
        <w:t xml:space="preserve"> not a </w:t>
      </w:r>
      <w:r w:rsidR="00DF0887">
        <w:t>“machine</w:t>
      </w:r>
      <w:r w:rsidR="00AE489E">
        <w:t>,</w:t>
      </w:r>
      <w:r w:rsidR="00DF0887">
        <w:t xml:space="preserve"> manufacture, or composition </w:t>
      </w:r>
      <w:r w:rsidR="00AE489E">
        <w:t>of matter”</w:t>
      </w:r>
      <w:r w:rsidR="00AE489E">
        <w:rPr>
          <w:rStyle w:val="FootnoteReference"/>
        </w:rPr>
        <w:footnoteReference w:id="23"/>
      </w:r>
      <w:r w:rsidR="004A53D9">
        <w:t xml:space="preserve">, which leaves </w:t>
      </w:r>
      <w:r w:rsidR="00D56B8F">
        <w:t>“</w:t>
      </w:r>
      <w:r w:rsidR="004A53D9">
        <w:t>process</w:t>
      </w:r>
      <w:r w:rsidR="00D56B8F">
        <w:t>”</w:t>
      </w:r>
      <w:r w:rsidR="004A53D9">
        <w:t xml:space="preserve">. The first three categories are physical and </w:t>
      </w:r>
      <w:r w:rsidR="000D2B87">
        <w:t>easily</w:t>
      </w:r>
      <w:r w:rsidR="00660B5C">
        <w:t xml:space="preserve"> patentable providing </w:t>
      </w:r>
      <w:r w:rsidR="002F5050">
        <w:lastRenderedPageBreak/>
        <w:t>the invention meets requirements for patentability.</w:t>
      </w:r>
      <w:r w:rsidR="006C7F34">
        <w:rPr>
          <w:rStyle w:val="FootnoteReference"/>
        </w:rPr>
        <w:footnoteReference w:id="24"/>
      </w:r>
      <w:r w:rsidR="000D2B87">
        <w:t xml:space="preserve"> </w:t>
      </w:r>
      <w:r w:rsidR="00F8340D">
        <w:t xml:space="preserve">Whereas processes are </w:t>
      </w:r>
      <w:r w:rsidR="000D2B87">
        <w:t xml:space="preserve">not as </w:t>
      </w:r>
      <w:r w:rsidR="00213224">
        <w:t>tangible and</w:t>
      </w:r>
      <w:r w:rsidR="000D2B87">
        <w:t xml:space="preserve"> </w:t>
      </w:r>
      <w:r w:rsidR="00213224">
        <w:t>therefore are</w:t>
      </w:r>
      <w:r w:rsidR="000D2B87">
        <w:t xml:space="preserve"> </w:t>
      </w:r>
      <w:r w:rsidR="00BE1A3F">
        <w:t>more difficult to patent</w:t>
      </w:r>
      <w:r w:rsidR="00CB60D7">
        <w:t>.</w:t>
      </w:r>
      <w:r w:rsidR="00CB60D7">
        <w:rPr>
          <w:rStyle w:val="FootnoteReference"/>
        </w:rPr>
        <w:footnoteReference w:id="25"/>
      </w:r>
      <w:r w:rsidR="0073414A">
        <w:t xml:space="preserve"> </w:t>
      </w:r>
      <w:r w:rsidR="009D4639">
        <w:t xml:space="preserve">Software </w:t>
      </w:r>
      <w:r w:rsidR="0001184D">
        <w:t xml:space="preserve">as a member of the process category of patents, is similarly difficult to patent for several reasons: </w:t>
      </w:r>
      <w:r w:rsidR="008E650B">
        <w:t>1) it is intangible; 2)</w:t>
      </w:r>
      <w:r w:rsidR="002C6953">
        <w:t xml:space="preserve"> software frequently is made up of algorithms</w:t>
      </w:r>
      <w:r w:rsidR="007B7789">
        <w:t xml:space="preserve">; </w:t>
      </w:r>
      <w:r w:rsidR="00D14959">
        <w:t xml:space="preserve">and 3) </w:t>
      </w:r>
      <w:r w:rsidR="002C6953">
        <w:t xml:space="preserve">it </w:t>
      </w:r>
      <w:r w:rsidR="00FC20AE">
        <w:t>can be seen as a mere representation of an abstract idea</w:t>
      </w:r>
      <w:r w:rsidR="00D14959">
        <w:t>.</w:t>
      </w:r>
      <w:r w:rsidR="00FC20AE">
        <w:rPr>
          <w:rStyle w:val="FootnoteReference"/>
        </w:rPr>
        <w:footnoteReference w:id="26"/>
      </w:r>
      <w:r w:rsidR="00164E50">
        <w:t xml:space="preserve"> </w:t>
      </w:r>
      <w:r w:rsidR="008C2392" w:rsidRPr="008C2392">
        <w:rPr>
          <w:color w:val="FF0000"/>
        </w:rPr>
        <w:t>[</w:t>
      </w:r>
      <w:r w:rsidR="008C2392" w:rsidRPr="008C2392">
        <w:rPr>
          <w:color w:val="FF0000"/>
        </w:rPr>
        <w:t>Many observers, including a past director of the PTO and another former chief judge of the Federal Circuit, have asserted that the eligibility requirement is threatening innovation by curbing the availability of patents.</w:t>
      </w:r>
      <w:r w:rsidR="008C2392" w:rsidRPr="008C2392">
        <w:rPr>
          <w:color w:val="FF0000"/>
        </w:rPr>
        <w:t>]</w:t>
      </w:r>
      <w:r w:rsidR="008C2392">
        <w:rPr>
          <w:rStyle w:val="FootnoteReference"/>
          <w:color w:val="FF0000"/>
        </w:rPr>
        <w:footnoteReference w:id="27"/>
      </w:r>
      <w:r w:rsidR="008C2392">
        <w:rPr>
          <w:color w:val="FF0000"/>
        </w:rPr>
        <w:t xml:space="preserve"> </w:t>
      </w:r>
      <w:r w:rsidR="00164E50">
        <w:t xml:space="preserve">These </w:t>
      </w:r>
      <w:r w:rsidR="008C2392">
        <w:t>inherent</w:t>
      </w:r>
      <w:r w:rsidR="00164E50">
        <w:t xml:space="preserve"> difficulties require </w:t>
      </w:r>
      <w:r w:rsidR="00F66592">
        <w:t xml:space="preserve">inventors to claim their inventions in specific ways. </w:t>
      </w:r>
      <w:r w:rsidR="005E3800">
        <w:t xml:space="preserve">Early </w:t>
      </w:r>
      <w:r w:rsidR="00C106F1">
        <w:t>decisions relating to software patents seemed to require physical effects to make the software appear mechanical</w:t>
      </w:r>
      <w:r w:rsidR="00636D7D">
        <w:rPr>
          <w:rStyle w:val="FootnoteReference"/>
        </w:rPr>
        <w:footnoteReference w:id="28"/>
      </w:r>
      <w:r w:rsidR="00C106F1">
        <w:t xml:space="preserve">, and more easily fit into the </w:t>
      </w:r>
      <w:r w:rsidR="00636D7D">
        <w:t xml:space="preserve">other </w:t>
      </w:r>
      <w:proofErr w:type="gramStart"/>
      <w:r w:rsidR="00636D7D">
        <w:t>categories.</w:t>
      </w:r>
      <w:r w:rsidR="00884940" w:rsidRPr="00661F75">
        <w:rPr>
          <w:color w:val="FF0000"/>
        </w:rPr>
        <w:t>[</w:t>
      </w:r>
      <w:proofErr w:type="gramEnd"/>
      <w:r w:rsidR="00884940" w:rsidRPr="00661F75">
        <w:rPr>
          <w:color w:val="FF0000"/>
        </w:rPr>
        <w:t xml:space="preserve">discuss directed to, </w:t>
      </w:r>
      <w:r w:rsidR="00357835" w:rsidRPr="00661F75">
        <w:rPr>
          <w:color w:val="FF0000"/>
        </w:rPr>
        <w:t xml:space="preserve">diamond v. </w:t>
      </w:r>
      <w:proofErr w:type="spellStart"/>
      <w:r w:rsidR="00357835" w:rsidRPr="00661F75">
        <w:rPr>
          <w:color w:val="FF0000"/>
        </w:rPr>
        <w:t>diehr</w:t>
      </w:r>
      <w:proofErr w:type="spellEnd"/>
      <w:r w:rsidR="00357835" w:rsidRPr="00661F75">
        <w:rPr>
          <w:color w:val="FF0000"/>
        </w:rPr>
        <w:t xml:space="preserve">; </w:t>
      </w:r>
      <w:r w:rsidR="00CC70E9" w:rsidRPr="00661F75">
        <w:rPr>
          <w:color w:val="FF0000"/>
        </w:rPr>
        <w:t xml:space="preserve">Gottschalk v. </w:t>
      </w:r>
      <w:proofErr w:type="spellStart"/>
      <w:r w:rsidR="00CC70E9" w:rsidRPr="00661F75">
        <w:rPr>
          <w:color w:val="FF0000"/>
        </w:rPr>
        <w:t>benson</w:t>
      </w:r>
      <w:proofErr w:type="spellEnd"/>
      <w:r w:rsidR="00661F75" w:rsidRPr="00661F75">
        <w:rPr>
          <w:color w:val="FF0000"/>
        </w:rPr>
        <w:t xml:space="preserve"> </w:t>
      </w:r>
      <w:r w:rsidR="00661F75" w:rsidRPr="00661F75">
        <w:rPr>
          <w:color w:val="FF0000"/>
        </w:rPr>
        <w:t xml:space="preserve">In Diamond v. </w:t>
      </w:r>
      <w:proofErr w:type="spellStart"/>
      <w:r w:rsidR="00661F75" w:rsidRPr="00661F75">
        <w:rPr>
          <w:color w:val="FF0000"/>
        </w:rPr>
        <w:t>Diehr</w:t>
      </w:r>
      <w:proofErr w:type="spellEnd"/>
      <w:r w:rsidR="00661F75" w:rsidRPr="00661F75">
        <w:rPr>
          <w:color w:val="FF0000"/>
        </w:rPr>
        <w:t>, the USPTO argued that a claimed process for curing rubber was non-statutory because it included steps carried out by a computer. The Supreme Court disagreed,</w:t>
      </w:r>
      <w:r w:rsidR="00661F75" w:rsidRPr="00661F75">
        <w:rPr>
          <w:color w:val="FF0000"/>
        </w:rPr>
        <w:t xml:space="preserve"> </w:t>
      </w:r>
      <w:r w:rsidR="00661F75" w:rsidRPr="00661F75">
        <w:rPr>
          <w:color w:val="FF0000"/>
        </w:rPr>
        <w:t>Kathleen Chapman, Esq. &amp; Stephen Ball, Esq., Challenges with Patenting Software, Vt. B.J., Winter 2007/2008, at 36</w:t>
      </w:r>
      <w:r w:rsidR="00884940" w:rsidRPr="00661F75">
        <w:rPr>
          <w:color w:val="FF0000"/>
        </w:rPr>
        <w:t>]</w:t>
      </w:r>
    </w:p>
    <w:p w14:paraId="5B6EA719" w14:textId="46092DA2" w:rsidR="00603275" w:rsidRDefault="0073414A" w:rsidP="006E37CF">
      <w:pPr>
        <w:ind w:firstLine="720"/>
      </w:pPr>
      <w:r>
        <w:t>The traditional way to claim software is</w:t>
      </w:r>
      <w:r w:rsidR="00EC7338">
        <w:t xml:space="preserve"> </w:t>
      </w:r>
      <w:r w:rsidR="00EC7338" w:rsidRPr="00EC7338">
        <w:t>Beauregard</w:t>
      </w:r>
      <w:r w:rsidR="00EC7338">
        <w:t xml:space="preserve"> claim.</w:t>
      </w:r>
      <w:r w:rsidR="00EC7338">
        <w:rPr>
          <w:rStyle w:val="FootnoteReference"/>
        </w:rPr>
        <w:footnoteReference w:id="29"/>
      </w:r>
      <w:r w:rsidR="002B5D3E">
        <w:t xml:space="preserve"> These claims </w:t>
      </w:r>
      <w:r w:rsidR="005E201C">
        <w:t xml:space="preserve">began in response to </w:t>
      </w:r>
      <w:r w:rsidR="005E201C">
        <w:rPr>
          <w:i/>
        </w:rPr>
        <w:t>In re Beauregard</w:t>
      </w:r>
      <w:r w:rsidR="005E201C">
        <w:t xml:space="preserve">, which </w:t>
      </w:r>
      <w:r w:rsidR="008452BB">
        <w:t>quoted the Commissioner of Patents and Trademarks who stated</w:t>
      </w:r>
      <w:r w:rsidR="005E201C">
        <w:t xml:space="preserve"> that software embodied in a tangible medium was patentable.</w:t>
      </w:r>
      <w:r w:rsidR="005E201C">
        <w:rPr>
          <w:rStyle w:val="FootnoteReference"/>
        </w:rPr>
        <w:footnoteReference w:id="30"/>
      </w:r>
      <w:r w:rsidR="005E201C">
        <w:t xml:space="preserve"> Thus claims often contain a variation on the following, “A computer readable medium containing program instructions…”</w:t>
      </w:r>
      <w:r w:rsidR="005E201C">
        <w:rPr>
          <w:rStyle w:val="FootnoteReference"/>
        </w:rPr>
        <w:footnoteReference w:id="31"/>
      </w:r>
      <w:r w:rsidR="005E201C">
        <w:t xml:space="preserve"> in an effort to connect the abstract nature of software with something tangible and real. </w:t>
      </w:r>
    </w:p>
    <w:p w14:paraId="69287A5D" w14:textId="34C4C79F" w:rsidR="008C2392" w:rsidRDefault="008C2392" w:rsidP="006E37CF">
      <w:pPr>
        <w:ind w:firstLine="720"/>
      </w:pPr>
      <w:r>
        <w:t>[explain directed to]</w:t>
      </w:r>
    </w:p>
    <w:p w14:paraId="17CB6767" w14:textId="3F0DB4DD" w:rsidR="008C2392" w:rsidRPr="005E201C" w:rsidRDefault="008C2392" w:rsidP="006E37CF">
      <w:pPr>
        <w:ind w:firstLine="720"/>
      </w:pPr>
      <w:commentRangeStart w:id="0"/>
      <w:r>
        <w:t xml:space="preserve">[mayo &amp; </w:t>
      </w:r>
      <w:proofErr w:type="spellStart"/>
      <w:r>
        <w:t>alice</w:t>
      </w:r>
      <w:proofErr w:type="spellEnd"/>
      <w:r>
        <w:t xml:space="preserve">] </w:t>
      </w:r>
      <w:commentRangeEnd w:id="0"/>
      <w:r>
        <w:rPr>
          <w:rStyle w:val="CommentReference"/>
        </w:rPr>
        <w:commentReference w:id="0"/>
      </w:r>
    </w:p>
    <w:sectPr w:rsidR="008C2392" w:rsidRPr="005E20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11-17T21:39:00Z" w:initials="sg">
    <w:p w14:paraId="3E8D7A58" w14:textId="1A9CA8CC" w:rsidR="004C419E" w:rsidRDefault="008C2392" w:rsidP="004C419E">
      <w:pPr>
        <w:pStyle w:val="CommentText"/>
      </w:pPr>
      <w:r>
        <w:rPr>
          <w:rStyle w:val="CommentReference"/>
        </w:rPr>
        <w:annotationRef/>
      </w:r>
      <w:r w:rsidR="004C419E">
        <w:t>S</w:t>
      </w:r>
      <w:bookmarkStart w:id="1" w:name="_GoBack"/>
      <w:bookmarkEnd w:id="1"/>
      <w:r w:rsidR="004C419E">
        <w:t xml:space="preserve">oftware Patents and Pretrial Dismissal Based on Ineligibility </w:t>
      </w:r>
      <w:proofErr w:type="gramStart"/>
      <w:r w:rsidR="004C419E">
        <w:t>( a</w:t>
      </w:r>
      <w:proofErr w:type="gramEnd"/>
      <w:r w:rsidR="004C419E">
        <w:t xml:space="preserve"> great history of the software 101 journey)</w:t>
      </w:r>
    </w:p>
    <w:p w14:paraId="549B689F" w14:textId="77777777" w:rsidR="004C419E" w:rsidRDefault="004C419E" w:rsidP="004C419E">
      <w:pPr>
        <w:pStyle w:val="CommentText"/>
      </w:pPr>
      <w:r>
        <w:tab/>
      </w:r>
      <w:r>
        <w:tab/>
        <w:t>○ The Alice decision shook the landscape for subject matter eligibility. In the immediate aftermath, 830 patent applications were withdrawn from the USPTO between July 1 and August 15, 2014.88 In a little over one year after Alice, the Federal Circuit had relied on the two step test to determine subject matter eligibility in ten cases regarding computer implemented inventions.89 Of those, only one was found to recite eligible subject matter.90 It quickly became clear that Alice would affect software patents in a great way, but confusion as to its application would make things difficult. (FN 88)</w:t>
      </w:r>
    </w:p>
    <w:p w14:paraId="69096FC1" w14:textId="77777777" w:rsidR="004C419E" w:rsidRDefault="004C419E" w:rsidP="004C419E">
      <w:pPr>
        <w:pStyle w:val="CommentText"/>
      </w:pPr>
      <w:r>
        <w:tab/>
      </w:r>
      <w:r>
        <w:tab/>
        <w:t xml:space="preserve">○ Software patent is not a term of art </w:t>
      </w:r>
    </w:p>
    <w:p w14:paraId="2A1130B5" w14:textId="77777777" w:rsidR="004C419E" w:rsidRDefault="004C419E" w:rsidP="004C419E">
      <w:pPr>
        <w:pStyle w:val="CommentText"/>
      </w:pPr>
      <w:r>
        <w:tab/>
      </w:r>
      <w:r>
        <w:tab/>
        <w:t>○ *41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70865150" w14:textId="77777777" w:rsidR="004C419E" w:rsidRDefault="004C419E" w:rsidP="004C419E">
      <w:pPr>
        <w:pStyle w:val="CommentText"/>
      </w:pPr>
      <w:r>
        <w:tab/>
      </w:r>
      <w:r>
        <w:tab/>
        <w:t xml:space="preserve">○ Clarifying the § 101 landscape has not been an easy task. Instead of establishing a firm definition of what constitutes an “abstract idea,” the Federal Circuit has decided cases on a claim-by-claim basis.284 </w:t>
      </w:r>
    </w:p>
    <w:p w14:paraId="7BD71711" w14:textId="6BEA67CA" w:rsidR="008C2392" w:rsidRDefault="004C419E" w:rsidP="004C419E">
      <w:pPr>
        <w:pStyle w:val="CommentText"/>
      </w:pPr>
      <w:r>
        <w:t xml:space="preserve">See Amdocs (Isr.) Ltd. v. </w:t>
      </w:r>
      <w:proofErr w:type="spellStart"/>
      <w:r>
        <w:t>Openet</w:t>
      </w:r>
      <w:proofErr w:type="spellEnd"/>
      <w:r>
        <w:t xml:space="preserve"> Telecomm. Inc., 841 F.3d 1288, 1293-94 (Fed. Cir.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D717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D71711" w16cid:durableId="1F9B09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182FE" w14:textId="77777777" w:rsidR="00791077" w:rsidRDefault="00791077" w:rsidP="008E7715">
      <w:pPr>
        <w:spacing w:after="0" w:line="240" w:lineRule="auto"/>
      </w:pPr>
      <w:r>
        <w:separator/>
      </w:r>
    </w:p>
  </w:endnote>
  <w:endnote w:type="continuationSeparator" w:id="0">
    <w:p w14:paraId="382367A6" w14:textId="77777777" w:rsidR="00791077" w:rsidRDefault="00791077" w:rsidP="008E7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C771D" w14:textId="77777777" w:rsidR="00791077" w:rsidRDefault="00791077" w:rsidP="008E7715">
      <w:pPr>
        <w:spacing w:after="0" w:line="240" w:lineRule="auto"/>
      </w:pPr>
      <w:r>
        <w:separator/>
      </w:r>
    </w:p>
  </w:footnote>
  <w:footnote w:type="continuationSeparator" w:id="0">
    <w:p w14:paraId="5C934C0D" w14:textId="77777777" w:rsidR="00791077" w:rsidRDefault="00791077" w:rsidP="008E7715">
      <w:pPr>
        <w:spacing w:after="0" w:line="240" w:lineRule="auto"/>
      </w:pPr>
      <w:r>
        <w:continuationSeparator/>
      </w:r>
    </w:p>
  </w:footnote>
  <w:footnote w:id="1">
    <w:p w14:paraId="6BD98533" w14:textId="56A8AF9B" w:rsidR="008E7715" w:rsidRDefault="008E7715">
      <w:pPr>
        <w:pStyle w:val="FootnoteText"/>
      </w:pPr>
      <w:r>
        <w:rPr>
          <w:rStyle w:val="FootnoteReference"/>
        </w:rPr>
        <w:footnoteRef/>
      </w:r>
      <w:r>
        <w:t xml:space="preserve"> U.S. Const. </w:t>
      </w:r>
      <w:r w:rsidR="00B80E35">
        <w:t xml:space="preserve">art 1, § 8, cl. 8. </w:t>
      </w:r>
    </w:p>
  </w:footnote>
  <w:footnote w:id="2">
    <w:p w14:paraId="2A0F79B2" w14:textId="41187085" w:rsidR="000D2F64" w:rsidRDefault="000D2F64">
      <w:pPr>
        <w:pStyle w:val="FootnoteText"/>
      </w:pPr>
      <w:r>
        <w:rPr>
          <w:rStyle w:val="FootnoteReference"/>
        </w:rPr>
        <w:footnoteRef/>
      </w:r>
      <w:r>
        <w:t xml:space="preserve"> </w:t>
      </w:r>
      <w:r w:rsidR="00953DE5">
        <w:t>P.J. Federico</w:t>
      </w:r>
      <w:r w:rsidR="00411AC4">
        <w:t xml:space="preserve">, </w:t>
      </w:r>
      <w:r w:rsidR="00411AC4" w:rsidRPr="005B0DFB">
        <w:rPr>
          <w:i/>
        </w:rPr>
        <w:t>Operation of the Patent Act of 1790</w:t>
      </w:r>
      <w:r w:rsidR="00411AC4">
        <w:t xml:space="preserve">, </w:t>
      </w:r>
      <w:r w:rsidR="005B0DFB">
        <w:t xml:space="preserve">18 </w:t>
      </w:r>
      <w:proofErr w:type="spellStart"/>
      <w:r w:rsidR="005B0DFB">
        <w:t>J.Pat.Off.Soc</w:t>
      </w:r>
      <w:proofErr w:type="spellEnd"/>
      <w:r w:rsidR="005B0DFB">
        <w:t xml:space="preserve">. </w:t>
      </w:r>
      <w:r w:rsidR="0021788A">
        <w:t>237</w:t>
      </w:r>
      <w:r w:rsidR="00926925">
        <w:t>,</w:t>
      </w:r>
      <w:r w:rsidR="00EC49B6">
        <w:t xml:space="preserve"> </w:t>
      </w:r>
      <w:r w:rsidR="00926925">
        <w:t>2</w:t>
      </w:r>
      <w:r w:rsidR="00EC49B6">
        <w:t>38</w:t>
      </w:r>
      <w:r w:rsidR="00926925">
        <w:t xml:space="preserve"> (1936)</w:t>
      </w:r>
      <w:r w:rsidR="000157A9">
        <w:t xml:space="preserve"> (discussing the workings of the Patent Act of 1790). </w:t>
      </w:r>
    </w:p>
  </w:footnote>
  <w:footnote w:id="3">
    <w:p w14:paraId="5D49FAC9" w14:textId="289AB548" w:rsidR="00514E8A" w:rsidRDefault="00514E8A">
      <w:pPr>
        <w:pStyle w:val="FootnoteText"/>
      </w:pPr>
      <w:r>
        <w:rPr>
          <w:rStyle w:val="FootnoteReference"/>
        </w:rPr>
        <w:footnoteRef/>
      </w:r>
      <w:r>
        <w:t xml:space="preserve"> MPEP</w:t>
      </w:r>
      <w:r w:rsidR="00D95DF3">
        <w:t xml:space="preserve"> – INTRODUCTION. </w:t>
      </w:r>
      <w:hyperlink r:id="rId1" w:history="1">
        <w:r w:rsidR="00D95DF3" w:rsidRPr="002E0379">
          <w:rPr>
            <w:rStyle w:val="Hyperlink"/>
          </w:rPr>
          <w:t>https://www.uspto.gov/web/offices/pac/mpep/mpep-0020-introduction.html</w:t>
        </w:r>
      </w:hyperlink>
      <w:r w:rsidR="00D95DF3">
        <w:t xml:space="preserve">. </w:t>
      </w:r>
      <w:r w:rsidR="00D95DF3" w:rsidRPr="00D95DF3">
        <w:rPr>
          <w:highlight w:val="yellow"/>
        </w:rPr>
        <w:t>[HOW TO CITE MPEP?]</w:t>
      </w:r>
      <w:r w:rsidR="00D95DF3">
        <w:t xml:space="preserve"> </w:t>
      </w:r>
    </w:p>
  </w:footnote>
  <w:footnote w:id="4">
    <w:p w14:paraId="53936C0C" w14:textId="7190B89A" w:rsidR="00A92CF2" w:rsidRDefault="00A92CF2">
      <w:pPr>
        <w:pStyle w:val="FootnoteText"/>
      </w:pPr>
      <w:r>
        <w:rPr>
          <w:rStyle w:val="FootnoteReference"/>
        </w:rPr>
        <w:footnoteRef/>
      </w:r>
      <w:r>
        <w:t xml:space="preserve"> 35 U.S.C. §§ 102, 103, 112; </w:t>
      </w:r>
      <w:r w:rsidR="00356F2D" w:rsidRPr="00356F2D">
        <w:rPr>
          <w:i/>
        </w:rPr>
        <w:t>Mayo Collaborative Servs. v. Prometheus Labs., Inc.</w:t>
      </w:r>
      <w:r w:rsidR="00356F2D">
        <w:t xml:space="preserve">, </w:t>
      </w:r>
      <w:r w:rsidR="00356F2D" w:rsidRPr="00F31E2F">
        <w:rPr>
          <w:color w:val="FF0000"/>
        </w:rPr>
        <w:t xml:space="preserve">566 U.S. 66, 70, 132 S. Ct. 1289, 1293, </w:t>
      </w:r>
      <w:r w:rsidR="00356F2D">
        <w:t>(2012).</w:t>
      </w:r>
    </w:p>
  </w:footnote>
  <w:footnote w:id="5">
    <w:p w14:paraId="77012373" w14:textId="77777777" w:rsidR="0054099B" w:rsidRDefault="0054099B" w:rsidP="0054099B">
      <w:pPr>
        <w:pStyle w:val="FootnoteText"/>
      </w:pPr>
      <w:r>
        <w:rPr>
          <w:rStyle w:val="FootnoteReference"/>
        </w:rPr>
        <w:footnoteRef/>
      </w:r>
      <w:r>
        <w:t xml:space="preserve"> 35 U.S.C. §§ 102, 103, 112</w:t>
      </w:r>
    </w:p>
  </w:footnote>
  <w:footnote w:id="6">
    <w:p w14:paraId="34EE861C" w14:textId="533096E5" w:rsidR="00543F69" w:rsidRDefault="00543F69">
      <w:pPr>
        <w:pStyle w:val="FootnoteText"/>
      </w:pPr>
      <w:r>
        <w:rPr>
          <w:rStyle w:val="FootnoteReference"/>
        </w:rPr>
        <w:footnoteRef/>
      </w:r>
      <w:r>
        <w:t xml:space="preserve"> CITATION NEEDED</w:t>
      </w:r>
    </w:p>
  </w:footnote>
  <w:footnote w:id="7">
    <w:p w14:paraId="16E7BBA7" w14:textId="161B7228" w:rsidR="00C25E59" w:rsidRDefault="00C25E59">
      <w:pPr>
        <w:pStyle w:val="FootnoteText"/>
      </w:pPr>
      <w:r>
        <w:rPr>
          <w:rStyle w:val="FootnoteReference"/>
        </w:rPr>
        <w:footnoteRef/>
      </w:r>
      <w:r>
        <w:t xml:space="preserve"> CITATION NEEDED</w:t>
      </w:r>
    </w:p>
  </w:footnote>
  <w:footnote w:id="8">
    <w:p w14:paraId="5DBD0F08" w14:textId="16F3C96E" w:rsidR="004C078D" w:rsidRDefault="004C078D">
      <w:pPr>
        <w:pStyle w:val="FootnoteText"/>
      </w:pPr>
      <w:r>
        <w:rPr>
          <w:rStyle w:val="FootnoteReference"/>
        </w:rPr>
        <w:footnoteRef/>
      </w:r>
      <w:r>
        <w:t xml:space="preserve"> CITATION NEEDED</w:t>
      </w:r>
    </w:p>
  </w:footnote>
  <w:footnote w:id="9">
    <w:p w14:paraId="20E93AF7" w14:textId="79106B91" w:rsidR="00162B75" w:rsidRDefault="00162B75" w:rsidP="00356F2D">
      <w:pPr>
        <w:pStyle w:val="FootnoteText"/>
      </w:pPr>
      <w:r>
        <w:rPr>
          <w:rStyle w:val="FootnoteReference"/>
        </w:rPr>
        <w:footnoteRef/>
      </w:r>
      <w:r>
        <w:t xml:space="preserve"> </w:t>
      </w:r>
      <w:r w:rsidR="00356F2D" w:rsidRPr="00356F2D">
        <w:rPr>
          <w:i/>
        </w:rPr>
        <w:t>Mayo Collaborative Servs. v. Prometheus Labs., Inc.</w:t>
      </w:r>
      <w:r w:rsidR="00356F2D">
        <w:t xml:space="preserve">, </w:t>
      </w:r>
      <w:r w:rsidR="00356F2D" w:rsidRPr="00DD25FD">
        <w:rPr>
          <w:color w:val="FF0000"/>
        </w:rPr>
        <w:t xml:space="preserve">566 U.S. 66, 70, 132 S. Ct. 1289, 1293, </w:t>
      </w:r>
      <w:r w:rsidR="00356F2D">
        <w:t xml:space="preserve">(2012) (restating the </w:t>
      </w:r>
      <w:r w:rsidR="00476D65">
        <w:t>long-held</w:t>
      </w:r>
      <w:r w:rsidR="00356F2D">
        <w:t xml:space="preserve"> exceptions 35 U.S.C. § 101: </w:t>
      </w:r>
      <w:r w:rsidR="00840EC8">
        <w:t xml:space="preserve">laws of nature, natural phenomena, and abstract ideas). </w:t>
      </w:r>
    </w:p>
  </w:footnote>
  <w:footnote w:id="10">
    <w:p w14:paraId="4FFEAFA4" w14:textId="347A5167" w:rsidR="00A81947" w:rsidRDefault="00A81947">
      <w:pPr>
        <w:pStyle w:val="FootnoteText"/>
      </w:pPr>
      <w:r>
        <w:rPr>
          <w:rStyle w:val="FootnoteReference"/>
        </w:rPr>
        <w:footnoteRef/>
      </w:r>
      <w:r>
        <w:t xml:space="preserve"> </w:t>
      </w:r>
      <w:r w:rsidR="00F66766" w:rsidRPr="00DD25FD">
        <w:rPr>
          <w:i/>
        </w:rPr>
        <w:t>Gottschalk v. Benson</w:t>
      </w:r>
      <w:r w:rsidR="00F66766" w:rsidRPr="00F66766">
        <w:t xml:space="preserve">, </w:t>
      </w:r>
      <w:r w:rsidR="00F66766" w:rsidRPr="00DD25FD">
        <w:rPr>
          <w:color w:val="FF0000"/>
        </w:rPr>
        <w:t>409 U.S. 63, 67, 93 S.</w:t>
      </w:r>
      <w:r w:rsidR="00EE5DE3">
        <w:rPr>
          <w:color w:val="FF0000"/>
        </w:rPr>
        <w:t xml:space="preserve"> </w:t>
      </w:r>
      <w:r w:rsidR="00F66766" w:rsidRPr="00DD25FD">
        <w:rPr>
          <w:color w:val="FF0000"/>
        </w:rPr>
        <w:t xml:space="preserve">Ct. 253, 34 L.Ed.2d 273 </w:t>
      </w:r>
      <w:r w:rsidR="00F66766" w:rsidRPr="00F66766">
        <w:t>(1972)</w:t>
      </w:r>
      <w:r w:rsidR="004B620C">
        <w:t xml:space="preserve"> (</w:t>
      </w:r>
      <w:r w:rsidR="008E7835">
        <w:t>holding a</w:t>
      </w:r>
      <w:r w:rsidR="00B92109">
        <w:t xml:space="preserve"> </w:t>
      </w:r>
      <w:r w:rsidR="008E7835">
        <w:t xml:space="preserve">method for converting </w:t>
      </w:r>
      <w:r w:rsidR="009974F1">
        <w:t>binary-coded-decimals to binary</w:t>
      </w:r>
      <w:r w:rsidR="00907D02">
        <w:t xml:space="preserve"> unpatentable</w:t>
      </w:r>
      <w:r w:rsidR="00B92109">
        <w:t>)</w:t>
      </w:r>
    </w:p>
  </w:footnote>
  <w:footnote w:id="11">
    <w:p w14:paraId="04E87C88" w14:textId="37967BE2" w:rsidR="00CE6365" w:rsidRDefault="00CE6365" w:rsidP="00896FE0">
      <w:pPr>
        <w:pStyle w:val="FootnoteText"/>
      </w:pPr>
      <w:r>
        <w:rPr>
          <w:rStyle w:val="FootnoteReference"/>
        </w:rPr>
        <w:footnoteRef/>
      </w:r>
      <w:r>
        <w:t xml:space="preserve"> </w:t>
      </w:r>
      <w:r w:rsidR="00F80349" w:rsidRPr="00356F2D">
        <w:rPr>
          <w:i/>
        </w:rPr>
        <w:t>Mayo Collaborative Servs. v. Prometheus Labs., Inc.</w:t>
      </w:r>
      <w:r w:rsidR="00F80349">
        <w:t xml:space="preserve">, </w:t>
      </w:r>
      <w:r w:rsidR="00F80349" w:rsidRPr="00DD25FD">
        <w:rPr>
          <w:color w:val="FF0000"/>
        </w:rPr>
        <w:t xml:space="preserve">566 U.S. 66, 70, 132 S. Ct. 1289, 1293, </w:t>
      </w:r>
      <w:r w:rsidR="00F80349">
        <w:t>(2012) (restating the long-held exceptions 35 U.S.C. § 101: laws of nature, natural phenomena, and abstract ideas)</w:t>
      </w:r>
    </w:p>
  </w:footnote>
  <w:footnote w:id="12">
    <w:p w14:paraId="31925795" w14:textId="6F77D5F1" w:rsidR="00D2540C" w:rsidRPr="00FA1AC5" w:rsidRDefault="00D2540C">
      <w:pPr>
        <w:pStyle w:val="FootnoteText"/>
      </w:pPr>
      <w:r>
        <w:rPr>
          <w:rStyle w:val="FootnoteReference"/>
        </w:rPr>
        <w:footnoteRef/>
      </w:r>
      <w:r>
        <w:t xml:space="preserve"> </w:t>
      </w:r>
      <w:r w:rsidR="00FA1AC5">
        <w:t xml:space="preserve">MPEP </w:t>
      </w:r>
      <w:r w:rsidR="008B7F4E">
        <w:t>–</w:t>
      </w:r>
      <w:r w:rsidR="00FA1AC5">
        <w:t xml:space="preserve"> 210</w:t>
      </w:r>
      <w:r w:rsidR="008B7F4E">
        <w:t xml:space="preserve">6.04(b) Laws of Nature, Natural Phenomena &amp; Products of Nature. </w:t>
      </w:r>
      <w:r w:rsidR="008B7F4E" w:rsidRPr="008B7F4E">
        <w:t>https://www.uspto.gov/web/offices/pac/mpep/s2106.html</w:t>
      </w:r>
    </w:p>
  </w:footnote>
  <w:footnote w:id="13">
    <w:p w14:paraId="5D9719D0" w14:textId="7A401088" w:rsidR="007B3E6D" w:rsidRPr="00933EBD" w:rsidRDefault="007B3E6D" w:rsidP="00933EBD">
      <w:pPr>
        <w:pStyle w:val="FootnoteText"/>
      </w:pPr>
      <w:r>
        <w:rPr>
          <w:rStyle w:val="FootnoteReference"/>
        </w:rPr>
        <w:footnoteRef/>
      </w:r>
      <w:r>
        <w:t xml:space="preserve"> </w:t>
      </w:r>
      <w:r w:rsidR="00933EBD" w:rsidRPr="00933EBD">
        <w:rPr>
          <w:i/>
        </w:rPr>
        <w:t xml:space="preserve">Funk Bros. Seed Co. v. </w:t>
      </w:r>
      <w:proofErr w:type="spellStart"/>
      <w:r w:rsidR="00933EBD" w:rsidRPr="00933EBD">
        <w:rPr>
          <w:i/>
        </w:rPr>
        <w:t>Kalo</w:t>
      </w:r>
      <w:proofErr w:type="spellEnd"/>
      <w:r w:rsidR="00933EBD" w:rsidRPr="00933EBD">
        <w:rPr>
          <w:i/>
        </w:rPr>
        <w:t xml:space="preserve"> Inoculant Co</w:t>
      </w:r>
      <w:r w:rsidR="00933EBD" w:rsidRPr="00933EBD">
        <w:t xml:space="preserve">., </w:t>
      </w:r>
      <w:r w:rsidR="00933EBD" w:rsidRPr="00933EBD">
        <w:rPr>
          <w:color w:val="FF0000"/>
        </w:rPr>
        <w:t xml:space="preserve">333 U.S. 127, 131, 68 S. Ct. 440, 442, 92 L. Ed. 588 </w:t>
      </w:r>
      <w:r w:rsidR="00933EBD" w:rsidRPr="00933EBD">
        <w:t>(1948)</w:t>
      </w:r>
    </w:p>
  </w:footnote>
  <w:footnote w:id="14">
    <w:p w14:paraId="40CF4A6A" w14:textId="6157ECA0" w:rsidR="004F2C41" w:rsidRDefault="004F2C41">
      <w:pPr>
        <w:pStyle w:val="FootnoteText"/>
      </w:pPr>
      <w:r>
        <w:rPr>
          <w:rStyle w:val="FootnoteReference"/>
        </w:rPr>
        <w:footnoteRef/>
      </w:r>
      <w:r>
        <w:t xml:space="preserve"> </w:t>
      </w:r>
      <w:r w:rsidRPr="00933EBD">
        <w:rPr>
          <w:i/>
        </w:rPr>
        <w:t xml:space="preserve">Funk Bros. Seed Co. v. </w:t>
      </w:r>
      <w:proofErr w:type="spellStart"/>
      <w:r w:rsidRPr="00933EBD">
        <w:rPr>
          <w:i/>
        </w:rPr>
        <w:t>Kalo</w:t>
      </w:r>
      <w:proofErr w:type="spellEnd"/>
      <w:r w:rsidRPr="00933EBD">
        <w:rPr>
          <w:i/>
        </w:rPr>
        <w:t xml:space="preserve"> Inoculant Co</w:t>
      </w:r>
      <w:r w:rsidRPr="00933EBD">
        <w:t xml:space="preserve">., </w:t>
      </w:r>
      <w:r w:rsidRPr="00933EBD">
        <w:rPr>
          <w:color w:val="FF0000"/>
        </w:rPr>
        <w:t xml:space="preserve">333 U.S. 127, 131, 68 S. Ct. 440, 442, 92 L. Ed. 588 </w:t>
      </w:r>
      <w:r w:rsidRPr="00933EBD">
        <w:t>(1948)</w:t>
      </w:r>
    </w:p>
  </w:footnote>
  <w:footnote w:id="15">
    <w:p w14:paraId="7B06B44C" w14:textId="7DB0DCA6" w:rsidR="003F7C4C" w:rsidRDefault="003F7C4C">
      <w:pPr>
        <w:pStyle w:val="FootnoteText"/>
      </w:pPr>
      <w:r>
        <w:rPr>
          <w:rStyle w:val="FootnoteReference"/>
        </w:rPr>
        <w:footnoteRef/>
      </w:r>
      <w:r>
        <w:t xml:space="preserve"> </w:t>
      </w:r>
      <w:r w:rsidRPr="00933EBD">
        <w:rPr>
          <w:i/>
        </w:rPr>
        <w:t xml:space="preserve">Funk Bros. Seed Co. v. </w:t>
      </w:r>
      <w:proofErr w:type="spellStart"/>
      <w:r w:rsidRPr="00933EBD">
        <w:rPr>
          <w:i/>
        </w:rPr>
        <w:t>Kalo</w:t>
      </w:r>
      <w:proofErr w:type="spellEnd"/>
      <w:r w:rsidRPr="00933EBD">
        <w:rPr>
          <w:i/>
        </w:rPr>
        <w:t xml:space="preserve"> Inoculant Co</w:t>
      </w:r>
      <w:r w:rsidRPr="00933EBD">
        <w:t xml:space="preserve">., </w:t>
      </w:r>
      <w:r w:rsidRPr="00933EBD">
        <w:rPr>
          <w:color w:val="FF0000"/>
        </w:rPr>
        <w:t xml:space="preserve">333 U.S. 127, 131, 68 S. Ct. 440, 442, 92 L. Ed. 588 </w:t>
      </w:r>
      <w:r w:rsidRPr="00933EBD">
        <w:t>(1948)</w:t>
      </w:r>
    </w:p>
  </w:footnote>
  <w:footnote w:id="16">
    <w:p w14:paraId="7F8AFAFC" w14:textId="1DFA91F8" w:rsidR="000A2E03" w:rsidRDefault="000A2E03" w:rsidP="00DE7CC2">
      <w:pPr>
        <w:pStyle w:val="FootnoteText"/>
      </w:pPr>
      <w:r>
        <w:rPr>
          <w:rStyle w:val="FootnoteReference"/>
        </w:rPr>
        <w:footnoteRef/>
      </w:r>
      <w:r>
        <w:t xml:space="preserve"> </w:t>
      </w:r>
      <w:r w:rsidR="00DE7CC2" w:rsidRPr="00DE7CC2">
        <w:rPr>
          <w:i/>
        </w:rPr>
        <w:t>Diamond v. Chakrabarty</w:t>
      </w:r>
      <w:r w:rsidR="00DE7CC2">
        <w:t xml:space="preserve">, </w:t>
      </w:r>
      <w:r w:rsidR="00DE7CC2" w:rsidRPr="00DE7CC2">
        <w:rPr>
          <w:color w:val="FF0000"/>
        </w:rPr>
        <w:t xml:space="preserve">447 U.S. 303, 304, 100 S. Ct. 2204, 2205, 65 L. Ed. 2d 144 </w:t>
      </w:r>
      <w:r w:rsidR="00DE7CC2">
        <w:t>(1980)</w:t>
      </w:r>
    </w:p>
  </w:footnote>
  <w:footnote w:id="17">
    <w:p w14:paraId="6492C031" w14:textId="46AFC083" w:rsidR="009963E0" w:rsidRDefault="009963E0">
      <w:pPr>
        <w:pStyle w:val="FootnoteText"/>
      </w:pPr>
      <w:r>
        <w:rPr>
          <w:rStyle w:val="FootnoteReference"/>
        </w:rPr>
        <w:footnoteRef/>
      </w:r>
      <w:r>
        <w:t xml:space="preserve"> [CITATION NEEDED]</w:t>
      </w:r>
      <w:r w:rsidR="00A80202">
        <w:t xml:space="preserve"> </w:t>
      </w:r>
      <w:r w:rsidR="009771A8">
        <w:t>–</w:t>
      </w:r>
      <w:r w:rsidR="00A80202">
        <w:t xml:space="preserve"> </w:t>
      </w:r>
      <w:r w:rsidR="009771A8" w:rsidRPr="001E2F70">
        <w:rPr>
          <w:highlight w:val="yellow"/>
        </w:rPr>
        <w:t xml:space="preserve">Software Patents and Pretrial </w:t>
      </w:r>
      <w:r w:rsidR="008D726A" w:rsidRPr="001E2F70">
        <w:rPr>
          <w:highlight w:val="yellow"/>
        </w:rPr>
        <w:t>Dismissal</w:t>
      </w:r>
      <w:r w:rsidR="009771A8" w:rsidRPr="001E2F70">
        <w:rPr>
          <w:highlight w:val="yellow"/>
        </w:rPr>
        <w:t xml:space="preserve"> Based on Ineligibility</w:t>
      </w:r>
      <w:r w:rsidR="008D726A">
        <w:t>:</w:t>
      </w:r>
      <w:r w:rsidR="0032486C">
        <w:t xml:space="preserve"> </w:t>
      </w:r>
      <w:r w:rsidR="0032486C" w:rsidRPr="0032486C">
        <w:t>*41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footnote>
  <w:footnote w:id="18">
    <w:p w14:paraId="2FDD4C71" w14:textId="62363B5C" w:rsidR="0032486C" w:rsidRDefault="00112247" w:rsidP="0032486C">
      <w:pPr>
        <w:pStyle w:val="FootnoteText"/>
      </w:pPr>
      <w:r>
        <w:rPr>
          <w:rStyle w:val="FootnoteReference"/>
        </w:rPr>
        <w:footnoteRef/>
      </w:r>
      <w:r>
        <w:t xml:space="preserve"> [CITATION NEEDED]</w:t>
      </w:r>
      <w:r w:rsidR="00633C4D">
        <w:t xml:space="preserve"> – </w:t>
      </w:r>
      <w:r w:rsidR="00633C4D" w:rsidRPr="001E2F70">
        <w:rPr>
          <w:highlight w:val="yellow"/>
        </w:rPr>
        <w:t>Software Patents and Pretrial Dismissal Based on Ineligibility</w:t>
      </w:r>
      <w:r w:rsidR="00633C4D">
        <w:t>:</w:t>
      </w:r>
      <w:r w:rsidR="0032486C">
        <w:t xml:space="preserve">  Clarifying the § 101 landscape has not been an easy task. Instead of establishing a firm definition of what constitutes an “abstract idea,” the Federal Circuit has decided cases on a claim-by-claim basis.284 </w:t>
      </w:r>
    </w:p>
    <w:p w14:paraId="3EAB4774" w14:textId="57CA5143" w:rsidR="00112247" w:rsidRDefault="0032486C" w:rsidP="0032486C">
      <w:pPr>
        <w:pStyle w:val="FootnoteText"/>
      </w:pPr>
      <w:r>
        <w:t xml:space="preserve">See Amdocs (Isr.) Ltd. v. </w:t>
      </w:r>
      <w:proofErr w:type="spellStart"/>
      <w:r>
        <w:t>Openet</w:t>
      </w:r>
      <w:proofErr w:type="spellEnd"/>
      <w:r>
        <w:t xml:space="preserve"> Telecomm. Inc., 841 F.3d 1288, 1293-94 (Fed. Cir. 2016).</w:t>
      </w:r>
    </w:p>
  </w:footnote>
  <w:footnote w:id="19">
    <w:p w14:paraId="13257EF7" w14:textId="2C9F90DB" w:rsidR="00AB7BFF" w:rsidRDefault="00AB7BFF">
      <w:pPr>
        <w:pStyle w:val="FootnoteText"/>
      </w:pPr>
      <w:r>
        <w:rPr>
          <w:rStyle w:val="FootnoteReference"/>
        </w:rPr>
        <w:footnoteRef/>
      </w:r>
      <w:r>
        <w:t xml:space="preserve"> [CITATION NEEDED]</w:t>
      </w:r>
    </w:p>
  </w:footnote>
  <w:footnote w:id="20">
    <w:p w14:paraId="445E9D8E" w14:textId="54C76DEF" w:rsidR="00B44F75" w:rsidRDefault="00B44F75">
      <w:pPr>
        <w:pStyle w:val="FootnoteText"/>
      </w:pPr>
      <w:r>
        <w:rPr>
          <w:rStyle w:val="FootnoteReference"/>
        </w:rPr>
        <w:footnoteRef/>
      </w:r>
      <w:r>
        <w:t xml:space="preserve"> [Citation Needed]</w:t>
      </w:r>
    </w:p>
  </w:footnote>
  <w:footnote w:id="21">
    <w:p w14:paraId="29942497" w14:textId="4EFDCB9D" w:rsidR="00EB1C5F" w:rsidRDefault="00EB1C5F">
      <w:pPr>
        <w:pStyle w:val="FootnoteText"/>
      </w:pPr>
      <w:r>
        <w:rPr>
          <w:rStyle w:val="FootnoteReference"/>
        </w:rPr>
        <w:footnoteRef/>
      </w:r>
      <w:r>
        <w:t xml:space="preserve"> </w:t>
      </w:r>
      <w:r w:rsidRPr="00EB1C5F">
        <w:t xml:space="preserve">“to transform an unpatentable law of nature into a patent-eligible application of such a law, one must do more than simply state the law of nature while adding the words “apply it.”” </w:t>
      </w:r>
      <w:r w:rsidRPr="00256FB0">
        <w:rPr>
          <w:i/>
        </w:rPr>
        <w:t>Mayo Collaborative Servs. v. Prometheus Labs</w:t>
      </w:r>
      <w:r w:rsidRPr="00EB1C5F">
        <w:t>., Inc., 566 U.S. 66, 72, 132 S. Ct. 1289, 1294, 182 L. Ed. 2d 321 (2012)</w:t>
      </w:r>
    </w:p>
  </w:footnote>
  <w:footnote w:id="22">
    <w:p w14:paraId="347034FC" w14:textId="09982C45" w:rsidR="00A424E3" w:rsidRDefault="00A424E3">
      <w:pPr>
        <w:pStyle w:val="FootnoteText"/>
      </w:pPr>
      <w:r>
        <w:rPr>
          <w:rStyle w:val="FootnoteReference"/>
        </w:rPr>
        <w:footnoteRef/>
      </w:r>
      <w:r>
        <w:t xml:space="preserve"> </w:t>
      </w:r>
      <w:r w:rsidR="00256FB0">
        <w:t>CITATION NEEDED</w:t>
      </w:r>
    </w:p>
  </w:footnote>
  <w:footnote w:id="23">
    <w:p w14:paraId="03272FFF" w14:textId="09AECBF8" w:rsidR="00AE489E" w:rsidRDefault="00AE489E">
      <w:pPr>
        <w:pStyle w:val="FootnoteText"/>
      </w:pPr>
      <w:r>
        <w:rPr>
          <w:rStyle w:val="FootnoteReference"/>
        </w:rPr>
        <w:footnoteRef/>
      </w:r>
      <w:r>
        <w:t xml:space="preserve"> 35 U.S.C. § 101</w:t>
      </w:r>
    </w:p>
  </w:footnote>
  <w:footnote w:id="24">
    <w:p w14:paraId="121286FD" w14:textId="16AE3524" w:rsidR="006C7F34" w:rsidRDefault="006C7F34">
      <w:pPr>
        <w:pStyle w:val="FootnoteText"/>
      </w:pPr>
      <w:r>
        <w:rPr>
          <w:rStyle w:val="FootnoteReference"/>
        </w:rPr>
        <w:footnoteRef/>
      </w:r>
      <w:r>
        <w:t xml:space="preserve"> </w:t>
      </w:r>
      <w:r w:rsidR="0041094E">
        <w:t xml:space="preserve">Randall Rader, </w:t>
      </w:r>
      <w:r w:rsidR="001C2B7B">
        <w:t>Benjamin Christoff</w:t>
      </w:r>
      <w:r w:rsidR="00180D70">
        <w:t xml:space="preserve">, Patent Law in a Nutshell </w:t>
      </w:r>
      <w:r w:rsidR="00153B39">
        <w:t>56 (</w:t>
      </w:r>
      <w:r w:rsidR="001D6DB5">
        <w:t xml:space="preserve">3rd ed. </w:t>
      </w:r>
      <w:r w:rsidR="00F7436C">
        <w:t>2018)</w:t>
      </w:r>
      <w:r w:rsidR="00180D70">
        <w:t>.</w:t>
      </w:r>
    </w:p>
  </w:footnote>
  <w:footnote w:id="25">
    <w:p w14:paraId="38B74308" w14:textId="3DB31294" w:rsidR="00CB60D7" w:rsidRPr="00BB6547" w:rsidRDefault="00CB60D7" w:rsidP="00BB6547">
      <w:pPr>
        <w:pStyle w:val="FootnoteText"/>
      </w:pPr>
      <w:r>
        <w:rPr>
          <w:rStyle w:val="FootnoteReference"/>
        </w:rPr>
        <w:footnoteRef/>
      </w:r>
      <w:r>
        <w:t xml:space="preserve"> </w:t>
      </w:r>
      <w:r w:rsidR="00452BD9">
        <w:rPr>
          <w:i/>
        </w:rPr>
        <w:t xml:space="preserve">See e.g. </w:t>
      </w:r>
      <w:r w:rsidR="00452BD9" w:rsidRPr="00452BD9">
        <w:rPr>
          <w:highlight w:val="yellow"/>
        </w:rPr>
        <w:t>[Alice, Mayo, Berkheimer, etc.]</w:t>
      </w:r>
      <w:r w:rsidR="004C5EAF">
        <w:rPr>
          <w:highlight w:val="yellow"/>
        </w:rPr>
        <w:t xml:space="preserve">; </w:t>
      </w:r>
      <w:r w:rsidR="00BB6547">
        <w:rPr>
          <w:i/>
          <w:highlight w:val="yellow"/>
        </w:rPr>
        <w:t xml:space="preserve">see </w:t>
      </w:r>
      <w:r w:rsidR="00BB6547" w:rsidRPr="00BB6547">
        <w:t>Kathleen Chapman, Esq. &amp; Stephen Ball, Esq</w:t>
      </w:r>
      <w:r w:rsidR="00BB6547" w:rsidRPr="00BB6547">
        <w:rPr>
          <w:i/>
        </w:rPr>
        <w:t xml:space="preserve">., Challenges with Patenting Software, </w:t>
      </w:r>
      <w:r w:rsidR="00BB6547" w:rsidRPr="00BB6547">
        <w:t>Vt. B.J., Winter 2007/2008, at 36</w:t>
      </w:r>
    </w:p>
  </w:footnote>
  <w:footnote w:id="26">
    <w:p w14:paraId="1DED71D5" w14:textId="638EEBCB" w:rsidR="00FC20AE" w:rsidRDefault="00FC20AE">
      <w:pPr>
        <w:pStyle w:val="FootnoteText"/>
      </w:pPr>
      <w:r>
        <w:rPr>
          <w:rStyle w:val="FootnoteReference"/>
        </w:rPr>
        <w:footnoteRef/>
      </w:r>
      <w:r>
        <w:t xml:space="preserve"> CITATIONS NEEDED</w:t>
      </w:r>
    </w:p>
  </w:footnote>
  <w:footnote w:id="27">
    <w:p w14:paraId="0CBCB66B" w14:textId="0665951D" w:rsidR="008C2392" w:rsidRDefault="008C2392" w:rsidP="008C2392">
      <w:pPr>
        <w:pStyle w:val="FootnoteText"/>
      </w:pPr>
      <w:r>
        <w:rPr>
          <w:rStyle w:val="FootnoteReference"/>
        </w:rPr>
        <w:footnoteRef/>
      </w:r>
      <w:r>
        <w:t xml:space="preserve"> </w:t>
      </w:r>
      <w:r w:rsidRPr="008C2392">
        <w:rPr>
          <w:rFonts w:cs="Times New Roman"/>
        </w:rPr>
        <w:t xml:space="preserve">Paul R. </w:t>
      </w:r>
      <w:proofErr w:type="spellStart"/>
      <w:r w:rsidRPr="008C2392">
        <w:rPr>
          <w:rFonts w:cs="Times New Roman"/>
        </w:rPr>
        <w:t>Gugliuzza</w:t>
      </w:r>
      <w:proofErr w:type="spellEnd"/>
      <w:r w:rsidRPr="008C2392">
        <w:rPr>
          <w:rFonts w:cs="Times New Roman"/>
        </w:rPr>
        <w:t>, Quick Decisions in Patent Cases, 106 Geo. L.J. 619, 622 (2018)</w:t>
      </w:r>
    </w:p>
  </w:footnote>
  <w:footnote w:id="28">
    <w:p w14:paraId="1A3EB034" w14:textId="612BF954" w:rsidR="00636D7D" w:rsidRDefault="00636D7D" w:rsidP="00636D7D">
      <w:pPr>
        <w:pStyle w:val="FootnoteText"/>
      </w:pPr>
      <w:r>
        <w:rPr>
          <w:rStyle w:val="FootnoteReference"/>
        </w:rPr>
        <w:footnoteRef/>
      </w:r>
      <w:r>
        <w:t xml:space="preserve"> </w:t>
      </w:r>
      <w:r>
        <w:t>Kathleen Chapman, Esq. &amp; Stephen Ball, Esq., Challenges with Patenting Software, Vt. B.J., Winter 2007/2008, at 36, 37</w:t>
      </w:r>
    </w:p>
  </w:footnote>
  <w:footnote w:id="29">
    <w:p w14:paraId="35A21E89" w14:textId="3A21C81F" w:rsidR="00EC7338" w:rsidRDefault="00EC7338" w:rsidP="008452BB">
      <w:pPr>
        <w:pStyle w:val="FootnoteText"/>
      </w:pPr>
      <w:r>
        <w:rPr>
          <w:rStyle w:val="FootnoteReference"/>
        </w:rPr>
        <w:footnoteRef/>
      </w:r>
      <w:r>
        <w:t xml:space="preserve"> </w:t>
      </w:r>
      <w:r w:rsidR="007D22FB">
        <w:t>Intellectual Property Channeling for Digital Works</w:t>
      </w:r>
      <w:r w:rsidR="008452BB">
        <w:t xml:space="preserve">; </w:t>
      </w:r>
      <w:r w:rsidR="008452BB" w:rsidRPr="008452BB">
        <w:rPr>
          <w:color w:val="FF0000"/>
        </w:rPr>
        <w:t xml:space="preserve">Preserving </w:t>
      </w:r>
      <w:proofErr w:type="gramStart"/>
      <w:r w:rsidR="008452BB" w:rsidRPr="008452BB">
        <w:rPr>
          <w:color w:val="FF0000"/>
        </w:rPr>
        <w:t>The</w:t>
      </w:r>
      <w:proofErr w:type="gramEnd"/>
      <w:r w:rsidR="008452BB" w:rsidRPr="008452BB">
        <w:rPr>
          <w:color w:val="FF0000"/>
        </w:rPr>
        <w:t xml:space="preserve"> Value Of Medical Device Patents During The Rise Of Three-Dimensional Printing – Westlaw Journal IP </w:t>
      </w:r>
      <w:r w:rsidR="008452BB" w:rsidRPr="008452BB">
        <w:rPr>
          <w:color w:val="FF0000"/>
        </w:rPr>
        <w:t>2013 WL 5808127, at *4</w:t>
      </w:r>
    </w:p>
  </w:footnote>
  <w:footnote w:id="30">
    <w:p w14:paraId="142E8C77" w14:textId="2EBF4539" w:rsidR="005E201C" w:rsidRDefault="005E201C" w:rsidP="005E201C">
      <w:pPr>
        <w:pStyle w:val="FootnoteText"/>
      </w:pPr>
      <w:r>
        <w:rPr>
          <w:rStyle w:val="FootnoteReference"/>
        </w:rPr>
        <w:footnoteRef/>
      </w:r>
      <w:r>
        <w:t xml:space="preserve"> </w:t>
      </w:r>
      <w:r w:rsidRPr="005E201C">
        <w:rPr>
          <w:i/>
        </w:rPr>
        <w:t>In re Beauregard</w:t>
      </w:r>
      <w:r>
        <w:t>, 53 F.3d 1583, 1584 (Fed. Cir. 1995)</w:t>
      </w:r>
    </w:p>
  </w:footnote>
  <w:footnote w:id="31">
    <w:p w14:paraId="74603882" w14:textId="095D2FBE" w:rsidR="005E201C" w:rsidRPr="005E201C" w:rsidRDefault="005E201C" w:rsidP="008452BB">
      <w:pPr>
        <w:pStyle w:val="FootnoteText"/>
      </w:pPr>
      <w:r>
        <w:rPr>
          <w:rStyle w:val="FootnoteReference"/>
        </w:rPr>
        <w:footnoteRef/>
      </w:r>
      <w:r>
        <w:t xml:space="preserve"> </w:t>
      </w:r>
      <w:r>
        <w:rPr>
          <w:i/>
        </w:rPr>
        <w:t>See e.g.</w:t>
      </w:r>
      <w:r>
        <w:t xml:space="preserve"> </w:t>
      </w:r>
      <w:r w:rsidRPr="005E201C">
        <w:rPr>
          <w:i/>
        </w:rPr>
        <w:t>CyberSource Corp. v. Retail Decisions, Inc.</w:t>
      </w:r>
      <w:r>
        <w:t>, 654 F.3d 1366, 1373 (Fed. Cir. 2011)</w:t>
      </w:r>
      <w:r w:rsidR="008452BB">
        <w:t xml:space="preserve">; </w:t>
      </w:r>
      <w:r w:rsidR="008452BB" w:rsidRPr="008452BB">
        <w:rPr>
          <w:i/>
        </w:rPr>
        <w:t>SEVEN Networks, LLC v. Google LLC</w:t>
      </w:r>
      <w:r w:rsidR="008452BB">
        <w:t>, No. 2:17-CV-441-JRG, 2018 WL 5263271, at *30 (E.D. Tex. Oct. 23,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5"/>
    <w:rsid w:val="000102DA"/>
    <w:rsid w:val="0001184D"/>
    <w:rsid w:val="000157A9"/>
    <w:rsid w:val="00015828"/>
    <w:rsid w:val="00061D8B"/>
    <w:rsid w:val="00062E03"/>
    <w:rsid w:val="00073D3A"/>
    <w:rsid w:val="00073D4B"/>
    <w:rsid w:val="0007770E"/>
    <w:rsid w:val="00091CA1"/>
    <w:rsid w:val="000A2E03"/>
    <w:rsid w:val="000A77BC"/>
    <w:rsid w:val="000B4F42"/>
    <w:rsid w:val="000D2B87"/>
    <w:rsid w:val="000D2F64"/>
    <w:rsid w:val="000E0536"/>
    <w:rsid w:val="000E0603"/>
    <w:rsid w:val="000F73F4"/>
    <w:rsid w:val="001038AB"/>
    <w:rsid w:val="00104DD9"/>
    <w:rsid w:val="00112247"/>
    <w:rsid w:val="00120C9A"/>
    <w:rsid w:val="00122DA4"/>
    <w:rsid w:val="001360AE"/>
    <w:rsid w:val="00146381"/>
    <w:rsid w:val="00153B39"/>
    <w:rsid w:val="00162B75"/>
    <w:rsid w:val="00164E50"/>
    <w:rsid w:val="001804AF"/>
    <w:rsid w:val="00180D70"/>
    <w:rsid w:val="00191AAC"/>
    <w:rsid w:val="00196BDC"/>
    <w:rsid w:val="001A4487"/>
    <w:rsid w:val="001C2B7B"/>
    <w:rsid w:val="001C4709"/>
    <w:rsid w:val="001C56F6"/>
    <w:rsid w:val="001D6DB5"/>
    <w:rsid w:val="001E2F70"/>
    <w:rsid w:val="001E549F"/>
    <w:rsid w:val="001F6FB0"/>
    <w:rsid w:val="00213224"/>
    <w:rsid w:val="0021788A"/>
    <w:rsid w:val="0022412D"/>
    <w:rsid w:val="00225A66"/>
    <w:rsid w:val="00241DA8"/>
    <w:rsid w:val="00245CB1"/>
    <w:rsid w:val="00256FB0"/>
    <w:rsid w:val="002630F3"/>
    <w:rsid w:val="00280611"/>
    <w:rsid w:val="00281541"/>
    <w:rsid w:val="002869B1"/>
    <w:rsid w:val="0029649A"/>
    <w:rsid w:val="002B5D3E"/>
    <w:rsid w:val="002C6953"/>
    <w:rsid w:val="002F5050"/>
    <w:rsid w:val="00302FAA"/>
    <w:rsid w:val="00324040"/>
    <w:rsid w:val="0032486C"/>
    <w:rsid w:val="003308BE"/>
    <w:rsid w:val="00340E88"/>
    <w:rsid w:val="003415DE"/>
    <w:rsid w:val="00345ECE"/>
    <w:rsid w:val="00356F2D"/>
    <w:rsid w:val="00357835"/>
    <w:rsid w:val="00363566"/>
    <w:rsid w:val="0036481A"/>
    <w:rsid w:val="003766C1"/>
    <w:rsid w:val="00383463"/>
    <w:rsid w:val="003836FF"/>
    <w:rsid w:val="00386A3F"/>
    <w:rsid w:val="0038742F"/>
    <w:rsid w:val="003877B6"/>
    <w:rsid w:val="0039771A"/>
    <w:rsid w:val="003A128F"/>
    <w:rsid w:val="003A2E8F"/>
    <w:rsid w:val="003A3E41"/>
    <w:rsid w:val="003B1A58"/>
    <w:rsid w:val="003B4234"/>
    <w:rsid w:val="003C07EF"/>
    <w:rsid w:val="003C2C70"/>
    <w:rsid w:val="003C2F0E"/>
    <w:rsid w:val="003F04C9"/>
    <w:rsid w:val="003F7C4C"/>
    <w:rsid w:val="003F7D16"/>
    <w:rsid w:val="0041094E"/>
    <w:rsid w:val="00411AC4"/>
    <w:rsid w:val="00424B66"/>
    <w:rsid w:val="004466D1"/>
    <w:rsid w:val="00447703"/>
    <w:rsid w:val="00452BD9"/>
    <w:rsid w:val="004577B1"/>
    <w:rsid w:val="00463584"/>
    <w:rsid w:val="004671D7"/>
    <w:rsid w:val="00473EF6"/>
    <w:rsid w:val="00476D65"/>
    <w:rsid w:val="00477A99"/>
    <w:rsid w:val="00497308"/>
    <w:rsid w:val="004A53D9"/>
    <w:rsid w:val="004B620C"/>
    <w:rsid w:val="004C078D"/>
    <w:rsid w:val="004C37FD"/>
    <w:rsid w:val="004C419E"/>
    <w:rsid w:val="004C484F"/>
    <w:rsid w:val="004C5EAF"/>
    <w:rsid w:val="004E12C0"/>
    <w:rsid w:val="004E361E"/>
    <w:rsid w:val="004F2C41"/>
    <w:rsid w:val="00510902"/>
    <w:rsid w:val="005130ED"/>
    <w:rsid w:val="00514E8A"/>
    <w:rsid w:val="00523272"/>
    <w:rsid w:val="0052477F"/>
    <w:rsid w:val="0054099B"/>
    <w:rsid w:val="00543F69"/>
    <w:rsid w:val="00555023"/>
    <w:rsid w:val="005611DD"/>
    <w:rsid w:val="0056223A"/>
    <w:rsid w:val="00562D19"/>
    <w:rsid w:val="00595B10"/>
    <w:rsid w:val="005960C9"/>
    <w:rsid w:val="005A3FEF"/>
    <w:rsid w:val="005B0DFB"/>
    <w:rsid w:val="005E201C"/>
    <w:rsid w:val="005E3800"/>
    <w:rsid w:val="005E53AA"/>
    <w:rsid w:val="005F1F06"/>
    <w:rsid w:val="00603275"/>
    <w:rsid w:val="00623C1E"/>
    <w:rsid w:val="00626E55"/>
    <w:rsid w:val="00633C4D"/>
    <w:rsid w:val="00635F48"/>
    <w:rsid w:val="00636D7D"/>
    <w:rsid w:val="0064307B"/>
    <w:rsid w:val="006450DC"/>
    <w:rsid w:val="00653704"/>
    <w:rsid w:val="00657F19"/>
    <w:rsid w:val="00660B5C"/>
    <w:rsid w:val="00661F75"/>
    <w:rsid w:val="006630ED"/>
    <w:rsid w:val="00683F90"/>
    <w:rsid w:val="00686150"/>
    <w:rsid w:val="0068652E"/>
    <w:rsid w:val="00686E49"/>
    <w:rsid w:val="00686FAE"/>
    <w:rsid w:val="006915F4"/>
    <w:rsid w:val="00692CA8"/>
    <w:rsid w:val="00697B76"/>
    <w:rsid w:val="006B76BC"/>
    <w:rsid w:val="006C7F34"/>
    <w:rsid w:val="006E37CF"/>
    <w:rsid w:val="006E73EF"/>
    <w:rsid w:val="006F58B5"/>
    <w:rsid w:val="006F5BB9"/>
    <w:rsid w:val="007040C2"/>
    <w:rsid w:val="00707339"/>
    <w:rsid w:val="00713A69"/>
    <w:rsid w:val="00713C65"/>
    <w:rsid w:val="007155DC"/>
    <w:rsid w:val="007161E7"/>
    <w:rsid w:val="00727014"/>
    <w:rsid w:val="00731346"/>
    <w:rsid w:val="007328A4"/>
    <w:rsid w:val="0073414A"/>
    <w:rsid w:val="00735B5B"/>
    <w:rsid w:val="007426D8"/>
    <w:rsid w:val="007470BF"/>
    <w:rsid w:val="007531E8"/>
    <w:rsid w:val="0075378D"/>
    <w:rsid w:val="007743D8"/>
    <w:rsid w:val="0077794C"/>
    <w:rsid w:val="00785157"/>
    <w:rsid w:val="00791077"/>
    <w:rsid w:val="00791C94"/>
    <w:rsid w:val="007B3E6D"/>
    <w:rsid w:val="007B4360"/>
    <w:rsid w:val="007B5C08"/>
    <w:rsid w:val="007B694F"/>
    <w:rsid w:val="007B7789"/>
    <w:rsid w:val="007D22FB"/>
    <w:rsid w:val="007D39A4"/>
    <w:rsid w:val="007F5570"/>
    <w:rsid w:val="00807F85"/>
    <w:rsid w:val="00823998"/>
    <w:rsid w:val="0083471A"/>
    <w:rsid w:val="00840EC8"/>
    <w:rsid w:val="00841AA4"/>
    <w:rsid w:val="008452BB"/>
    <w:rsid w:val="00862062"/>
    <w:rsid w:val="0086575B"/>
    <w:rsid w:val="00876AF9"/>
    <w:rsid w:val="00884940"/>
    <w:rsid w:val="00896FE0"/>
    <w:rsid w:val="008B6215"/>
    <w:rsid w:val="008B7F4E"/>
    <w:rsid w:val="008C2392"/>
    <w:rsid w:val="008C36BC"/>
    <w:rsid w:val="008C5C63"/>
    <w:rsid w:val="008D726A"/>
    <w:rsid w:val="008D747E"/>
    <w:rsid w:val="008E0C0B"/>
    <w:rsid w:val="008E0FBA"/>
    <w:rsid w:val="008E650B"/>
    <w:rsid w:val="008E7715"/>
    <w:rsid w:val="008E7835"/>
    <w:rsid w:val="00906576"/>
    <w:rsid w:val="00907D02"/>
    <w:rsid w:val="009202F4"/>
    <w:rsid w:val="00926925"/>
    <w:rsid w:val="00930A74"/>
    <w:rsid w:val="00933EBD"/>
    <w:rsid w:val="00937682"/>
    <w:rsid w:val="00942D09"/>
    <w:rsid w:val="00947401"/>
    <w:rsid w:val="00953DE5"/>
    <w:rsid w:val="009771A8"/>
    <w:rsid w:val="00977877"/>
    <w:rsid w:val="009833EE"/>
    <w:rsid w:val="009963E0"/>
    <w:rsid w:val="009974F1"/>
    <w:rsid w:val="009A729B"/>
    <w:rsid w:val="009A7DEC"/>
    <w:rsid w:val="009C377C"/>
    <w:rsid w:val="009C560A"/>
    <w:rsid w:val="009C5B36"/>
    <w:rsid w:val="009D2A45"/>
    <w:rsid w:val="009D4639"/>
    <w:rsid w:val="009E4DC9"/>
    <w:rsid w:val="00A14450"/>
    <w:rsid w:val="00A17CAD"/>
    <w:rsid w:val="00A27743"/>
    <w:rsid w:val="00A424E3"/>
    <w:rsid w:val="00A432A4"/>
    <w:rsid w:val="00A52F44"/>
    <w:rsid w:val="00A561E7"/>
    <w:rsid w:val="00A6263B"/>
    <w:rsid w:val="00A62F8F"/>
    <w:rsid w:val="00A731A1"/>
    <w:rsid w:val="00A80202"/>
    <w:rsid w:val="00A81947"/>
    <w:rsid w:val="00A864CA"/>
    <w:rsid w:val="00A92CF2"/>
    <w:rsid w:val="00AA3DD6"/>
    <w:rsid w:val="00AB07A1"/>
    <w:rsid w:val="00AB7673"/>
    <w:rsid w:val="00AB7BFF"/>
    <w:rsid w:val="00AC6BB4"/>
    <w:rsid w:val="00AD1BAF"/>
    <w:rsid w:val="00AD4814"/>
    <w:rsid w:val="00AE489E"/>
    <w:rsid w:val="00AF4D0E"/>
    <w:rsid w:val="00B035E5"/>
    <w:rsid w:val="00B04C28"/>
    <w:rsid w:val="00B40183"/>
    <w:rsid w:val="00B41B4B"/>
    <w:rsid w:val="00B44B11"/>
    <w:rsid w:val="00B44F75"/>
    <w:rsid w:val="00B52A5C"/>
    <w:rsid w:val="00B65F74"/>
    <w:rsid w:val="00B746B7"/>
    <w:rsid w:val="00B80E35"/>
    <w:rsid w:val="00B92109"/>
    <w:rsid w:val="00BB59C6"/>
    <w:rsid w:val="00BB6547"/>
    <w:rsid w:val="00BE147F"/>
    <w:rsid w:val="00BE1A3F"/>
    <w:rsid w:val="00BF4A72"/>
    <w:rsid w:val="00BF5DE2"/>
    <w:rsid w:val="00C02FBB"/>
    <w:rsid w:val="00C106F1"/>
    <w:rsid w:val="00C17D4D"/>
    <w:rsid w:val="00C2476D"/>
    <w:rsid w:val="00C25E59"/>
    <w:rsid w:val="00C401B5"/>
    <w:rsid w:val="00C61570"/>
    <w:rsid w:val="00C73145"/>
    <w:rsid w:val="00C7759C"/>
    <w:rsid w:val="00C80CED"/>
    <w:rsid w:val="00C837DD"/>
    <w:rsid w:val="00CA5A6D"/>
    <w:rsid w:val="00CB4B9A"/>
    <w:rsid w:val="00CB60D7"/>
    <w:rsid w:val="00CC2DA9"/>
    <w:rsid w:val="00CC70E9"/>
    <w:rsid w:val="00CD5BC9"/>
    <w:rsid w:val="00CD6E18"/>
    <w:rsid w:val="00CE6365"/>
    <w:rsid w:val="00CF2BCF"/>
    <w:rsid w:val="00D03938"/>
    <w:rsid w:val="00D14959"/>
    <w:rsid w:val="00D14C5A"/>
    <w:rsid w:val="00D14F80"/>
    <w:rsid w:val="00D16540"/>
    <w:rsid w:val="00D2540C"/>
    <w:rsid w:val="00D40F26"/>
    <w:rsid w:val="00D56B8F"/>
    <w:rsid w:val="00D73A64"/>
    <w:rsid w:val="00D84083"/>
    <w:rsid w:val="00D94863"/>
    <w:rsid w:val="00D94D8F"/>
    <w:rsid w:val="00D95DF3"/>
    <w:rsid w:val="00DB0D21"/>
    <w:rsid w:val="00DD25FD"/>
    <w:rsid w:val="00DD44D8"/>
    <w:rsid w:val="00DD4D90"/>
    <w:rsid w:val="00DE7CC2"/>
    <w:rsid w:val="00DF0887"/>
    <w:rsid w:val="00E07FB0"/>
    <w:rsid w:val="00E145D5"/>
    <w:rsid w:val="00E35A23"/>
    <w:rsid w:val="00E410D5"/>
    <w:rsid w:val="00E44E50"/>
    <w:rsid w:val="00E44EC1"/>
    <w:rsid w:val="00E538C3"/>
    <w:rsid w:val="00E562D6"/>
    <w:rsid w:val="00E61737"/>
    <w:rsid w:val="00E913FD"/>
    <w:rsid w:val="00EA680F"/>
    <w:rsid w:val="00EB1C5F"/>
    <w:rsid w:val="00EC49B6"/>
    <w:rsid w:val="00EC7338"/>
    <w:rsid w:val="00ED6A7A"/>
    <w:rsid w:val="00EE5DE3"/>
    <w:rsid w:val="00F11EAE"/>
    <w:rsid w:val="00F13485"/>
    <w:rsid w:val="00F1612A"/>
    <w:rsid w:val="00F17CC8"/>
    <w:rsid w:val="00F20C04"/>
    <w:rsid w:val="00F31E2F"/>
    <w:rsid w:val="00F3286C"/>
    <w:rsid w:val="00F40A20"/>
    <w:rsid w:val="00F600C8"/>
    <w:rsid w:val="00F66592"/>
    <w:rsid w:val="00F66766"/>
    <w:rsid w:val="00F701C5"/>
    <w:rsid w:val="00F7436C"/>
    <w:rsid w:val="00F77903"/>
    <w:rsid w:val="00F80349"/>
    <w:rsid w:val="00F8042C"/>
    <w:rsid w:val="00F8340D"/>
    <w:rsid w:val="00F85524"/>
    <w:rsid w:val="00F908D4"/>
    <w:rsid w:val="00F97A80"/>
    <w:rsid w:val="00FA104C"/>
    <w:rsid w:val="00FA1AC5"/>
    <w:rsid w:val="00FA791C"/>
    <w:rsid w:val="00FB5B5C"/>
    <w:rsid w:val="00FC20AE"/>
    <w:rsid w:val="00FD04BF"/>
    <w:rsid w:val="00FD2CB6"/>
    <w:rsid w:val="00FF55EB"/>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38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contextualSpacing/>
    </w:pPr>
  </w:style>
  <w:style w:type="paragraph" w:styleId="FootnoteText">
    <w:name w:val="footnote text"/>
    <w:basedOn w:val="Normal"/>
    <w:link w:val="FootnoteTextChar"/>
    <w:uiPriority w:val="99"/>
    <w:semiHidden/>
    <w:unhideWhenUsed/>
    <w:rsid w:val="008E77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styleId="UnresolvedMention">
    <w:name w:val="Unresolved Mention"/>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pPr>
      <w:spacing w:line="240" w:lineRule="auto"/>
    </w:pPr>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uspto.gov/web/offices/pac/mpep/mpep-0020-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CD6FF-71A0-4F0E-8FD6-573CDFFE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4876</Characters>
  <Application>Microsoft Office Word</Application>
  <DocSecurity>0</DocSecurity>
  <Lines>70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2</cp:revision>
  <dcterms:created xsi:type="dcterms:W3CDTF">2018-11-18T02:42:00Z</dcterms:created>
  <dcterms:modified xsi:type="dcterms:W3CDTF">2018-11-18T02:42:00Z</dcterms:modified>
</cp:coreProperties>
</file>