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B03F44"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B03F44"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B03F44"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commentRangeStart w:id="0"/>
      <w:r w:rsidRPr="00D831F7">
        <w:rPr>
          <w:color w:val="auto"/>
        </w:rPr>
        <w:t>Student’s Anonymous Identifier</w:t>
      </w:r>
      <w:commentRangeEnd w:id="0"/>
      <w:r w:rsidR="00C0528C">
        <w:rPr>
          <w:rStyle w:val="CommentReference"/>
          <w:rFonts w:cstheme="minorBidi"/>
          <w:color w:val="auto"/>
        </w:rPr>
        <w:commentReference w:id="0"/>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20DCDFA5" w:rsidR="00815C2F" w:rsidRDefault="00DD4517">
          <w:pPr>
            <w:pStyle w:val="TOCHeading"/>
          </w:pPr>
          <w:r>
            <w:t>TABLE OF CONTENTS</w:t>
          </w:r>
        </w:p>
        <w:p w14:paraId="0475C1FE" w14:textId="77777777" w:rsidR="00DD4517" w:rsidRPr="00DD4517" w:rsidRDefault="00DD4517" w:rsidP="00DD4517"/>
        <w:p w14:paraId="37278D1C" w14:textId="30818F69" w:rsidR="00151D1F"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470349" w:history="1">
            <w:r w:rsidR="00151D1F" w:rsidRPr="005532BA">
              <w:rPr>
                <w:rStyle w:val="Hyperlink"/>
                <w:noProof/>
              </w:rPr>
              <w:t>TABLE OF AUTHORITIES</w:t>
            </w:r>
            <w:r w:rsidR="00151D1F">
              <w:rPr>
                <w:noProof/>
                <w:webHidden/>
              </w:rPr>
              <w:tab/>
            </w:r>
            <w:r w:rsidR="00151D1F">
              <w:rPr>
                <w:noProof/>
                <w:webHidden/>
              </w:rPr>
              <w:fldChar w:fldCharType="begin"/>
            </w:r>
            <w:r w:rsidR="00151D1F">
              <w:rPr>
                <w:noProof/>
                <w:webHidden/>
              </w:rPr>
              <w:instrText xml:space="preserve"> PAGEREF _Toc509470349 \h </w:instrText>
            </w:r>
            <w:r w:rsidR="00151D1F">
              <w:rPr>
                <w:noProof/>
                <w:webHidden/>
              </w:rPr>
            </w:r>
            <w:r w:rsidR="00151D1F">
              <w:rPr>
                <w:noProof/>
                <w:webHidden/>
              </w:rPr>
              <w:fldChar w:fldCharType="separate"/>
            </w:r>
            <w:r w:rsidR="006079DA">
              <w:rPr>
                <w:noProof/>
                <w:webHidden/>
              </w:rPr>
              <w:t>i</w:t>
            </w:r>
            <w:r w:rsidR="00151D1F">
              <w:rPr>
                <w:noProof/>
                <w:webHidden/>
              </w:rPr>
              <w:fldChar w:fldCharType="end"/>
            </w:r>
          </w:hyperlink>
        </w:p>
        <w:p w14:paraId="035D4A69" w14:textId="62C51308" w:rsidR="00151D1F" w:rsidRDefault="00B03F44">
          <w:pPr>
            <w:pStyle w:val="TOC1"/>
            <w:rPr>
              <w:rFonts w:asciiTheme="minorHAnsi" w:eastAsiaTheme="minorEastAsia" w:hAnsiTheme="minorHAnsi"/>
              <w:noProof/>
              <w:sz w:val="22"/>
            </w:rPr>
          </w:pPr>
          <w:hyperlink w:anchor="_Toc509470350" w:history="1">
            <w:r w:rsidR="00151D1F" w:rsidRPr="005532BA">
              <w:rPr>
                <w:rStyle w:val="Hyperlink"/>
                <w:rFonts w:cs="Times New Roman"/>
                <w:noProof/>
              </w:rPr>
              <w:t>STATEMENT OF JURISDICTION</w:t>
            </w:r>
            <w:r w:rsidR="00151D1F">
              <w:rPr>
                <w:noProof/>
                <w:webHidden/>
              </w:rPr>
              <w:tab/>
            </w:r>
            <w:r w:rsidR="00151D1F">
              <w:rPr>
                <w:noProof/>
                <w:webHidden/>
              </w:rPr>
              <w:fldChar w:fldCharType="begin"/>
            </w:r>
            <w:r w:rsidR="00151D1F">
              <w:rPr>
                <w:noProof/>
                <w:webHidden/>
              </w:rPr>
              <w:instrText xml:space="preserve"> PAGEREF _Toc509470350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2CFC4C74" w14:textId="4177CDE6" w:rsidR="00151D1F" w:rsidRDefault="00B03F44">
          <w:pPr>
            <w:pStyle w:val="TOC1"/>
            <w:rPr>
              <w:rFonts w:asciiTheme="minorHAnsi" w:eastAsiaTheme="minorEastAsia" w:hAnsiTheme="minorHAnsi"/>
              <w:noProof/>
              <w:sz w:val="22"/>
            </w:rPr>
          </w:pPr>
          <w:hyperlink w:anchor="_Toc509470351" w:history="1">
            <w:r w:rsidR="00151D1F" w:rsidRPr="005532BA">
              <w:rPr>
                <w:rStyle w:val="Hyperlink"/>
                <w:rFonts w:cs="Times New Roman"/>
                <w:noProof/>
              </w:rPr>
              <w:t>STATEMENT OF THE ISSUES</w:t>
            </w:r>
            <w:r w:rsidR="00151D1F">
              <w:rPr>
                <w:noProof/>
                <w:webHidden/>
              </w:rPr>
              <w:tab/>
            </w:r>
            <w:r w:rsidR="00151D1F">
              <w:rPr>
                <w:noProof/>
                <w:webHidden/>
              </w:rPr>
              <w:fldChar w:fldCharType="begin"/>
            </w:r>
            <w:r w:rsidR="00151D1F">
              <w:rPr>
                <w:noProof/>
                <w:webHidden/>
              </w:rPr>
              <w:instrText xml:space="preserve"> PAGEREF _Toc509470351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660DBB5B" w14:textId="4D8D586F" w:rsidR="00151D1F" w:rsidRDefault="00B03F44">
          <w:pPr>
            <w:pStyle w:val="TOC1"/>
            <w:rPr>
              <w:rFonts w:asciiTheme="minorHAnsi" w:eastAsiaTheme="minorEastAsia" w:hAnsiTheme="minorHAnsi"/>
              <w:noProof/>
              <w:sz w:val="22"/>
            </w:rPr>
          </w:pPr>
          <w:hyperlink w:anchor="_Toc509470352" w:history="1">
            <w:r w:rsidR="00151D1F" w:rsidRPr="005532BA">
              <w:rPr>
                <w:rStyle w:val="Hyperlink"/>
                <w:rFonts w:cs="Times New Roman"/>
                <w:noProof/>
              </w:rPr>
              <w:t>STATEMENT OF THE CASE</w:t>
            </w:r>
            <w:r w:rsidR="00151D1F">
              <w:rPr>
                <w:noProof/>
                <w:webHidden/>
              </w:rPr>
              <w:tab/>
            </w:r>
            <w:r w:rsidR="00151D1F">
              <w:rPr>
                <w:noProof/>
                <w:webHidden/>
              </w:rPr>
              <w:fldChar w:fldCharType="begin"/>
            </w:r>
            <w:r w:rsidR="00151D1F">
              <w:rPr>
                <w:noProof/>
                <w:webHidden/>
              </w:rPr>
              <w:instrText xml:space="preserve"> PAGEREF _Toc509470352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37D97B42" w14:textId="39741454" w:rsidR="00151D1F" w:rsidRDefault="00B03F44">
          <w:pPr>
            <w:pStyle w:val="TOC1"/>
            <w:rPr>
              <w:rFonts w:asciiTheme="minorHAnsi" w:eastAsiaTheme="minorEastAsia" w:hAnsiTheme="minorHAnsi"/>
              <w:noProof/>
              <w:sz w:val="22"/>
            </w:rPr>
          </w:pPr>
          <w:hyperlink w:anchor="_Toc509470353" w:history="1">
            <w:r w:rsidR="00151D1F" w:rsidRPr="005532BA">
              <w:rPr>
                <w:rStyle w:val="Hyperlink"/>
                <w:rFonts w:cs="Times New Roman"/>
                <w:noProof/>
              </w:rPr>
              <w:t>STATEMENT OF FACTS</w:t>
            </w:r>
            <w:r w:rsidR="00151D1F">
              <w:rPr>
                <w:noProof/>
                <w:webHidden/>
              </w:rPr>
              <w:tab/>
            </w:r>
            <w:r w:rsidR="00151D1F">
              <w:rPr>
                <w:noProof/>
                <w:webHidden/>
              </w:rPr>
              <w:fldChar w:fldCharType="begin"/>
            </w:r>
            <w:r w:rsidR="00151D1F">
              <w:rPr>
                <w:noProof/>
                <w:webHidden/>
              </w:rPr>
              <w:instrText xml:space="preserve"> PAGEREF _Toc509470353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2D5A6DB7" w14:textId="75755201" w:rsidR="00151D1F" w:rsidRDefault="00B03F44">
          <w:pPr>
            <w:pStyle w:val="TOC1"/>
            <w:rPr>
              <w:rFonts w:asciiTheme="minorHAnsi" w:eastAsiaTheme="minorEastAsia" w:hAnsiTheme="minorHAnsi"/>
              <w:noProof/>
              <w:sz w:val="22"/>
            </w:rPr>
          </w:pPr>
          <w:hyperlink w:anchor="_Toc509470354" w:history="1">
            <w:r w:rsidR="00151D1F" w:rsidRPr="005532BA">
              <w:rPr>
                <w:rStyle w:val="Hyperlink"/>
                <w:rFonts w:cs="Times New Roman"/>
                <w:noProof/>
              </w:rPr>
              <w:t>SUMMARY OF THE ARGUMENT</w:t>
            </w:r>
            <w:r w:rsidR="00151D1F">
              <w:rPr>
                <w:noProof/>
                <w:webHidden/>
              </w:rPr>
              <w:tab/>
            </w:r>
            <w:r w:rsidR="00151D1F">
              <w:rPr>
                <w:noProof/>
                <w:webHidden/>
              </w:rPr>
              <w:fldChar w:fldCharType="begin"/>
            </w:r>
            <w:r w:rsidR="00151D1F">
              <w:rPr>
                <w:noProof/>
                <w:webHidden/>
              </w:rPr>
              <w:instrText xml:space="preserve"> PAGEREF _Toc509470354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012FDE0D" w14:textId="63C523FF" w:rsidR="00151D1F" w:rsidRDefault="00B03F44">
          <w:pPr>
            <w:pStyle w:val="TOC1"/>
            <w:rPr>
              <w:rFonts w:asciiTheme="minorHAnsi" w:eastAsiaTheme="minorEastAsia" w:hAnsiTheme="minorHAnsi"/>
              <w:noProof/>
              <w:sz w:val="22"/>
            </w:rPr>
          </w:pPr>
          <w:hyperlink w:anchor="_Toc509470355" w:history="1">
            <w:r w:rsidR="00151D1F" w:rsidRPr="005532BA">
              <w:rPr>
                <w:rStyle w:val="Hyperlink"/>
                <w:rFonts w:cs="Times New Roman"/>
                <w:noProof/>
              </w:rPr>
              <w:t>ARGUMENT</w:t>
            </w:r>
            <w:r w:rsidR="00151D1F">
              <w:rPr>
                <w:noProof/>
                <w:webHidden/>
              </w:rPr>
              <w:tab/>
            </w:r>
            <w:r w:rsidR="00151D1F">
              <w:rPr>
                <w:noProof/>
                <w:webHidden/>
              </w:rPr>
              <w:fldChar w:fldCharType="begin"/>
            </w:r>
            <w:r w:rsidR="00151D1F">
              <w:rPr>
                <w:noProof/>
                <w:webHidden/>
              </w:rPr>
              <w:instrText xml:space="preserve"> PAGEREF _Toc509470355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246640A9" w14:textId="0EE7C248" w:rsidR="00151D1F" w:rsidRDefault="00B03F44">
          <w:pPr>
            <w:pStyle w:val="TOC2"/>
            <w:rPr>
              <w:rFonts w:asciiTheme="minorHAnsi" w:eastAsiaTheme="minorEastAsia" w:hAnsiTheme="minorHAnsi"/>
              <w:noProof/>
              <w:sz w:val="22"/>
            </w:rPr>
          </w:pPr>
          <w:hyperlink w:anchor="_Toc509470356" w:history="1">
            <w:r w:rsidR="00151D1F" w:rsidRPr="005532BA">
              <w:rPr>
                <w:rStyle w:val="Hyperlink"/>
                <w:rFonts w:cs="Times New Roman"/>
                <w:noProof/>
              </w:rPr>
              <w:t>I.</w:t>
            </w:r>
            <w:r w:rsidR="00151D1F">
              <w:rPr>
                <w:rFonts w:asciiTheme="minorHAnsi" w:eastAsiaTheme="minorEastAsia" w:hAnsiTheme="minorHAnsi"/>
                <w:noProof/>
                <w:sz w:val="22"/>
              </w:rPr>
              <w:tab/>
            </w:r>
            <w:r w:rsidR="00151D1F" w:rsidRPr="005532BA">
              <w:rPr>
                <w:rStyle w:val="Hyperlink"/>
                <w:rFonts w:cs="Times New Roman"/>
                <w:noProof/>
              </w:rPr>
              <w:t>SSS RETALIATED AGAINST MR. HERNANDEZ BY TERMINATING HIS EMPLOYMENT AND PROVIDING A NEGATIVE REFERENCE TWO WEEKS AND UNDER THREE MONTHS RESPECTIVELY AFTER FILING AN EEOC COMPLAINT AND ITS REASONS FOR TERMINATION WERE INCONSISTENT.</w:t>
            </w:r>
            <w:r w:rsidR="00151D1F">
              <w:rPr>
                <w:noProof/>
                <w:webHidden/>
              </w:rPr>
              <w:tab/>
            </w:r>
            <w:r w:rsidR="00151D1F">
              <w:rPr>
                <w:noProof/>
                <w:webHidden/>
              </w:rPr>
              <w:fldChar w:fldCharType="begin"/>
            </w:r>
            <w:r w:rsidR="00151D1F">
              <w:rPr>
                <w:noProof/>
                <w:webHidden/>
              </w:rPr>
              <w:instrText xml:space="preserve"> PAGEREF _Toc509470356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01CB661F" w14:textId="79E3053D" w:rsidR="00151D1F" w:rsidRDefault="00B03F44">
          <w:pPr>
            <w:pStyle w:val="TOC3"/>
            <w:rPr>
              <w:rFonts w:asciiTheme="minorHAnsi" w:eastAsiaTheme="minorEastAsia" w:hAnsiTheme="minorHAnsi"/>
              <w:noProof/>
              <w:sz w:val="22"/>
            </w:rPr>
          </w:pPr>
          <w:hyperlink w:anchor="_Toc509470357" w:history="1">
            <w:r w:rsidR="00151D1F" w:rsidRPr="005532BA">
              <w:rPr>
                <w:rStyle w:val="Hyperlink"/>
                <w:rFonts w:cs="Times New Roman"/>
                <w:noProof/>
              </w:rPr>
              <w:t>A.</w:t>
            </w:r>
            <w:r w:rsidR="00151D1F">
              <w:rPr>
                <w:rFonts w:asciiTheme="minorHAnsi" w:eastAsiaTheme="minorEastAsia" w:hAnsiTheme="minorHAnsi"/>
                <w:noProof/>
                <w:sz w:val="22"/>
              </w:rPr>
              <w:tab/>
            </w:r>
            <w:r w:rsidR="00151D1F" w:rsidRPr="005532BA">
              <w:rPr>
                <w:rStyle w:val="Hyperlink"/>
                <w:rFonts w:cs="Times New Roman"/>
                <w:noProof/>
              </w:rPr>
              <w:t xml:space="preserve">SSS Committed Adverse Employment Action Against Mr. Hernandez by Terminating His Employment, and by Providing a Reference that Contributed to E Building Solutions Not Employing Mr. Hernandez. </w:t>
            </w:r>
            <w:r w:rsidR="00151D1F">
              <w:rPr>
                <w:noProof/>
                <w:webHidden/>
              </w:rPr>
              <w:tab/>
            </w:r>
            <w:r w:rsidR="00151D1F">
              <w:rPr>
                <w:noProof/>
                <w:webHidden/>
              </w:rPr>
              <w:fldChar w:fldCharType="begin"/>
            </w:r>
            <w:r w:rsidR="00151D1F">
              <w:rPr>
                <w:noProof/>
                <w:webHidden/>
              </w:rPr>
              <w:instrText xml:space="preserve"> PAGEREF _Toc509470357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73196041" w14:textId="42BE95EE" w:rsidR="00151D1F" w:rsidRDefault="00B03F44">
          <w:pPr>
            <w:pStyle w:val="TOC3"/>
            <w:rPr>
              <w:rFonts w:asciiTheme="minorHAnsi" w:eastAsiaTheme="minorEastAsia" w:hAnsiTheme="minorHAnsi"/>
              <w:noProof/>
              <w:sz w:val="22"/>
            </w:rPr>
          </w:pPr>
          <w:hyperlink w:anchor="_Toc509470358" w:history="1">
            <w:r w:rsidR="00151D1F" w:rsidRPr="005532BA">
              <w:rPr>
                <w:rStyle w:val="Hyperlink"/>
                <w:rFonts w:cs="Times New Roman"/>
                <w:noProof/>
              </w:rPr>
              <w:t>B.</w:t>
            </w:r>
            <w:r w:rsidR="00151D1F">
              <w:rPr>
                <w:rFonts w:asciiTheme="minorHAnsi" w:eastAsiaTheme="minorEastAsia" w:hAnsiTheme="minorHAnsi"/>
                <w:noProof/>
                <w:sz w:val="22"/>
              </w:rPr>
              <w:tab/>
            </w:r>
            <w:r w:rsidR="00151D1F" w:rsidRPr="005532BA">
              <w:rPr>
                <w:rStyle w:val="Hyperlink"/>
                <w:rFonts w:cs="Times New Roman"/>
                <w:noProof/>
              </w:rPr>
              <w:t xml:space="preserve">The Termination and Negative Reference Have a Causal Connection to the EEOC Filing Because the Termination Occurred Two Weeks After, and the Negative Reference Occurred Less Than Three Months Later and is Supported by Inconsistent Behavior From SSS. </w:t>
            </w:r>
            <w:r w:rsidR="00151D1F">
              <w:rPr>
                <w:noProof/>
                <w:webHidden/>
              </w:rPr>
              <w:tab/>
            </w:r>
            <w:r w:rsidR="00151D1F">
              <w:rPr>
                <w:noProof/>
                <w:webHidden/>
              </w:rPr>
              <w:fldChar w:fldCharType="begin"/>
            </w:r>
            <w:r w:rsidR="00151D1F">
              <w:rPr>
                <w:noProof/>
                <w:webHidden/>
              </w:rPr>
              <w:instrText xml:space="preserve"> PAGEREF _Toc509470358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2F8E8D86" w14:textId="779519E4" w:rsidR="00151D1F" w:rsidRDefault="00B03F44">
          <w:pPr>
            <w:pStyle w:val="TOC3"/>
            <w:rPr>
              <w:rFonts w:asciiTheme="minorHAnsi" w:eastAsiaTheme="minorEastAsia" w:hAnsiTheme="minorHAnsi"/>
              <w:noProof/>
              <w:sz w:val="22"/>
            </w:rPr>
          </w:pPr>
          <w:hyperlink w:anchor="_Toc509470359" w:history="1">
            <w:r w:rsidR="00151D1F" w:rsidRPr="005532BA">
              <w:rPr>
                <w:rStyle w:val="Hyperlink"/>
                <w:rFonts w:cs="Times New Roman"/>
                <w:noProof/>
              </w:rPr>
              <w:t>C.</w:t>
            </w:r>
            <w:r w:rsidR="00151D1F">
              <w:rPr>
                <w:rFonts w:asciiTheme="minorHAnsi" w:eastAsiaTheme="minorEastAsia" w:hAnsiTheme="minorHAnsi"/>
                <w:noProof/>
                <w:sz w:val="22"/>
              </w:rPr>
              <w:tab/>
            </w:r>
            <w:r w:rsidR="00151D1F" w:rsidRPr="005532BA">
              <w:rPr>
                <w:rStyle w:val="Hyperlink"/>
                <w:rFonts w:cs="Times New Roman"/>
                <w:noProof/>
              </w:rPr>
              <w:t>SSS’s Reasons for Termination and the Negative Reference are Pretext Because They are Inconsistent and Do Not Suggest SSS Followed Policy, Thus Strengthening the Causal Connection Between the Protected Activity and Adverse Action.</w:t>
            </w:r>
            <w:r w:rsidR="00151D1F">
              <w:rPr>
                <w:noProof/>
                <w:webHidden/>
              </w:rPr>
              <w:tab/>
            </w:r>
            <w:r w:rsidR="00151D1F">
              <w:rPr>
                <w:noProof/>
                <w:webHidden/>
              </w:rPr>
              <w:fldChar w:fldCharType="begin"/>
            </w:r>
            <w:r w:rsidR="00151D1F">
              <w:rPr>
                <w:noProof/>
                <w:webHidden/>
              </w:rPr>
              <w:instrText xml:space="preserve"> PAGEREF _Toc509470359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0AD80FD8" w14:textId="16B70BA8" w:rsidR="00151D1F" w:rsidRDefault="00B03F44">
          <w:pPr>
            <w:pStyle w:val="TOC2"/>
            <w:rPr>
              <w:rFonts w:asciiTheme="minorHAnsi" w:eastAsiaTheme="minorEastAsia" w:hAnsiTheme="minorHAnsi"/>
              <w:noProof/>
              <w:sz w:val="22"/>
            </w:rPr>
          </w:pPr>
          <w:hyperlink w:anchor="_Toc509470360" w:history="1">
            <w:r w:rsidR="00151D1F" w:rsidRPr="005532BA">
              <w:rPr>
                <w:rStyle w:val="Hyperlink"/>
                <w:rFonts w:cs="Times New Roman"/>
                <w:noProof/>
              </w:rPr>
              <w:t>II.</w:t>
            </w:r>
            <w:r w:rsidR="00151D1F">
              <w:rPr>
                <w:rFonts w:asciiTheme="minorHAnsi" w:eastAsiaTheme="minorEastAsia" w:hAnsiTheme="minorHAnsi"/>
                <w:noProof/>
                <w:sz w:val="22"/>
              </w:rPr>
              <w:tab/>
            </w:r>
            <w:r w:rsidR="00151D1F" w:rsidRPr="005532BA">
              <w:rPr>
                <w:rStyle w:val="Hyperlink"/>
                <w:rFonts w:cs="Times New Roman"/>
                <w:noProof/>
              </w:rPr>
              <w:t>SSS DRIMINATED AGAINST MR. HERNANDEZ BECAUSE IT HAD KNOWLEDGE OF HIS DISABILITY, HIS REQUEST FOR ACCOMMODATION WAS REASONABLE AND WAS DENIED, AND WOULD NOT HAVE IMPOSED UNDUE HARDSHIP.</w:t>
            </w:r>
            <w:r w:rsidR="00151D1F">
              <w:rPr>
                <w:noProof/>
                <w:webHidden/>
              </w:rPr>
              <w:tab/>
            </w:r>
            <w:r w:rsidR="00151D1F">
              <w:rPr>
                <w:noProof/>
                <w:webHidden/>
              </w:rPr>
              <w:fldChar w:fldCharType="begin"/>
            </w:r>
            <w:r w:rsidR="00151D1F">
              <w:rPr>
                <w:noProof/>
                <w:webHidden/>
              </w:rPr>
              <w:instrText xml:space="preserve"> PAGEREF _Toc509470360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1DE493DC" w14:textId="48EA4281" w:rsidR="00151D1F" w:rsidRDefault="00B03F44">
          <w:pPr>
            <w:pStyle w:val="TOC3"/>
            <w:rPr>
              <w:rFonts w:asciiTheme="minorHAnsi" w:eastAsiaTheme="minorEastAsia" w:hAnsiTheme="minorHAnsi"/>
              <w:noProof/>
              <w:sz w:val="22"/>
            </w:rPr>
          </w:pPr>
          <w:hyperlink w:anchor="_Toc509470361" w:history="1">
            <w:r w:rsidR="00151D1F" w:rsidRPr="005532BA">
              <w:rPr>
                <w:rStyle w:val="Hyperlink"/>
                <w:rFonts w:cs="Times New Roman"/>
                <w:noProof/>
              </w:rPr>
              <w:t>A.</w:t>
            </w:r>
            <w:r w:rsidR="00151D1F">
              <w:rPr>
                <w:rFonts w:asciiTheme="minorHAnsi" w:eastAsiaTheme="minorEastAsia" w:hAnsiTheme="minorHAnsi"/>
                <w:noProof/>
                <w:sz w:val="22"/>
              </w:rPr>
              <w:tab/>
            </w:r>
            <w:r w:rsidR="00151D1F" w:rsidRPr="005532BA">
              <w:rPr>
                <w:rStyle w:val="Hyperlink"/>
                <w:rFonts w:cs="Times New Roman"/>
                <w:noProof/>
              </w:rPr>
              <w:t xml:space="preserve">Mr. Hernandez Is Disabled Because Normal Cell Growth, Seeing, Concentrating, and Interacting with Others Are Major Life Activities That Are Impaired by Cancer, and SSS Had Knowledge of These Impairments as He Told His Supervisor About Them and His Potential Diagnosis. </w:t>
            </w:r>
            <w:r w:rsidR="00151D1F">
              <w:rPr>
                <w:noProof/>
                <w:webHidden/>
              </w:rPr>
              <w:tab/>
            </w:r>
            <w:r w:rsidR="00151D1F">
              <w:rPr>
                <w:noProof/>
                <w:webHidden/>
              </w:rPr>
              <w:fldChar w:fldCharType="begin"/>
            </w:r>
            <w:r w:rsidR="00151D1F">
              <w:rPr>
                <w:noProof/>
                <w:webHidden/>
              </w:rPr>
              <w:instrText xml:space="preserve"> PAGEREF _Toc509470361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65090FD9" w14:textId="2EF52050" w:rsidR="00151D1F" w:rsidRDefault="00B03F44">
          <w:pPr>
            <w:pStyle w:val="TOC3"/>
            <w:rPr>
              <w:rFonts w:asciiTheme="minorHAnsi" w:eastAsiaTheme="minorEastAsia" w:hAnsiTheme="minorHAnsi"/>
              <w:noProof/>
              <w:sz w:val="22"/>
            </w:rPr>
          </w:pPr>
          <w:hyperlink w:anchor="_Toc509470362" w:history="1">
            <w:r w:rsidR="00151D1F" w:rsidRPr="005532BA">
              <w:rPr>
                <w:rStyle w:val="Hyperlink"/>
                <w:rFonts w:cs="Times New Roman"/>
                <w:noProof/>
              </w:rPr>
              <w:t>B.</w:t>
            </w:r>
            <w:r w:rsidR="00151D1F">
              <w:rPr>
                <w:rFonts w:asciiTheme="minorHAnsi" w:eastAsiaTheme="minorEastAsia" w:hAnsiTheme="minorHAnsi"/>
                <w:noProof/>
                <w:sz w:val="22"/>
              </w:rPr>
              <w:tab/>
            </w:r>
            <w:r w:rsidR="00151D1F" w:rsidRPr="005532BA">
              <w:rPr>
                <w:rStyle w:val="Hyperlink"/>
                <w:rFonts w:cs="Times New Roman"/>
                <w:noProof/>
              </w:rPr>
              <w:t xml:space="preserve">Mr. Hernandez’s Request for a Modified Schedule Was a Plausibly Reasonable Request for Accommodations Because He Told His Employer of His Symptoms, Possible Diagnosis and Future Medical Appointments, Being as Specific as He Was Able. </w:t>
            </w:r>
            <w:r w:rsidR="00151D1F">
              <w:rPr>
                <w:noProof/>
                <w:webHidden/>
              </w:rPr>
              <w:tab/>
            </w:r>
            <w:r w:rsidR="00151D1F">
              <w:rPr>
                <w:noProof/>
                <w:webHidden/>
              </w:rPr>
              <w:fldChar w:fldCharType="begin"/>
            </w:r>
            <w:r w:rsidR="00151D1F">
              <w:rPr>
                <w:noProof/>
                <w:webHidden/>
              </w:rPr>
              <w:instrText xml:space="preserve"> PAGEREF _Toc509470362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27B1E920" w14:textId="56AE1484" w:rsidR="00151D1F" w:rsidRDefault="00B03F44">
          <w:pPr>
            <w:pStyle w:val="TOC3"/>
            <w:rPr>
              <w:rFonts w:asciiTheme="minorHAnsi" w:eastAsiaTheme="minorEastAsia" w:hAnsiTheme="minorHAnsi"/>
              <w:noProof/>
              <w:sz w:val="22"/>
            </w:rPr>
          </w:pPr>
          <w:hyperlink w:anchor="_Toc509470363" w:history="1">
            <w:r w:rsidR="00151D1F" w:rsidRPr="005532BA">
              <w:rPr>
                <w:rStyle w:val="Hyperlink"/>
                <w:rFonts w:cs="Times New Roman"/>
                <w:noProof/>
              </w:rPr>
              <w:t>C.</w:t>
            </w:r>
            <w:r w:rsidR="00151D1F">
              <w:rPr>
                <w:rFonts w:asciiTheme="minorHAnsi" w:eastAsiaTheme="minorEastAsia" w:hAnsiTheme="minorHAnsi"/>
                <w:noProof/>
                <w:sz w:val="22"/>
              </w:rPr>
              <w:tab/>
            </w:r>
            <w:r w:rsidR="00151D1F" w:rsidRPr="005532BA">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with the Modified Schedule.</w:t>
            </w:r>
            <w:r w:rsidR="00151D1F">
              <w:rPr>
                <w:noProof/>
                <w:webHidden/>
              </w:rPr>
              <w:tab/>
            </w:r>
            <w:r w:rsidR="00151D1F">
              <w:rPr>
                <w:noProof/>
                <w:webHidden/>
              </w:rPr>
              <w:fldChar w:fldCharType="begin"/>
            </w:r>
            <w:r w:rsidR="00151D1F">
              <w:rPr>
                <w:noProof/>
                <w:webHidden/>
              </w:rPr>
              <w:instrText xml:space="preserve"> PAGEREF _Toc509470363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6F493CAD" w14:textId="4F37B914" w:rsidR="00151D1F" w:rsidRDefault="00B03F44">
          <w:pPr>
            <w:pStyle w:val="TOC1"/>
            <w:rPr>
              <w:rFonts w:asciiTheme="minorHAnsi" w:eastAsiaTheme="minorEastAsia" w:hAnsiTheme="minorHAnsi"/>
              <w:noProof/>
              <w:sz w:val="22"/>
            </w:rPr>
          </w:pPr>
          <w:hyperlink w:anchor="_Toc509470364" w:history="1">
            <w:r w:rsidR="00151D1F" w:rsidRPr="005532BA">
              <w:rPr>
                <w:rStyle w:val="Hyperlink"/>
                <w:noProof/>
              </w:rPr>
              <w:t>CONCLUSION</w:t>
            </w:r>
            <w:r w:rsidR="00151D1F">
              <w:rPr>
                <w:noProof/>
                <w:webHidden/>
              </w:rPr>
              <w:tab/>
            </w:r>
            <w:r w:rsidR="00151D1F">
              <w:rPr>
                <w:noProof/>
                <w:webHidden/>
              </w:rPr>
              <w:fldChar w:fldCharType="begin"/>
            </w:r>
            <w:r w:rsidR="00151D1F">
              <w:rPr>
                <w:noProof/>
                <w:webHidden/>
              </w:rPr>
              <w:instrText xml:space="preserve"> PAGEREF _Toc509470364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67A9A0B2" w14:textId="28E4E1E5" w:rsidR="00151D1F" w:rsidRDefault="00B03F44">
          <w:pPr>
            <w:pStyle w:val="TOC1"/>
            <w:rPr>
              <w:rFonts w:asciiTheme="minorHAnsi" w:eastAsiaTheme="minorEastAsia" w:hAnsiTheme="minorHAnsi"/>
              <w:noProof/>
              <w:sz w:val="22"/>
            </w:rPr>
          </w:pPr>
          <w:hyperlink w:anchor="_Toc509470365" w:history="1">
            <w:r w:rsidR="00151D1F" w:rsidRPr="005532BA">
              <w:rPr>
                <w:rStyle w:val="Hyperlink"/>
                <w:noProof/>
              </w:rPr>
              <w:t>CERTIFICATE OF COMPLIANCE</w:t>
            </w:r>
            <w:r w:rsidR="00151D1F">
              <w:rPr>
                <w:noProof/>
                <w:webHidden/>
              </w:rPr>
              <w:tab/>
            </w:r>
            <w:r w:rsidR="00151D1F">
              <w:rPr>
                <w:noProof/>
                <w:webHidden/>
              </w:rPr>
              <w:fldChar w:fldCharType="begin"/>
            </w:r>
            <w:r w:rsidR="00151D1F">
              <w:rPr>
                <w:noProof/>
                <w:webHidden/>
              </w:rPr>
              <w:instrText xml:space="preserve"> PAGEREF _Toc509470365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7186C393" w14:textId="6CD235B4" w:rsidR="00151D1F" w:rsidRDefault="00B03F44">
          <w:pPr>
            <w:pStyle w:val="TOC1"/>
            <w:rPr>
              <w:rFonts w:asciiTheme="minorHAnsi" w:eastAsiaTheme="minorEastAsia" w:hAnsiTheme="minorHAnsi"/>
              <w:noProof/>
              <w:sz w:val="22"/>
            </w:rPr>
          </w:pPr>
          <w:hyperlink w:anchor="_Toc509470366" w:history="1">
            <w:r w:rsidR="00151D1F" w:rsidRPr="005532BA">
              <w:rPr>
                <w:rStyle w:val="Hyperlink"/>
                <w:noProof/>
              </w:rPr>
              <w:t>CERTIFICATE OF SERVICE</w:t>
            </w:r>
            <w:r w:rsidR="00151D1F">
              <w:rPr>
                <w:noProof/>
                <w:webHidden/>
              </w:rPr>
              <w:tab/>
            </w:r>
            <w:r w:rsidR="00151D1F">
              <w:rPr>
                <w:noProof/>
                <w:webHidden/>
              </w:rPr>
              <w:fldChar w:fldCharType="begin"/>
            </w:r>
            <w:r w:rsidR="00151D1F">
              <w:rPr>
                <w:noProof/>
                <w:webHidden/>
              </w:rPr>
              <w:instrText xml:space="preserve"> PAGEREF _Toc509470366 \h </w:instrText>
            </w:r>
            <w:r w:rsidR="00151D1F">
              <w:rPr>
                <w:noProof/>
                <w:webHidden/>
              </w:rPr>
            </w:r>
            <w:r w:rsidR="00151D1F">
              <w:rPr>
                <w:noProof/>
                <w:webHidden/>
              </w:rPr>
              <w:fldChar w:fldCharType="separate"/>
            </w:r>
            <w:r w:rsidR="006079DA">
              <w:rPr>
                <w:noProof/>
                <w:webHidden/>
              </w:rPr>
              <w:t>1</w:t>
            </w:r>
            <w:r w:rsidR="00151D1F">
              <w:rPr>
                <w:noProof/>
                <w:webHidden/>
              </w:rPr>
              <w:fldChar w:fldCharType="end"/>
            </w:r>
          </w:hyperlink>
        </w:p>
        <w:p w14:paraId="4A60D4B1" w14:textId="3D9C7B00" w:rsidR="00815C2F" w:rsidRDefault="00815C2F">
          <w:r>
            <w:rPr>
              <w:b/>
              <w:bCs/>
              <w:noProof/>
            </w:rPr>
            <w:fldChar w:fldCharType="end"/>
          </w:r>
        </w:p>
      </w:sdtContent>
    </w:sdt>
    <w:p w14:paraId="7976030F" w14:textId="7E5EAC1D" w:rsidR="00A67795" w:rsidRPr="00894EFF" w:rsidRDefault="00894EFF" w:rsidP="00B92EDE">
      <w:pPr>
        <w:pStyle w:val="Heading1"/>
        <w:ind w:firstLine="0"/>
      </w:pPr>
      <w:bookmarkStart w:id="1" w:name="_Toc509470349"/>
      <w:r w:rsidRPr="00894EFF">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2288B958" w:rsidR="00A30CB7" w:rsidRDefault="00A30CB7">
      <w:pPr>
        <w:pStyle w:val="TableofAuthorities"/>
        <w:tabs>
          <w:tab w:val="right" w:leader="dot" w:pos="9350"/>
        </w:tabs>
        <w:rPr>
          <w:noProof/>
        </w:rPr>
      </w:pPr>
      <w:r>
        <w:rPr>
          <w:noProof/>
        </w:rPr>
        <w:t>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30DDA4DB" w14:textId="38C8A8FF" w:rsidR="00CB57E6" w:rsidRPr="000E178C" w:rsidRDefault="00D01B0F" w:rsidP="00D476E0">
      <w:pPr>
        <w:pStyle w:val="Heading1"/>
        <w:ind w:firstLine="0"/>
        <w:rPr>
          <w:rFonts w:cs="Times New Roman"/>
          <w:szCs w:val="24"/>
        </w:rPr>
      </w:pPr>
      <w:bookmarkStart w:id="2" w:name="_Toc509470350"/>
      <w:r w:rsidRPr="000E178C">
        <w:rPr>
          <w:rFonts w:cs="Times New Roman"/>
          <w:szCs w:val="24"/>
        </w:rPr>
        <w:lastRenderedPageBreak/>
        <w:t>STATEMENT OF JURISDICTION</w:t>
      </w:r>
      <w:bookmarkEnd w:id="2"/>
    </w:p>
    <w:p w14:paraId="32A4355C" w14:textId="0C34D8E4" w:rsidR="00BC623A" w:rsidRPr="000E178C" w:rsidRDefault="00CA397A" w:rsidP="00917355">
      <w:pPr>
        <w:autoSpaceDE w:val="0"/>
        <w:autoSpaceDN w:val="0"/>
        <w:adjustRightInd w:val="0"/>
        <w:rPr>
          <w:rFonts w:cs="Times New Roman"/>
          <w:szCs w:val="24"/>
        </w:rPr>
      </w:pPr>
      <w:r w:rsidRPr="000E178C">
        <w:rPr>
          <w:rFonts w:cs="Times New Roman"/>
          <w:szCs w:val="24"/>
        </w:rPr>
        <w:t xml:space="preserve">The United States District Court </w:t>
      </w:r>
      <w:r w:rsidR="00E94E91" w:rsidRPr="000E178C">
        <w:rPr>
          <w:rFonts w:cs="Times New Roman"/>
          <w:szCs w:val="24"/>
        </w:rPr>
        <w:t>of Colorado</w:t>
      </w:r>
      <w:r w:rsidRPr="000E178C">
        <w:rPr>
          <w:rFonts w:cs="Times New Roman"/>
          <w:szCs w:val="24"/>
        </w:rPr>
        <w:t xml:space="preserve"> ha</w:t>
      </w:r>
      <w:r w:rsidR="00D02773">
        <w:rPr>
          <w:rFonts w:cs="Times New Roman"/>
          <w:szCs w:val="24"/>
        </w:rPr>
        <w:t>s</w:t>
      </w:r>
      <w:r w:rsidRPr="000E178C">
        <w:rPr>
          <w:rFonts w:cs="Times New Roman"/>
          <w:szCs w:val="24"/>
        </w:rPr>
        <w:t xml:space="preserve"> original jurisdiction</w:t>
      </w:r>
      <w:r w:rsidR="00917355" w:rsidRPr="000E178C">
        <w:rPr>
          <w:rFonts w:cs="Times New Roman"/>
          <w:szCs w:val="24"/>
        </w:rPr>
        <w:t xml:space="preserve"> </w:t>
      </w:r>
      <w:r w:rsidRPr="000E178C">
        <w:rPr>
          <w:rFonts w:cs="Times New Roman"/>
          <w:szCs w:val="24"/>
        </w:rPr>
        <w:t xml:space="preserve">over this case pursuant to </w:t>
      </w:r>
      <w:r w:rsidR="00AE1838" w:rsidRPr="000E178C">
        <w:rPr>
          <w:rFonts w:cs="Times New Roman"/>
          <w:szCs w:val="24"/>
        </w:rPr>
        <w:t>28 U.S.C</w:t>
      </w:r>
      <w:r w:rsidR="00AE1838" w:rsidRPr="00E76461">
        <w:rPr>
          <w:rFonts w:cs="Times New Roman"/>
          <w:szCs w:val="24"/>
        </w:rPr>
        <w:t>. § 1331</w:t>
      </w:r>
      <w:r w:rsidRPr="00E76461">
        <w:rPr>
          <w:rFonts w:cs="Times New Roman"/>
          <w:szCs w:val="24"/>
        </w:rPr>
        <w:t xml:space="preserve"> (</w:t>
      </w:r>
      <w:r w:rsidR="007927AD" w:rsidRPr="00E76461">
        <w:rPr>
          <w:rFonts w:cs="Times New Roman"/>
          <w:szCs w:val="24"/>
        </w:rPr>
        <w:t>2012</w:t>
      </w:r>
      <w:r w:rsidRPr="00E76461">
        <w:rPr>
          <w:rFonts w:cs="Times New Roman"/>
          <w:szCs w:val="24"/>
        </w:rPr>
        <w:t>)</w:t>
      </w:r>
      <w:r w:rsidR="00E14EAD" w:rsidRPr="00E76461">
        <w:rPr>
          <w:rFonts w:cs="Times New Roman"/>
          <w:szCs w:val="24"/>
        </w:rPr>
        <w:fldChar w:fldCharType="begin"/>
      </w:r>
      <w:r w:rsidR="00E14EAD" w:rsidRPr="00E76461">
        <w:rPr>
          <w:rFonts w:cs="Times New Roman"/>
          <w:szCs w:val="24"/>
        </w:rPr>
        <w:instrText xml:space="preserve"> TA \l "28 U.S.C. § 1331 (2012)" \s "28 U.S.C. § 1331 (2012)" \c 2 </w:instrText>
      </w:r>
      <w:r w:rsidR="00E14EAD" w:rsidRPr="00E76461">
        <w:rPr>
          <w:rFonts w:cs="Times New Roman"/>
          <w:szCs w:val="24"/>
        </w:rPr>
        <w:fldChar w:fldCharType="end"/>
      </w:r>
      <w:r w:rsidRPr="00E76461">
        <w:rPr>
          <w:rFonts w:cs="Times New Roman"/>
          <w:szCs w:val="24"/>
        </w:rPr>
        <w:t xml:space="preserve"> </w:t>
      </w:r>
      <w:r w:rsidR="00AC7FE2" w:rsidRPr="00E76461">
        <w:rPr>
          <w:rFonts w:cs="Times New Roman"/>
          <w:szCs w:val="24"/>
        </w:rPr>
        <w:t xml:space="preserve">and 42 </w:t>
      </w:r>
      <w:r w:rsidR="00AC7FE2" w:rsidRPr="000E178C">
        <w:rPr>
          <w:rFonts w:cs="Times New Roman"/>
          <w:szCs w:val="24"/>
        </w:rPr>
        <w:t xml:space="preserve">U.S.C. § </w:t>
      </w:r>
      <w:r w:rsidR="00790AA5" w:rsidRPr="000E178C">
        <w:rPr>
          <w:rFonts w:cs="Times New Roman"/>
          <w:szCs w:val="24"/>
        </w:rPr>
        <w:t xml:space="preserve">2000e-5(f)(3) </w:t>
      </w:r>
      <w:r w:rsidR="00162F94" w:rsidRPr="000E178C">
        <w:rPr>
          <w:rFonts w:cs="Times New Roman"/>
          <w:szCs w:val="24"/>
        </w:rPr>
        <w:t>(</w:t>
      </w:r>
      <w:r w:rsidR="00E76461">
        <w:rPr>
          <w:rFonts w:cs="Times New Roman"/>
          <w:szCs w:val="24"/>
        </w:rPr>
        <w:t>2012</w:t>
      </w:r>
      <w:r w:rsidR="00162F94" w:rsidRPr="000E178C">
        <w:rPr>
          <w:rFonts w:cs="Times New Roman"/>
          <w:szCs w:val="24"/>
        </w:rPr>
        <w:t xml:space="preserve">) </w:t>
      </w:r>
      <w:r w:rsidRPr="000E178C">
        <w:rPr>
          <w:rFonts w:cs="Times New Roman"/>
          <w:szCs w:val="24"/>
        </w:rPr>
        <w:t xml:space="preserve">because it was a </w:t>
      </w:r>
      <w:r w:rsidR="008A275F" w:rsidRPr="000E178C">
        <w:rPr>
          <w:rFonts w:cs="Times New Roman"/>
          <w:szCs w:val="24"/>
        </w:rPr>
        <w:t>civil</w:t>
      </w:r>
      <w:r w:rsidRPr="000E178C">
        <w:rPr>
          <w:rFonts w:cs="Times New Roman"/>
          <w:szCs w:val="24"/>
        </w:rPr>
        <w:t xml:space="preserve"> proceeding arising</w:t>
      </w:r>
      <w:r w:rsidR="00917355" w:rsidRPr="000E178C">
        <w:rPr>
          <w:rFonts w:cs="Times New Roman"/>
          <w:szCs w:val="24"/>
        </w:rPr>
        <w:t xml:space="preserve"> </w:t>
      </w:r>
      <w:r w:rsidRPr="000E178C">
        <w:rPr>
          <w:rFonts w:cs="Times New Roman"/>
          <w:szCs w:val="24"/>
        </w:rPr>
        <w:t>under an alleged</w:t>
      </w:r>
      <w:r w:rsidR="00917355" w:rsidRPr="000E178C">
        <w:rPr>
          <w:rFonts w:cs="Times New Roman"/>
          <w:szCs w:val="24"/>
        </w:rPr>
        <w:t xml:space="preserve"> </w:t>
      </w:r>
      <w:r w:rsidRPr="000E178C">
        <w:rPr>
          <w:rFonts w:cs="Times New Roman"/>
          <w:szCs w:val="24"/>
        </w:rPr>
        <w:t xml:space="preserve">violation of </w:t>
      </w:r>
      <w:r w:rsidR="003C7805" w:rsidRPr="000E178C">
        <w:rPr>
          <w:rFonts w:cs="Times New Roman"/>
          <w:szCs w:val="24"/>
        </w:rPr>
        <w:t>the Americans with Disabilities Act of 1990</w:t>
      </w:r>
      <w:r w:rsidR="00A15044" w:rsidRPr="000E178C">
        <w:rPr>
          <w:rFonts w:cs="Times New Roman"/>
          <w:szCs w:val="24"/>
        </w:rPr>
        <w:t>,</w:t>
      </w:r>
      <w:r w:rsidR="00F034B3" w:rsidRPr="000E178C">
        <w:rPr>
          <w:rFonts w:cs="Times New Roman"/>
          <w:szCs w:val="24"/>
        </w:rPr>
        <w:t xml:space="preserve"> 42 U.S.C. §§ 12112</w:t>
      </w:r>
      <w:r w:rsidR="006328C4" w:rsidRPr="000E178C">
        <w:rPr>
          <w:rFonts w:cs="Times New Roman"/>
          <w:szCs w:val="24"/>
        </w:rPr>
        <w:t xml:space="preserve"> </w:t>
      </w:r>
      <w:r w:rsidR="00A633B5" w:rsidRPr="000E178C">
        <w:rPr>
          <w:rFonts w:cs="Times New Roman"/>
          <w:szCs w:val="24"/>
        </w:rPr>
        <w:t>–</w:t>
      </w:r>
      <w:r w:rsidR="006328C4" w:rsidRPr="000E178C">
        <w:rPr>
          <w:rFonts w:cs="Times New Roman"/>
          <w:szCs w:val="24"/>
        </w:rPr>
        <w:t xml:space="preserve"> </w:t>
      </w:r>
      <w:r w:rsidR="00F034B3" w:rsidRPr="000E178C">
        <w:rPr>
          <w:rFonts w:cs="Times New Roman"/>
          <w:szCs w:val="24"/>
        </w:rPr>
        <w:t>12117</w:t>
      </w:r>
      <w:r w:rsidR="00A633B5" w:rsidRPr="000E178C">
        <w:rPr>
          <w:rFonts w:cs="Times New Roman"/>
          <w:szCs w:val="24"/>
        </w:rPr>
        <w:t xml:space="preserve"> (2017)</w:t>
      </w:r>
      <w:r w:rsidR="00647265" w:rsidRPr="000E178C">
        <w:rPr>
          <w:rFonts w:cs="Times New Roman"/>
          <w:szCs w:val="24"/>
        </w:rPr>
        <w:fldChar w:fldCharType="begin"/>
      </w:r>
      <w:r w:rsidR="00647265" w:rsidRPr="000E178C">
        <w:rPr>
          <w:rFonts w:cs="Times New Roman"/>
          <w:szCs w:val="24"/>
        </w:rPr>
        <w:instrText xml:space="preserve"> TA \l "42 U.S.C. §§ 12112 – 12117 (2017)" \s "42 U.S.C. §§ 12112 – 12117 (2017)" \c 2 </w:instrText>
      </w:r>
      <w:r w:rsidR="00647265" w:rsidRPr="000E178C">
        <w:rPr>
          <w:rFonts w:cs="Times New Roman"/>
          <w:szCs w:val="24"/>
        </w:rPr>
        <w:fldChar w:fldCharType="end"/>
      </w:r>
      <w:r w:rsidR="00F034B3" w:rsidRPr="000E178C">
        <w:rPr>
          <w:rFonts w:cs="Times New Roman"/>
          <w:szCs w:val="24"/>
        </w:rPr>
        <w:t xml:space="preserve">. </w:t>
      </w:r>
      <w:r w:rsidRPr="000E178C">
        <w:rPr>
          <w:rFonts w:cs="Times New Roman"/>
          <w:szCs w:val="24"/>
        </w:rPr>
        <w:t>This Court has jurisdiction pursuant to 28</w:t>
      </w:r>
      <w:r w:rsidR="00917355" w:rsidRPr="000E178C">
        <w:rPr>
          <w:rFonts w:cs="Times New Roman"/>
          <w:szCs w:val="24"/>
        </w:rPr>
        <w:t xml:space="preserve"> </w:t>
      </w:r>
      <w:r w:rsidRPr="000E178C">
        <w:rPr>
          <w:rFonts w:cs="Times New Roman"/>
          <w:szCs w:val="24"/>
        </w:rPr>
        <w:t xml:space="preserve">U.S.C. § 1291 </w:t>
      </w:r>
      <w:r w:rsidR="006A2249" w:rsidRPr="000E178C">
        <w:rPr>
          <w:rFonts w:cs="Times New Roman"/>
          <w:szCs w:val="24"/>
        </w:rPr>
        <w:t>(201</w:t>
      </w:r>
      <w:r w:rsidR="0044716D" w:rsidRPr="000E178C">
        <w:rPr>
          <w:rFonts w:cs="Times New Roman"/>
          <w:szCs w:val="24"/>
        </w:rPr>
        <w:t>2)</w:t>
      </w:r>
      <w:r w:rsidR="00E27C8B" w:rsidRPr="000E178C">
        <w:rPr>
          <w:rFonts w:cs="Times New Roman"/>
          <w:szCs w:val="24"/>
        </w:rPr>
        <w:fldChar w:fldCharType="begin"/>
      </w:r>
      <w:r w:rsidR="00E27C8B" w:rsidRPr="000E178C">
        <w:rPr>
          <w:rFonts w:cs="Times New Roman"/>
          <w:szCs w:val="24"/>
        </w:rPr>
        <w:instrText xml:space="preserve"> TA \l "28 U.S.C. § 1291 (2017)" \s "28 U.S.C. § 1291 (2017)" \c 2 </w:instrText>
      </w:r>
      <w:r w:rsidR="00E27C8B" w:rsidRPr="000E178C">
        <w:rPr>
          <w:rFonts w:cs="Times New Roman"/>
          <w:szCs w:val="24"/>
        </w:rPr>
        <w:fldChar w:fldCharType="end"/>
      </w:r>
      <w:r w:rsidR="006A2249" w:rsidRPr="000E178C">
        <w:rPr>
          <w:rFonts w:cs="Times New Roman"/>
          <w:szCs w:val="24"/>
        </w:rPr>
        <w:t xml:space="preserve"> </w:t>
      </w:r>
      <w:r w:rsidRPr="000E178C">
        <w:rPr>
          <w:rFonts w:cs="Times New Roman"/>
          <w:szCs w:val="24"/>
        </w:rPr>
        <w:t>because it is an appeal from the final judgment of the district court entered on</w:t>
      </w:r>
      <w:r w:rsidR="00917355" w:rsidRPr="000E178C">
        <w:rPr>
          <w:rFonts w:cs="Times New Roman"/>
          <w:szCs w:val="24"/>
        </w:rPr>
        <w:t xml:space="preserve"> </w:t>
      </w:r>
      <w:r w:rsidRPr="000E178C">
        <w:rPr>
          <w:rFonts w:cs="Times New Roman"/>
          <w:szCs w:val="24"/>
        </w:rPr>
        <w:t xml:space="preserve">February </w:t>
      </w:r>
      <w:r w:rsidR="00D649D5" w:rsidRPr="000E178C">
        <w:rPr>
          <w:rFonts w:cs="Times New Roman"/>
          <w:szCs w:val="24"/>
        </w:rPr>
        <w:t>8</w:t>
      </w:r>
      <w:r w:rsidRPr="000E178C">
        <w:rPr>
          <w:rFonts w:cs="Times New Roman"/>
          <w:szCs w:val="24"/>
        </w:rPr>
        <w:t>, 201</w:t>
      </w:r>
      <w:r w:rsidR="00D649D5" w:rsidRPr="000E178C">
        <w:rPr>
          <w:rFonts w:cs="Times New Roman"/>
          <w:szCs w:val="24"/>
        </w:rPr>
        <w:t>8</w:t>
      </w:r>
      <w:r w:rsidRPr="000E178C">
        <w:rPr>
          <w:rFonts w:cs="Times New Roman"/>
          <w:szCs w:val="24"/>
        </w:rPr>
        <w:t>.</w:t>
      </w:r>
    </w:p>
    <w:p w14:paraId="71F06567" w14:textId="2541AFEF" w:rsidR="00BC623A" w:rsidRPr="000E178C" w:rsidRDefault="003F3099" w:rsidP="00D476E0">
      <w:pPr>
        <w:pStyle w:val="Heading1"/>
        <w:ind w:firstLine="0"/>
        <w:rPr>
          <w:rFonts w:cs="Times New Roman"/>
          <w:szCs w:val="24"/>
        </w:rPr>
      </w:pPr>
      <w:bookmarkStart w:id="3" w:name="_Toc509470351"/>
      <w:r w:rsidRPr="000E178C">
        <w:rPr>
          <w:rFonts w:cs="Times New Roman"/>
          <w:szCs w:val="24"/>
        </w:rPr>
        <w:t>STATEMENT OF THE ISSUE</w:t>
      </w:r>
      <w:r w:rsidR="00EF6AB2" w:rsidRPr="000E178C">
        <w:rPr>
          <w:rFonts w:cs="Times New Roman"/>
          <w:szCs w:val="24"/>
        </w:rPr>
        <w:t>S</w:t>
      </w:r>
      <w:bookmarkEnd w:id="3"/>
    </w:p>
    <w:p w14:paraId="7D6D6A61" w14:textId="0355366B" w:rsidR="00E93781" w:rsidRPr="000E178C" w:rsidRDefault="00BC7DE7" w:rsidP="00EF1C51">
      <w:pPr>
        <w:pStyle w:val="ListParagraph"/>
        <w:numPr>
          <w:ilvl w:val="0"/>
          <w:numId w:val="8"/>
        </w:numPr>
        <w:ind w:left="810"/>
        <w:rPr>
          <w:rFonts w:cs="Times New Roman"/>
          <w:szCs w:val="24"/>
        </w:rPr>
      </w:pPr>
      <w:r w:rsidRPr="000E178C">
        <w:rPr>
          <w:rFonts w:cs="Times New Roman"/>
          <w:szCs w:val="24"/>
        </w:rPr>
        <w:t>Whether Stuart Stockton Systems</w:t>
      </w:r>
      <w:r w:rsidR="0012758E" w:rsidRPr="000E178C">
        <w:rPr>
          <w:rFonts w:cs="Times New Roman"/>
          <w:szCs w:val="24"/>
        </w:rPr>
        <w:t>’</w:t>
      </w:r>
      <w:r w:rsidRPr="000E178C">
        <w:rPr>
          <w:rFonts w:cs="Times New Roman"/>
          <w:szCs w:val="24"/>
        </w:rPr>
        <w:t xml:space="preserve"> </w:t>
      </w:r>
      <w:r w:rsidR="00F9349E" w:rsidRPr="000E178C">
        <w:rPr>
          <w:rFonts w:cs="Times New Roman"/>
          <w:szCs w:val="24"/>
        </w:rPr>
        <w:t xml:space="preserve">actions </w:t>
      </w:r>
      <w:r w:rsidR="00DB274D" w:rsidRPr="000E178C">
        <w:rPr>
          <w:rFonts w:cs="Times New Roman"/>
          <w:szCs w:val="24"/>
        </w:rPr>
        <w:t xml:space="preserve">retaliated against Erik Hernandez </w:t>
      </w:r>
      <w:r w:rsidR="00D14385" w:rsidRPr="000E178C">
        <w:rPr>
          <w:rFonts w:cs="Times New Roman"/>
          <w:szCs w:val="24"/>
        </w:rPr>
        <w:t xml:space="preserve">for filing an </w:t>
      </w:r>
      <w:r w:rsidR="0012758E" w:rsidRPr="000E178C">
        <w:rPr>
          <w:rFonts w:cs="Times New Roman"/>
          <w:szCs w:val="24"/>
        </w:rPr>
        <w:t>administrative</w:t>
      </w:r>
      <w:r w:rsidR="00197C4B" w:rsidRPr="000E178C">
        <w:rPr>
          <w:rFonts w:cs="Times New Roman"/>
          <w:szCs w:val="24"/>
        </w:rPr>
        <w:t xml:space="preserve"> claim with the Equal Employment Opportunity Commis</w:t>
      </w:r>
      <w:r w:rsidR="0012758E" w:rsidRPr="000E178C">
        <w:rPr>
          <w:rFonts w:cs="Times New Roman"/>
          <w:szCs w:val="24"/>
        </w:rPr>
        <w:t>sion (“</w:t>
      </w:r>
      <w:r w:rsidR="00D14385" w:rsidRPr="000E178C">
        <w:rPr>
          <w:rFonts w:cs="Times New Roman"/>
          <w:szCs w:val="24"/>
        </w:rPr>
        <w:t>EEOC</w:t>
      </w:r>
      <w:r w:rsidR="0012758E" w:rsidRPr="000E178C">
        <w:rPr>
          <w:rFonts w:cs="Times New Roman"/>
          <w:szCs w:val="24"/>
        </w:rPr>
        <w:t>”)</w:t>
      </w:r>
      <w:r w:rsidR="00D14385" w:rsidRPr="000E178C">
        <w:rPr>
          <w:rFonts w:cs="Times New Roman"/>
          <w:szCs w:val="24"/>
        </w:rPr>
        <w:t xml:space="preserve">, </w:t>
      </w:r>
      <w:r w:rsidR="00DB274D" w:rsidRPr="000E178C">
        <w:rPr>
          <w:rFonts w:cs="Times New Roman"/>
          <w:szCs w:val="24"/>
        </w:rPr>
        <w:t xml:space="preserve">when it terminated his employment and </w:t>
      </w:r>
      <w:r w:rsidR="00106F50" w:rsidRPr="000E178C">
        <w:rPr>
          <w:rFonts w:cs="Times New Roman"/>
          <w:szCs w:val="24"/>
        </w:rPr>
        <w:t>provided prospective employers with negative job references</w:t>
      </w:r>
      <w:r w:rsidR="00D14385" w:rsidRPr="000E178C">
        <w:rPr>
          <w:rFonts w:cs="Times New Roman"/>
          <w:szCs w:val="24"/>
        </w:rPr>
        <w:t xml:space="preserve">, and whether the </w:t>
      </w:r>
      <w:r w:rsidR="00F44FA5" w:rsidRPr="000E178C">
        <w:rPr>
          <w:rFonts w:cs="Times New Roman"/>
          <w:szCs w:val="24"/>
        </w:rPr>
        <w:t xml:space="preserve">rationale of poor performance and absenteeism is merely a pretext. </w:t>
      </w:r>
    </w:p>
    <w:p w14:paraId="238A4FD2" w14:textId="685D1A1D" w:rsidR="00F44FA5" w:rsidRPr="000E178C" w:rsidRDefault="00D56D39" w:rsidP="00EF1C51">
      <w:pPr>
        <w:pStyle w:val="ListParagraph"/>
        <w:numPr>
          <w:ilvl w:val="0"/>
          <w:numId w:val="8"/>
        </w:numPr>
        <w:ind w:left="810"/>
        <w:rPr>
          <w:rFonts w:cs="Times New Roman"/>
          <w:szCs w:val="24"/>
        </w:rPr>
      </w:pPr>
      <w:r w:rsidRPr="000E178C">
        <w:rPr>
          <w:rFonts w:cs="Times New Roman"/>
          <w:szCs w:val="24"/>
        </w:rPr>
        <w:t>Whether Stuart Stock Systems</w:t>
      </w:r>
      <w:r w:rsidR="0012758E" w:rsidRPr="000E178C">
        <w:rPr>
          <w:rFonts w:cs="Times New Roman"/>
          <w:szCs w:val="24"/>
        </w:rPr>
        <w:t>’</w:t>
      </w:r>
      <w:r w:rsidRPr="000E178C">
        <w:rPr>
          <w:rFonts w:cs="Times New Roman"/>
          <w:szCs w:val="24"/>
        </w:rPr>
        <w:t xml:space="preserve"> </w:t>
      </w:r>
      <w:r w:rsidR="00397DDC" w:rsidRPr="000E178C">
        <w:rPr>
          <w:rFonts w:cs="Times New Roman"/>
          <w:szCs w:val="24"/>
        </w:rPr>
        <w:t>failure</w:t>
      </w:r>
      <w:r w:rsidRPr="000E178C">
        <w:rPr>
          <w:rFonts w:cs="Times New Roman"/>
          <w:szCs w:val="24"/>
        </w:rPr>
        <w:t xml:space="preserve"> to provide Erik Hernandez with a modified work schedule</w:t>
      </w:r>
      <w:r w:rsidR="00397DDC" w:rsidRPr="000E178C">
        <w:rPr>
          <w:rFonts w:cs="Times New Roman"/>
          <w:szCs w:val="24"/>
        </w:rPr>
        <w:t xml:space="preserve"> was a failure to provide reasonable accommodations under the ADA, and thus discriminatory</w:t>
      </w:r>
      <w:r w:rsidR="0080242A" w:rsidRPr="000E178C">
        <w:rPr>
          <w:rFonts w:cs="Times New Roman"/>
          <w:szCs w:val="24"/>
        </w:rPr>
        <w:t xml:space="preserve"> when Plaintiff </w:t>
      </w:r>
      <w:r w:rsidR="003D7A64" w:rsidRPr="000E178C">
        <w:rPr>
          <w:rFonts w:cs="Times New Roman"/>
          <w:szCs w:val="24"/>
        </w:rPr>
        <w:t xml:space="preserve">had cancer and suffered from headaches, blurry vision and </w:t>
      </w:r>
      <w:r w:rsidR="005D0BC0" w:rsidRPr="000E178C">
        <w:rPr>
          <w:rFonts w:cs="Times New Roman"/>
          <w:szCs w:val="24"/>
        </w:rPr>
        <w:t>nausea</w:t>
      </w:r>
      <w:r w:rsidR="00397DDC" w:rsidRPr="000E178C">
        <w:rPr>
          <w:rFonts w:cs="Times New Roman"/>
          <w:szCs w:val="24"/>
        </w:rPr>
        <w:t xml:space="preserve">. </w:t>
      </w:r>
    </w:p>
    <w:p w14:paraId="402BDD68" w14:textId="6CA7EE3C" w:rsidR="006E1D0A" w:rsidRPr="000E178C" w:rsidRDefault="006E1D0A" w:rsidP="00D476E0">
      <w:pPr>
        <w:pStyle w:val="Heading1"/>
        <w:ind w:firstLine="0"/>
        <w:rPr>
          <w:rFonts w:cs="Times New Roman"/>
          <w:szCs w:val="24"/>
        </w:rPr>
      </w:pPr>
      <w:bookmarkStart w:id="4" w:name="_Toc509470352"/>
      <w:r w:rsidRPr="000E178C">
        <w:rPr>
          <w:rFonts w:cs="Times New Roman"/>
          <w:szCs w:val="24"/>
        </w:rPr>
        <w:t>STATEMENT OF THE CASE</w:t>
      </w:r>
      <w:bookmarkEnd w:id="4"/>
    </w:p>
    <w:p w14:paraId="01E725D6" w14:textId="0AF3E504" w:rsidR="00C9711D" w:rsidRPr="000E178C" w:rsidRDefault="00E76461" w:rsidP="000A769E">
      <w:pPr>
        <w:rPr>
          <w:rFonts w:cs="Times New Roman"/>
          <w:szCs w:val="24"/>
        </w:rPr>
      </w:pPr>
      <w:r>
        <w:rPr>
          <w:rFonts w:cs="Times New Roman"/>
          <w:szCs w:val="24"/>
        </w:rPr>
        <w:t>Mr. Hernandez was</w:t>
      </w:r>
      <w:r w:rsidR="00340524" w:rsidRPr="000E178C">
        <w:rPr>
          <w:rFonts w:cs="Times New Roman"/>
          <w:szCs w:val="24"/>
        </w:rPr>
        <w:t xml:space="preserve"> wrongful</w:t>
      </w:r>
      <w:r>
        <w:rPr>
          <w:rFonts w:cs="Times New Roman"/>
          <w:szCs w:val="24"/>
        </w:rPr>
        <w:t>ly</w:t>
      </w:r>
      <w:r w:rsidR="00340524" w:rsidRPr="000E178C">
        <w:rPr>
          <w:rFonts w:cs="Times New Roman"/>
          <w:szCs w:val="24"/>
        </w:rPr>
        <w:t xml:space="preserve"> terminat</w:t>
      </w:r>
      <w:r>
        <w:rPr>
          <w:rFonts w:cs="Times New Roman"/>
          <w:szCs w:val="24"/>
        </w:rPr>
        <w:t>ed</w:t>
      </w:r>
      <w:r w:rsidR="00340524" w:rsidRPr="000E178C">
        <w:rPr>
          <w:rFonts w:cs="Times New Roman"/>
          <w:szCs w:val="24"/>
        </w:rPr>
        <w:t xml:space="preserve"> and retaliat</w:t>
      </w:r>
      <w:r>
        <w:rPr>
          <w:rFonts w:cs="Times New Roman"/>
          <w:szCs w:val="24"/>
        </w:rPr>
        <w:t>ed against</w:t>
      </w:r>
      <w:r w:rsidR="00340524" w:rsidRPr="000E178C">
        <w:rPr>
          <w:rFonts w:cs="Times New Roman"/>
          <w:szCs w:val="24"/>
        </w:rPr>
        <w:t xml:space="preserve"> by Stuart Stockton System, </w:t>
      </w:r>
      <w:r w:rsidR="005B4FD0">
        <w:rPr>
          <w:rFonts w:cs="Times New Roman"/>
          <w:szCs w:val="24"/>
        </w:rPr>
        <w:t>because</w:t>
      </w:r>
      <w:r w:rsidR="00340524" w:rsidRPr="000E178C">
        <w:rPr>
          <w:rFonts w:cs="Times New Roman"/>
          <w:szCs w:val="24"/>
        </w:rPr>
        <w:t xml:space="preserve"> Mr. Hernandez </w:t>
      </w:r>
      <w:r w:rsidR="005B4FD0">
        <w:rPr>
          <w:rFonts w:cs="Times New Roman"/>
          <w:szCs w:val="24"/>
        </w:rPr>
        <w:t xml:space="preserve">justly </w:t>
      </w:r>
      <w:r w:rsidR="00340524" w:rsidRPr="000E178C">
        <w:rPr>
          <w:rFonts w:cs="Times New Roman"/>
          <w:szCs w:val="24"/>
        </w:rPr>
        <w:t xml:space="preserve">requested a modified work schedule to help him meet the demands of his work as he battled neuro glioblastoma, an aggressive form of brain cancer. </w:t>
      </w:r>
      <w:r w:rsidR="0005698A" w:rsidRPr="000E178C">
        <w:rPr>
          <w:rFonts w:cs="Times New Roman"/>
          <w:szCs w:val="24"/>
        </w:rPr>
        <w:t xml:space="preserve">This case arose out of Stuart Stockton System’s </w:t>
      </w:r>
      <w:r w:rsidR="00DB7EB6" w:rsidRPr="000E178C">
        <w:rPr>
          <w:rFonts w:cs="Times New Roman"/>
          <w:szCs w:val="24"/>
        </w:rPr>
        <w:t xml:space="preserve">(“SSS”) </w:t>
      </w:r>
      <w:r w:rsidR="0005698A" w:rsidRPr="000E178C">
        <w:rPr>
          <w:rFonts w:cs="Times New Roman"/>
          <w:szCs w:val="24"/>
        </w:rPr>
        <w:t>termination of Erik Hernandez</w:t>
      </w:r>
      <w:r w:rsidR="00603E13" w:rsidRPr="000E178C">
        <w:rPr>
          <w:rFonts w:cs="Times New Roman"/>
          <w:szCs w:val="24"/>
        </w:rPr>
        <w:t xml:space="preserve"> on January 24, 201</w:t>
      </w:r>
      <w:r w:rsidR="003A6BA0" w:rsidRPr="000E178C">
        <w:rPr>
          <w:rFonts w:cs="Times New Roman"/>
          <w:szCs w:val="24"/>
        </w:rPr>
        <w:t>7</w:t>
      </w:r>
      <w:r w:rsidR="00603E13" w:rsidRPr="000E178C">
        <w:rPr>
          <w:rFonts w:cs="Times New Roman"/>
          <w:szCs w:val="24"/>
        </w:rPr>
        <w:t xml:space="preserve">. </w:t>
      </w:r>
      <w:r w:rsidR="00CD0FD2" w:rsidRPr="000E178C">
        <w:rPr>
          <w:rFonts w:cs="Times New Roman"/>
          <w:szCs w:val="24"/>
        </w:rPr>
        <w:t>Mr. Hernandez</w:t>
      </w:r>
      <w:r w:rsidR="008A2310" w:rsidRPr="000E178C">
        <w:rPr>
          <w:rFonts w:cs="Times New Roman"/>
          <w:szCs w:val="24"/>
        </w:rPr>
        <w:t xml:space="preserve"> </w:t>
      </w:r>
      <w:r w:rsidR="007D0AFF" w:rsidRPr="000E178C">
        <w:rPr>
          <w:rFonts w:cs="Times New Roman"/>
          <w:szCs w:val="24"/>
        </w:rPr>
        <w:t xml:space="preserve">requested a modified work schedule </w:t>
      </w:r>
      <w:r w:rsidR="00324980" w:rsidRPr="000E178C">
        <w:rPr>
          <w:rFonts w:cs="Times New Roman"/>
          <w:szCs w:val="24"/>
        </w:rPr>
        <w:t xml:space="preserve">to accommodate his illness, that was </w:t>
      </w:r>
      <w:r w:rsidR="005272F6" w:rsidRPr="000E178C">
        <w:rPr>
          <w:rFonts w:cs="Times New Roman"/>
          <w:szCs w:val="24"/>
        </w:rPr>
        <w:t xml:space="preserve">diagnosed as cancer. This request was denied, and Mr. Hernandez </w:t>
      </w:r>
      <w:r w:rsidR="00CD0FD2" w:rsidRPr="000E178C">
        <w:rPr>
          <w:rFonts w:cs="Times New Roman"/>
          <w:szCs w:val="24"/>
        </w:rPr>
        <w:t xml:space="preserve">filed </w:t>
      </w:r>
      <w:r w:rsidR="002628F5" w:rsidRPr="000E178C">
        <w:rPr>
          <w:rFonts w:cs="Times New Roman"/>
          <w:szCs w:val="24"/>
        </w:rPr>
        <w:t>a discrimination charge with the EEOC</w:t>
      </w:r>
      <w:r w:rsidR="00EB2A57" w:rsidRPr="000E178C">
        <w:rPr>
          <w:rFonts w:cs="Times New Roman"/>
          <w:szCs w:val="24"/>
        </w:rPr>
        <w:t xml:space="preserve"> on January 10, 201</w:t>
      </w:r>
      <w:r w:rsidR="00EA6010" w:rsidRPr="000E178C">
        <w:rPr>
          <w:rFonts w:cs="Times New Roman"/>
          <w:szCs w:val="24"/>
        </w:rPr>
        <w:t>7</w:t>
      </w:r>
      <w:r w:rsidR="006B5E67" w:rsidRPr="000E178C">
        <w:rPr>
          <w:rFonts w:cs="Times New Roman"/>
          <w:szCs w:val="24"/>
        </w:rPr>
        <w:t>.</w:t>
      </w:r>
      <w:r w:rsidR="006A1D81" w:rsidRPr="000E178C">
        <w:rPr>
          <w:rFonts w:cs="Times New Roman"/>
          <w:szCs w:val="24"/>
        </w:rPr>
        <w:t xml:space="preserve"> </w:t>
      </w:r>
      <w:r w:rsidR="0080641E" w:rsidRPr="000E178C">
        <w:rPr>
          <w:rFonts w:cs="Times New Roman"/>
          <w:szCs w:val="24"/>
        </w:rPr>
        <w:t xml:space="preserve">Two weeks later, </w:t>
      </w:r>
      <w:r w:rsidR="00DB7EB6" w:rsidRPr="000E178C">
        <w:rPr>
          <w:rFonts w:cs="Times New Roman"/>
          <w:szCs w:val="24"/>
        </w:rPr>
        <w:t>SSS</w:t>
      </w:r>
      <w:r w:rsidR="00AB1D4D" w:rsidRPr="000E178C">
        <w:rPr>
          <w:rFonts w:cs="Times New Roman"/>
          <w:szCs w:val="24"/>
        </w:rPr>
        <w:t xml:space="preserve"> terminated Mr. Hernandez’s employment </w:t>
      </w:r>
      <w:r w:rsidR="00324980" w:rsidRPr="000E178C">
        <w:rPr>
          <w:rFonts w:cs="Times New Roman"/>
          <w:szCs w:val="24"/>
        </w:rPr>
        <w:t>citing</w:t>
      </w:r>
      <w:r w:rsidR="00AB1D4D" w:rsidRPr="000E178C">
        <w:rPr>
          <w:rFonts w:cs="Times New Roman"/>
          <w:szCs w:val="24"/>
        </w:rPr>
        <w:t xml:space="preserve"> absences and missed deadlines. </w:t>
      </w:r>
      <w:r w:rsidR="00EB2A57" w:rsidRPr="000E178C">
        <w:rPr>
          <w:rFonts w:cs="Times New Roman"/>
          <w:szCs w:val="24"/>
        </w:rPr>
        <w:t xml:space="preserve">On January </w:t>
      </w:r>
      <w:r w:rsidR="001879B5" w:rsidRPr="000E178C">
        <w:rPr>
          <w:rFonts w:cs="Times New Roman"/>
          <w:szCs w:val="24"/>
        </w:rPr>
        <w:t>2</w:t>
      </w:r>
      <w:r w:rsidR="00EB2A57" w:rsidRPr="000E178C">
        <w:rPr>
          <w:rFonts w:cs="Times New Roman"/>
          <w:szCs w:val="24"/>
        </w:rPr>
        <w:t xml:space="preserve">, 2018 </w:t>
      </w:r>
      <w:r w:rsidR="0042250B" w:rsidRPr="000E178C">
        <w:rPr>
          <w:rFonts w:cs="Times New Roman"/>
          <w:szCs w:val="24"/>
        </w:rPr>
        <w:t xml:space="preserve">Hernandez </w:t>
      </w:r>
      <w:r w:rsidR="00EB2A57" w:rsidRPr="000E178C">
        <w:rPr>
          <w:rFonts w:cs="Times New Roman"/>
          <w:szCs w:val="24"/>
        </w:rPr>
        <w:t>filed</w:t>
      </w:r>
      <w:r w:rsidR="008B0E05" w:rsidRPr="000E178C">
        <w:rPr>
          <w:rFonts w:cs="Times New Roman"/>
          <w:szCs w:val="24"/>
        </w:rPr>
        <w:t xml:space="preserve"> suit against</w:t>
      </w:r>
      <w:r w:rsidR="0042250B" w:rsidRPr="000E178C">
        <w:rPr>
          <w:rFonts w:cs="Times New Roman"/>
          <w:szCs w:val="24"/>
        </w:rPr>
        <w:t xml:space="preserve"> </w:t>
      </w:r>
      <w:r w:rsidR="00DB7EB6" w:rsidRPr="000E178C">
        <w:rPr>
          <w:rFonts w:cs="Times New Roman"/>
          <w:szCs w:val="24"/>
        </w:rPr>
        <w:t xml:space="preserve">SSS </w:t>
      </w:r>
      <w:r w:rsidR="0042250B" w:rsidRPr="000E178C">
        <w:rPr>
          <w:rFonts w:cs="Times New Roman"/>
          <w:szCs w:val="24"/>
        </w:rPr>
        <w:t>for discrimination and retaliation</w:t>
      </w:r>
      <w:r w:rsidR="00C9711D" w:rsidRPr="000E178C">
        <w:rPr>
          <w:rFonts w:cs="Times New Roman"/>
          <w:szCs w:val="24"/>
        </w:rPr>
        <w:t>.</w:t>
      </w:r>
      <w:r w:rsidR="000A769E" w:rsidRPr="000E178C">
        <w:rPr>
          <w:rFonts w:cs="Times New Roman"/>
          <w:szCs w:val="24"/>
        </w:rPr>
        <w:t xml:space="preserve"> </w:t>
      </w:r>
      <w:r w:rsidR="003C07E0" w:rsidRPr="000E178C">
        <w:rPr>
          <w:rFonts w:cs="Times New Roman"/>
          <w:szCs w:val="24"/>
        </w:rPr>
        <w:t xml:space="preserve">Mr. Hernandez </w:t>
      </w:r>
      <w:r w:rsidR="00BC2487" w:rsidRPr="000E178C">
        <w:rPr>
          <w:rFonts w:cs="Times New Roman"/>
          <w:szCs w:val="24"/>
        </w:rPr>
        <w:t xml:space="preserve">applied and was granted In Forma Pauperis and Appointment of Counsel. </w:t>
      </w:r>
      <w:r w:rsidR="0043380D" w:rsidRPr="000E178C">
        <w:rPr>
          <w:rFonts w:cs="Times New Roman"/>
          <w:szCs w:val="24"/>
        </w:rPr>
        <w:t xml:space="preserve">On February 8, 2018 the </w:t>
      </w:r>
      <w:r w:rsidR="00354213" w:rsidRPr="000E178C">
        <w:rPr>
          <w:rFonts w:cs="Times New Roman"/>
          <w:szCs w:val="24"/>
        </w:rPr>
        <w:t>d</w:t>
      </w:r>
      <w:r w:rsidR="0043380D" w:rsidRPr="000E178C">
        <w:rPr>
          <w:rFonts w:cs="Times New Roman"/>
          <w:szCs w:val="24"/>
        </w:rPr>
        <w:t xml:space="preserve">istrict </w:t>
      </w:r>
      <w:r w:rsidR="00354213" w:rsidRPr="000E178C">
        <w:rPr>
          <w:rFonts w:cs="Times New Roman"/>
          <w:szCs w:val="24"/>
        </w:rPr>
        <w:t>c</w:t>
      </w:r>
      <w:r w:rsidR="0043380D" w:rsidRPr="000E178C">
        <w:rPr>
          <w:rFonts w:cs="Times New Roman"/>
          <w:szCs w:val="24"/>
        </w:rPr>
        <w:t>ourt</w:t>
      </w:r>
      <w:r w:rsidR="00984660" w:rsidRPr="000E178C">
        <w:rPr>
          <w:rFonts w:cs="Times New Roman"/>
          <w:szCs w:val="24"/>
        </w:rPr>
        <w:t xml:space="preserve"> in the District of Colorado granted Summary Judgment for SSS</w:t>
      </w:r>
      <w:r w:rsidR="005D64D9" w:rsidRPr="000E178C">
        <w:rPr>
          <w:rFonts w:cs="Times New Roman"/>
          <w:szCs w:val="24"/>
        </w:rPr>
        <w:t xml:space="preserve"> holding that Mr. Hernandez failed to </w:t>
      </w:r>
      <w:r w:rsidR="00F95BFA">
        <w:rPr>
          <w:rFonts w:cs="Times New Roman"/>
          <w:szCs w:val="24"/>
        </w:rPr>
        <w:t xml:space="preserve">provide </w:t>
      </w:r>
      <w:proofErr w:type="gramStart"/>
      <w:r w:rsidR="00F95BFA">
        <w:rPr>
          <w:rFonts w:cs="Times New Roman"/>
          <w:szCs w:val="24"/>
        </w:rPr>
        <w:t xml:space="preserve">a </w:t>
      </w:r>
      <w:r w:rsidR="005D64D9" w:rsidRPr="000E178C">
        <w:rPr>
          <w:rFonts w:cs="Times New Roman"/>
          <w:szCs w:val="24"/>
        </w:rPr>
        <w:t xml:space="preserve"> prima</w:t>
      </w:r>
      <w:proofErr w:type="gramEnd"/>
      <w:r w:rsidR="005D64D9" w:rsidRPr="000E178C">
        <w:rPr>
          <w:rFonts w:cs="Times New Roman"/>
          <w:szCs w:val="24"/>
        </w:rPr>
        <w:t xml:space="preserve"> facie </w:t>
      </w:r>
      <w:r w:rsidR="004A058E">
        <w:rPr>
          <w:rFonts w:cs="Times New Roman"/>
          <w:szCs w:val="24"/>
        </w:rPr>
        <w:t>showing</w:t>
      </w:r>
      <w:r w:rsidR="005D64D9" w:rsidRPr="000E178C">
        <w:rPr>
          <w:rFonts w:cs="Times New Roman"/>
          <w:szCs w:val="24"/>
        </w:rPr>
        <w:t xml:space="preserve"> for </w:t>
      </w:r>
      <w:r w:rsidR="004A058E">
        <w:rPr>
          <w:rFonts w:cs="Times New Roman"/>
          <w:szCs w:val="24"/>
        </w:rPr>
        <w:t xml:space="preserve">both </w:t>
      </w:r>
      <w:r w:rsidR="002B665D" w:rsidRPr="000E178C">
        <w:rPr>
          <w:rFonts w:cs="Times New Roman"/>
          <w:szCs w:val="24"/>
        </w:rPr>
        <w:t xml:space="preserve">retaliation and discrimination. </w:t>
      </w:r>
      <w:r w:rsidR="00101D11" w:rsidRPr="000E178C">
        <w:rPr>
          <w:rFonts w:cs="Times New Roman"/>
          <w:szCs w:val="24"/>
        </w:rPr>
        <w:t xml:space="preserve">Hernandez filed a timely appeal of the </w:t>
      </w:r>
      <w:r w:rsidR="00BB0463" w:rsidRPr="000E178C">
        <w:rPr>
          <w:rFonts w:cs="Times New Roman"/>
          <w:szCs w:val="24"/>
        </w:rPr>
        <w:t>final judgement o</w:t>
      </w:r>
      <w:r w:rsidR="00607FFA" w:rsidRPr="000E178C">
        <w:rPr>
          <w:rFonts w:cs="Times New Roman"/>
          <w:szCs w:val="24"/>
        </w:rPr>
        <w:t>f the district court</w:t>
      </w:r>
      <w:r w:rsidR="00BB0463" w:rsidRPr="000E178C">
        <w:rPr>
          <w:rFonts w:cs="Times New Roman"/>
          <w:szCs w:val="24"/>
        </w:rPr>
        <w:t xml:space="preserve"> February 9, 2018</w:t>
      </w:r>
      <w:r w:rsidR="00354213" w:rsidRPr="000E178C">
        <w:rPr>
          <w:rFonts w:cs="Times New Roman"/>
          <w:szCs w:val="24"/>
        </w:rPr>
        <w:t xml:space="preserve">, and the appeal is now before this Court. </w:t>
      </w:r>
    </w:p>
    <w:p w14:paraId="1386C0BE" w14:textId="543B6AE9" w:rsidR="000508DE" w:rsidRPr="000E178C" w:rsidRDefault="004A6BA5" w:rsidP="00D565FB">
      <w:pPr>
        <w:pStyle w:val="Heading1"/>
        <w:ind w:firstLine="0"/>
        <w:rPr>
          <w:rFonts w:cs="Times New Roman"/>
          <w:szCs w:val="24"/>
        </w:rPr>
      </w:pPr>
      <w:bookmarkStart w:id="5" w:name="_Toc509470353"/>
      <w:r w:rsidRPr="000E178C">
        <w:rPr>
          <w:rFonts w:cs="Times New Roman"/>
          <w:szCs w:val="24"/>
        </w:rPr>
        <w:t>STATEMENT OF FACTS</w:t>
      </w:r>
      <w:bookmarkEnd w:id="5"/>
    </w:p>
    <w:p w14:paraId="687B27AE" w14:textId="55196759" w:rsidR="00776B8A" w:rsidRPr="000E178C" w:rsidRDefault="009F1526" w:rsidP="00776B8A">
      <w:pPr>
        <w:rPr>
          <w:rFonts w:cs="Times New Roman"/>
          <w:szCs w:val="24"/>
        </w:rPr>
      </w:pPr>
      <w:r w:rsidRPr="000E178C">
        <w:rPr>
          <w:rFonts w:cs="Times New Roman"/>
          <w:szCs w:val="24"/>
        </w:rPr>
        <w:t xml:space="preserve">On January 13, 2017 </w:t>
      </w:r>
      <w:r w:rsidR="00582F04" w:rsidRPr="000E178C">
        <w:rPr>
          <w:rFonts w:cs="Times New Roman"/>
          <w:szCs w:val="24"/>
        </w:rPr>
        <w:t xml:space="preserve">Erik Hernandez </w:t>
      </w:r>
      <w:r w:rsidRPr="000E178C">
        <w:rPr>
          <w:rFonts w:cs="Times New Roman"/>
          <w:szCs w:val="24"/>
        </w:rPr>
        <w:t>was diagnosed</w:t>
      </w:r>
      <w:r w:rsidR="00582F04" w:rsidRPr="000E178C">
        <w:rPr>
          <w:rFonts w:cs="Times New Roman"/>
          <w:szCs w:val="24"/>
        </w:rPr>
        <w:t xml:space="preserve"> </w:t>
      </w:r>
      <w:r w:rsidR="00A40B2A" w:rsidRPr="000E178C">
        <w:rPr>
          <w:rFonts w:cs="Times New Roman"/>
          <w:szCs w:val="24"/>
        </w:rPr>
        <w:t>with</w:t>
      </w:r>
      <w:r w:rsidR="00582F04" w:rsidRPr="000E178C">
        <w:rPr>
          <w:rFonts w:cs="Times New Roman"/>
          <w:szCs w:val="24"/>
        </w:rPr>
        <w:t xml:space="preserve"> </w:t>
      </w:r>
      <w:r w:rsidR="00BD1BB0" w:rsidRPr="000E178C">
        <w:rPr>
          <w:rFonts w:cs="Times New Roman"/>
          <w:szCs w:val="24"/>
        </w:rPr>
        <w:t>n</w:t>
      </w:r>
      <w:r w:rsidR="008A01F1" w:rsidRPr="000E178C">
        <w:rPr>
          <w:rFonts w:cs="Times New Roman"/>
          <w:szCs w:val="24"/>
        </w:rPr>
        <w:t>eu</w:t>
      </w:r>
      <w:r w:rsidR="00BD1BB0" w:rsidRPr="000E178C">
        <w:rPr>
          <w:rFonts w:cs="Times New Roman"/>
          <w:szCs w:val="24"/>
        </w:rPr>
        <w:t>ro glioblastoma</w:t>
      </w:r>
      <w:r w:rsidR="008527A1" w:rsidRPr="000E178C">
        <w:rPr>
          <w:rFonts w:cs="Times New Roman"/>
          <w:szCs w:val="24"/>
        </w:rPr>
        <w:t xml:space="preserve">, an </w:t>
      </w:r>
      <w:r w:rsidR="008A01F1" w:rsidRPr="000E178C">
        <w:rPr>
          <w:rFonts w:cs="Times New Roman"/>
          <w:szCs w:val="24"/>
        </w:rPr>
        <w:t>aggressive form on brain cancer</w:t>
      </w:r>
      <w:r w:rsidR="0081691D" w:rsidRPr="000E178C">
        <w:rPr>
          <w:rFonts w:cs="Times New Roman"/>
          <w:szCs w:val="24"/>
        </w:rPr>
        <w:t xml:space="preserve">. </w:t>
      </w:r>
      <w:r w:rsidR="00770B24" w:rsidRPr="000E178C">
        <w:rPr>
          <w:rFonts w:cs="Times New Roman"/>
          <w:szCs w:val="24"/>
        </w:rPr>
        <w:t xml:space="preserve">R. at 3. </w:t>
      </w:r>
      <w:r w:rsidR="00675F6C" w:rsidRPr="000E178C">
        <w:rPr>
          <w:rFonts w:cs="Times New Roman"/>
          <w:szCs w:val="24"/>
        </w:rPr>
        <w:t>Prior to this diagnosis</w:t>
      </w:r>
      <w:r w:rsidR="00D3211D">
        <w:rPr>
          <w:rFonts w:cs="Times New Roman"/>
          <w:szCs w:val="24"/>
        </w:rPr>
        <w:t>,</w:t>
      </w:r>
      <w:r w:rsidR="00675F6C" w:rsidRPr="000E178C">
        <w:rPr>
          <w:rFonts w:cs="Times New Roman"/>
          <w:szCs w:val="24"/>
        </w:rPr>
        <w:t xml:space="preserve"> Mr. Hernandez </w:t>
      </w:r>
      <w:r w:rsidR="00545159" w:rsidRPr="000E178C">
        <w:rPr>
          <w:rFonts w:cs="Times New Roman"/>
          <w:szCs w:val="24"/>
        </w:rPr>
        <w:t xml:space="preserve">suffered from blurred vision, </w:t>
      </w:r>
      <w:r w:rsidR="005E35B0" w:rsidRPr="000E178C">
        <w:rPr>
          <w:rFonts w:cs="Times New Roman"/>
          <w:szCs w:val="24"/>
        </w:rPr>
        <w:t>nausea and severe headaches, which he reported to his supervisor</w:t>
      </w:r>
      <w:r w:rsidR="0095674B">
        <w:rPr>
          <w:rFonts w:cs="Times New Roman"/>
          <w:szCs w:val="24"/>
        </w:rPr>
        <w:t xml:space="preserve"> on December 9, 2016</w:t>
      </w:r>
      <w:r w:rsidR="005E35B0" w:rsidRPr="000E178C">
        <w:rPr>
          <w:rFonts w:cs="Times New Roman"/>
          <w:szCs w:val="24"/>
        </w:rPr>
        <w:t xml:space="preserve">. R. at 2. </w:t>
      </w:r>
      <w:r w:rsidR="008E0278" w:rsidRPr="000E178C">
        <w:rPr>
          <w:rFonts w:cs="Times New Roman"/>
          <w:szCs w:val="24"/>
        </w:rPr>
        <w:t>Mr. Hernandez</w:t>
      </w:r>
      <w:r w:rsidR="00910991" w:rsidRPr="000E178C">
        <w:rPr>
          <w:rFonts w:cs="Times New Roman"/>
          <w:szCs w:val="24"/>
        </w:rPr>
        <w:t xml:space="preserve"> request</w:t>
      </w:r>
      <w:r w:rsidR="008E0278" w:rsidRPr="000E178C">
        <w:rPr>
          <w:rFonts w:cs="Times New Roman"/>
          <w:szCs w:val="24"/>
        </w:rPr>
        <w:t>ed</w:t>
      </w:r>
      <w:r w:rsidR="00910991" w:rsidRPr="000E178C">
        <w:rPr>
          <w:rFonts w:cs="Times New Roman"/>
          <w:szCs w:val="24"/>
        </w:rPr>
        <w:t xml:space="preserve"> a modified schedule to accommodate his health concerns</w:t>
      </w:r>
      <w:r w:rsidR="00B50A06" w:rsidRPr="000E178C">
        <w:rPr>
          <w:rFonts w:cs="Times New Roman"/>
          <w:szCs w:val="24"/>
        </w:rPr>
        <w:t xml:space="preserve"> that was denied</w:t>
      </w:r>
      <w:r w:rsidR="002054D0">
        <w:rPr>
          <w:rFonts w:cs="Times New Roman"/>
          <w:szCs w:val="24"/>
        </w:rPr>
        <w:t xml:space="preserve"> citing the upcoming software project</w:t>
      </w:r>
      <w:r w:rsidR="003C4914">
        <w:rPr>
          <w:rFonts w:cs="Times New Roman"/>
          <w:szCs w:val="24"/>
        </w:rPr>
        <w:t>.</w:t>
      </w:r>
      <w:r w:rsidR="00B50A06" w:rsidRPr="000E178C">
        <w:rPr>
          <w:rFonts w:cs="Times New Roman"/>
          <w:szCs w:val="24"/>
        </w:rPr>
        <w:t xml:space="preserve"> </w:t>
      </w:r>
      <w:r w:rsidR="008527A1" w:rsidRPr="000E178C">
        <w:rPr>
          <w:rFonts w:cs="Times New Roman"/>
          <w:szCs w:val="24"/>
        </w:rPr>
        <w:t>R. at 2</w:t>
      </w:r>
      <w:r w:rsidR="00861402">
        <w:rPr>
          <w:rFonts w:cs="Times New Roman"/>
          <w:szCs w:val="24"/>
        </w:rPr>
        <w:t>. Not only did this lead to Mr. Hernandez’s termination but his attempt to seek assistance for his disability</w:t>
      </w:r>
      <w:r w:rsidR="003C4914">
        <w:rPr>
          <w:rFonts w:cs="Times New Roman"/>
          <w:szCs w:val="24"/>
        </w:rPr>
        <w:t xml:space="preserve"> also lead to negative references from his supervisor.</w:t>
      </w:r>
      <w:r w:rsidR="0024631B" w:rsidRPr="000E178C">
        <w:rPr>
          <w:rFonts w:cs="Times New Roman"/>
          <w:szCs w:val="24"/>
        </w:rPr>
        <w:t xml:space="preserve"> R. at 3. </w:t>
      </w:r>
    </w:p>
    <w:p w14:paraId="7A248A7D" w14:textId="0B463F47" w:rsidR="00007E27" w:rsidRPr="000E178C" w:rsidRDefault="00A40B2A" w:rsidP="002B4FDF">
      <w:pPr>
        <w:rPr>
          <w:rFonts w:cs="Times New Roman"/>
          <w:szCs w:val="24"/>
        </w:rPr>
      </w:pPr>
      <w:r w:rsidRPr="000E178C">
        <w:rPr>
          <w:rFonts w:cs="Times New Roman"/>
          <w:szCs w:val="24"/>
        </w:rPr>
        <w:t>Two years</w:t>
      </w:r>
      <w:r w:rsidR="00907C77">
        <w:rPr>
          <w:rFonts w:cs="Times New Roman"/>
          <w:szCs w:val="24"/>
        </w:rPr>
        <w:t xml:space="preserve"> prior to Mr. Hernandez’s termination</w:t>
      </w:r>
      <w:r w:rsidRPr="000E178C">
        <w:rPr>
          <w:rFonts w:cs="Times New Roman"/>
          <w:szCs w:val="24"/>
        </w:rPr>
        <w:t>, i</w:t>
      </w:r>
      <w:r w:rsidR="00CD1859" w:rsidRPr="000E178C">
        <w:rPr>
          <w:rFonts w:cs="Times New Roman"/>
          <w:szCs w:val="24"/>
        </w:rPr>
        <w:t>n February 2015</w:t>
      </w:r>
      <w:r w:rsidR="00907C77">
        <w:rPr>
          <w:rFonts w:cs="Times New Roman"/>
          <w:szCs w:val="24"/>
        </w:rPr>
        <w:t>,</w:t>
      </w:r>
      <w:r w:rsidR="00CD1859" w:rsidRPr="000E178C">
        <w:rPr>
          <w:rFonts w:cs="Times New Roman"/>
          <w:szCs w:val="24"/>
        </w:rPr>
        <w:t xml:space="preserve"> Mr. Hernandez </w:t>
      </w:r>
      <w:r w:rsidRPr="000E178C">
        <w:rPr>
          <w:rFonts w:cs="Times New Roman"/>
          <w:szCs w:val="24"/>
        </w:rPr>
        <w:t>began work</w:t>
      </w:r>
      <w:r w:rsidR="00CD1859" w:rsidRPr="000E178C">
        <w:rPr>
          <w:rFonts w:cs="Times New Roman"/>
          <w:szCs w:val="24"/>
        </w:rPr>
        <w:t xml:space="preserve"> at SSS, a</w:t>
      </w:r>
      <w:r w:rsidR="00907C77">
        <w:rPr>
          <w:rFonts w:cs="Times New Roman"/>
          <w:szCs w:val="24"/>
        </w:rPr>
        <w:t>s a</w:t>
      </w:r>
      <w:r w:rsidR="00CD1859" w:rsidRPr="000E178C">
        <w:rPr>
          <w:rFonts w:cs="Times New Roman"/>
          <w:szCs w:val="24"/>
        </w:rPr>
        <w:t xml:space="preserve"> software developer.</w:t>
      </w:r>
      <w:r w:rsidR="001631F6" w:rsidRPr="000E178C">
        <w:rPr>
          <w:rFonts w:cs="Times New Roman"/>
          <w:szCs w:val="24"/>
        </w:rPr>
        <w:t xml:space="preserve"> R. at 2. </w:t>
      </w:r>
      <w:r w:rsidR="00907C77">
        <w:rPr>
          <w:rFonts w:cs="Times New Roman"/>
          <w:szCs w:val="24"/>
        </w:rPr>
        <w:t xml:space="preserve">In the same </w:t>
      </w:r>
      <w:r w:rsidR="002D433D" w:rsidRPr="000E178C">
        <w:rPr>
          <w:rFonts w:cs="Times New Roman"/>
          <w:szCs w:val="24"/>
        </w:rPr>
        <w:t>year</w:t>
      </w:r>
      <w:r w:rsidR="0051695E">
        <w:rPr>
          <w:rFonts w:cs="Times New Roman"/>
          <w:szCs w:val="24"/>
        </w:rPr>
        <w:t>,</w:t>
      </w:r>
      <w:r w:rsidR="002D433D" w:rsidRPr="000E178C">
        <w:rPr>
          <w:rFonts w:cs="Times New Roman"/>
          <w:szCs w:val="24"/>
        </w:rPr>
        <w:t xml:space="preserve"> </w:t>
      </w:r>
      <w:r w:rsidR="002A7872" w:rsidRPr="000E178C">
        <w:rPr>
          <w:rFonts w:cs="Times New Roman"/>
          <w:szCs w:val="24"/>
        </w:rPr>
        <w:t xml:space="preserve">he </w:t>
      </w:r>
      <w:r w:rsidR="0051695E">
        <w:rPr>
          <w:rFonts w:cs="Times New Roman"/>
          <w:szCs w:val="24"/>
        </w:rPr>
        <w:t>began</w:t>
      </w:r>
      <w:r w:rsidR="002A7872" w:rsidRPr="000E178C">
        <w:rPr>
          <w:rFonts w:cs="Times New Roman"/>
          <w:szCs w:val="24"/>
        </w:rPr>
        <w:t xml:space="preserve"> law </w:t>
      </w:r>
      <w:r w:rsidR="002C484D" w:rsidRPr="000E178C">
        <w:rPr>
          <w:rFonts w:cs="Times New Roman"/>
          <w:szCs w:val="24"/>
        </w:rPr>
        <w:t>school but</w:t>
      </w:r>
      <w:r w:rsidR="00567BED" w:rsidRPr="000E178C">
        <w:rPr>
          <w:rFonts w:cs="Times New Roman"/>
          <w:szCs w:val="24"/>
        </w:rPr>
        <w:t xml:space="preserve"> </w:t>
      </w:r>
      <w:r w:rsidR="0051695E">
        <w:rPr>
          <w:rFonts w:cs="Times New Roman"/>
          <w:szCs w:val="24"/>
        </w:rPr>
        <w:t xml:space="preserve">was forced to </w:t>
      </w:r>
      <w:r w:rsidR="00163DA9" w:rsidRPr="000E178C">
        <w:rPr>
          <w:rFonts w:cs="Times New Roman"/>
          <w:szCs w:val="24"/>
        </w:rPr>
        <w:t>discontinue</w:t>
      </w:r>
      <w:r w:rsidR="00567BED" w:rsidRPr="000E178C">
        <w:rPr>
          <w:rFonts w:cs="Times New Roman"/>
          <w:szCs w:val="24"/>
        </w:rPr>
        <w:t xml:space="preserve"> his studies because of severe migraines</w:t>
      </w:r>
      <w:r w:rsidR="002A7872" w:rsidRPr="000E178C">
        <w:rPr>
          <w:rFonts w:cs="Times New Roman"/>
          <w:szCs w:val="24"/>
        </w:rPr>
        <w:t xml:space="preserve">. </w:t>
      </w:r>
      <w:r w:rsidR="00E116C8" w:rsidRPr="000E178C">
        <w:rPr>
          <w:rFonts w:cs="Times New Roman"/>
          <w:szCs w:val="24"/>
        </w:rPr>
        <w:t>R. at 10</w:t>
      </w:r>
      <w:r w:rsidR="00BD6818" w:rsidRPr="000E178C">
        <w:rPr>
          <w:rFonts w:cs="Times New Roman"/>
          <w:szCs w:val="24"/>
        </w:rPr>
        <w:t xml:space="preserve">; </w:t>
      </w:r>
      <w:r w:rsidR="003646D7" w:rsidRPr="000E178C">
        <w:rPr>
          <w:rFonts w:cs="Times New Roman"/>
          <w:szCs w:val="24"/>
        </w:rPr>
        <w:t xml:space="preserve">Pl.’s Appl. for In Forma Pauperis and Appointment of Counsel </w:t>
      </w:r>
      <w:r w:rsidR="007B3AB5" w:rsidRPr="000E178C">
        <w:rPr>
          <w:rFonts w:cs="Times New Roman"/>
          <w:szCs w:val="24"/>
        </w:rPr>
        <w:t>2</w:t>
      </w:r>
      <w:r w:rsidR="00BD6818" w:rsidRPr="000E178C">
        <w:rPr>
          <w:rFonts w:cs="Times New Roman"/>
          <w:szCs w:val="24"/>
        </w:rPr>
        <w:t xml:space="preserve">. </w:t>
      </w:r>
      <w:r w:rsidR="00230242" w:rsidRPr="000E178C">
        <w:rPr>
          <w:rFonts w:cs="Times New Roman"/>
          <w:szCs w:val="24"/>
        </w:rPr>
        <w:t xml:space="preserve">As the severity of the headaches increased, Mr. Hernandez </w:t>
      </w:r>
      <w:r w:rsidR="00521C83" w:rsidRPr="000E178C">
        <w:rPr>
          <w:rFonts w:cs="Times New Roman"/>
          <w:szCs w:val="24"/>
        </w:rPr>
        <w:t>was unable to meet two project deadlines</w:t>
      </w:r>
      <w:r w:rsidR="00D167AC" w:rsidRPr="000E178C">
        <w:rPr>
          <w:rFonts w:cs="Times New Roman"/>
          <w:szCs w:val="24"/>
        </w:rPr>
        <w:t xml:space="preserve"> and</w:t>
      </w:r>
      <w:r w:rsidR="00F41AA1" w:rsidRPr="000E178C">
        <w:rPr>
          <w:rFonts w:cs="Times New Roman"/>
          <w:szCs w:val="24"/>
        </w:rPr>
        <w:t xml:space="preserve"> </w:t>
      </w:r>
      <w:r w:rsidR="00F04E6D" w:rsidRPr="000E178C">
        <w:rPr>
          <w:rFonts w:cs="Times New Roman"/>
          <w:szCs w:val="24"/>
        </w:rPr>
        <w:t>missed a few days of work</w:t>
      </w:r>
      <w:r w:rsidR="001434CF">
        <w:rPr>
          <w:rFonts w:cs="Times New Roman"/>
          <w:szCs w:val="24"/>
        </w:rPr>
        <w:t xml:space="preserve"> and </w:t>
      </w:r>
      <w:r w:rsidR="00163892">
        <w:rPr>
          <w:rFonts w:cs="Times New Roman"/>
          <w:szCs w:val="24"/>
        </w:rPr>
        <w:t>this severe pain lead him to seek</w:t>
      </w:r>
      <w:r w:rsidR="00230242" w:rsidRPr="000E178C">
        <w:rPr>
          <w:rFonts w:cs="Times New Roman"/>
          <w:szCs w:val="24"/>
        </w:rPr>
        <w:t xml:space="preserve"> medical </w:t>
      </w:r>
      <w:r w:rsidR="00503374" w:rsidRPr="000E178C">
        <w:rPr>
          <w:rFonts w:cs="Times New Roman"/>
          <w:szCs w:val="24"/>
        </w:rPr>
        <w:t>attention</w:t>
      </w:r>
      <w:r w:rsidR="00A12A62">
        <w:rPr>
          <w:rFonts w:cs="Times New Roman"/>
          <w:szCs w:val="24"/>
        </w:rPr>
        <w:t xml:space="preserve"> and he</w:t>
      </w:r>
      <w:r w:rsidR="00503374" w:rsidRPr="000E178C">
        <w:rPr>
          <w:rFonts w:cs="Times New Roman"/>
          <w:szCs w:val="24"/>
        </w:rPr>
        <w:t xml:space="preserve"> receiv</w:t>
      </w:r>
      <w:r w:rsidR="00A12A62">
        <w:rPr>
          <w:rFonts w:cs="Times New Roman"/>
          <w:szCs w:val="24"/>
        </w:rPr>
        <w:t>ed</w:t>
      </w:r>
      <w:r w:rsidR="00503374" w:rsidRPr="000E178C">
        <w:rPr>
          <w:rFonts w:cs="Times New Roman"/>
          <w:szCs w:val="24"/>
        </w:rPr>
        <w:t xml:space="preserve"> a neurological exam on November 17, 2016. </w:t>
      </w:r>
      <w:r w:rsidR="00521C83" w:rsidRPr="000E178C">
        <w:rPr>
          <w:rFonts w:cs="Times New Roman"/>
          <w:szCs w:val="24"/>
        </w:rPr>
        <w:t xml:space="preserve">R. at 2. </w:t>
      </w:r>
      <w:r w:rsidR="0033576A" w:rsidRPr="000E178C">
        <w:rPr>
          <w:rFonts w:cs="Times New Roman"/>
          <w:szCs w:val="24"/>
        </w:rPr>
        <w:t xml:space="preserve">On December 9, 2016 </w:t>
      </w:r>
      <w:r w:rsidR="00E2226C">
        <w:rPr>
          <w:rFonts w:cs="Times New Roman"/>
          <w:szCs w:val="24"/>
        </w:rPr>
        <w:t xml:space="preserve">Mr. </w:t>
      </w:r>
      <w:r w:rsidR="00B93ACA">
        <w:rPr>
          <w:rFonts w:cs="Times New Roman"/>
          <w:szCs w:val="24"/>
        </w:rPr>
        <w:t>Hernandez</w:t>
      </w:r>
      <w:r w:rsidR="003E0F16" w:rsidRPr="000E178C">
        <w:rPr>
          <w:rFonts w:cs="Times New Roman"/>
          <w:szCs w:val="24"/>
        </w:rPr>
        <w:t xml:space="preserve"> </w:t>
      </w:r>
      <w:r w:rsidR="0033576A" w:rsidRPr="000E178C">
        <w:rPr>
          <w:rFonts w:cs="Times New Roman"/>
          <w:szCs w:val="24"/>
        </w:rPr>
        <w:t>met with his super</w:t>
      </w:r>
      <w:r w:rsidR="001C6064" w:rsidRPr="000E178C">
        <w:rPr>
          <w:rFonts w:cs="Times New Roman"/>
          <w:szCs w:val="24"/>
        </w:rPr>
        <w:t xml:space="preserve">visor, Maeve </w:t>
      </w:r>
      <w:r w:rsidR="002C484D" w:rsidRPr="000E178C">
        <w:rPr>
          <w:rFonts w:cs="Times New Roman"/>
          <w:szCs w:val="24"/>
        </w:rPr>
        <w:t>Gryphon</w:t>
      </w:r>
      <w:r w:rsidR="00B05D5E" w:rsidRPr="000E178C">
        <w:rPr>
          <w:rFonts w:cs="Times New Roman"/>
          <w:szCs w:val="24"/>
        </w:rPr>
        <w:t>,</w:t>
      </w:r>
      <w:r w:rsidR="002C484D" w:rsidRPr="000E178C">
        <w:rPr>
          <w:rFonts w:cs="Times New Roman"/>
          <w:szCs w:val="24"/>
        </w:rPr>
        <w:t xml:space="preserve"> </w:t>
      </w:r>
      <w:r w:rsidR="00EF3EC2" w:rsidRPr="000E178C">
        <w:rPr>
          <w:rFonts w:cs="Times New Roman"/>
          <w:szCs w:val="24"/>
        </w:rPr>
        <w:t>to discuss h</w:t>
      </w:r>
      <w:r w:rsidR="00AF6AD8" w:rsidRPr="000E178C">
        <w:rPr>
          <w:rFonts w:cs="Times New Roman"/>
          <w:szCs w:val="24"/>
        </w:rPr>
        <w:t xml:space="preserve">is work performance. R. at 2. In the same meeting, </w:t>
      </w:r>
      <w:r w:rsidR="003E0F16" w:rsidRPr="000E178C">
        <w:rPr>
          <w:rFonts w:cs="Times New Roman"/>
          <w:szCs w:val="24"/>
        </w:rPr>
        <w:t xml:space="preserve">Mr. Hernandez </w:t>
      </w:r>
      <w:r w:rsidR="002C484D" w:rsidRPr="000E178C">
        <w:rPr>
          <w:rFonts w:cs="Times New Roman"/>
          <w:szCs w:val="24"/>
        </w:rPr>
        <w:t>requested</w:t>
      </w:r>
      <w:r w:rsidR="002C2545" w:rsidRPr="000E178C">
        <w:rPr>
          <w:rFonts w:cs="Times New Roman"/>
          <w:szCs w:val="24"/>
        </w:rPr>
        <w:t xml:space="preserve"> a modifie</w:t>
      </w:r>
      <w:r w:rsidR="002F5B28" w:rsidRPr="000E178C">
        <w:rPr>
          <w:rFonts w:cs="Times New Roman"/>
          <w:szCs w:val="24"/>
        </w:rPr>
        <w:t>d work schedule</w:t>
      </w:r>
      <w:r w:rsidR="00986954" w:rsidRPr="000E178C">
        <w:rPr>
          <w:rFonts w:cs="Times New Roman"/>
          <w:szCs w:val="24"/>
        </w:rPr>
        <w:t xml:space="preserve"> to allow him to meet the requirements of the position and meet project deadlines</w:t>
      </w:r>
      <w:r w:rsidR="00E95A0F" w:rsidRPr="000E178C">
        <w:rPr>
          <w:rFonts w:cs="Times New Roman"/>
          <w:szCs w:val="24"/>
        </w:rPr>
        <w:t xml:space="preserve"> </w:t>
      </w:r>
      <w:r w:rsidR="009F63B2" w:rsidRPr="000E178C">
        <w:rPr>
          <w:rFonts w:cs="Times New Roman"/>
          <w:szCs w:val="24"/>
        </w:rPr>
        <w:t xml:space="preserve">as he </w:t>
      </w:r>
      <w:r w:rsidR="00ED2429" w:rsidRPr="000E178C">
        <w:rPr>
          <w:rFonts w:cs="Times New Roman"/>
          <w:szCs w:val="24"/>
        </w:rPr>
        <w:t>struggled with his health, but</w:t>
      </w:r>
      <w:r w:rsidR="00691194" w:rsidRPr="000E178C">
        <w:rPr>
          <w:rFonts w:cs="Times New Roman"/>
          <w:szCs w:val="24"/>
        </w:rPr>
        <w:t xml:space="preserve"> </w:t>
      </w:r>
      <w:r w:rsidR="00ED2429" w:rsidRPr="000E178C">
        <w:rPr>
          <w:rFonts w:cs="Times New Roman"/>
          <w:szCs w:val="24"/>
        </w:rPr>
        <w:t xml:space="preserve">Ms. Gryphon </w:t>
      </w:r>
      <w:r w:rsidR="00691194" w:rsidRPr="000E178C">
        <w:rPr>
          <w:rFonts w:cs="Times New Roman"/>
          <w:szCs w:val="24"/>
        </w:rPr>
        <w:t xml:space="preserve">denied </w:t>
      </w:r>
      <w:r w:rsidR="00ED2429" w:rsidRPr="000E178C">
        <w:rPr>
          <w:rFonts w:cs="Times New Roman"/>
          <w:szCs w:val="24"/>
        </w:rPr>
        <w:t>this request citing</w:t>
      </w:r>
      <w:r w:rsidR="00691194" w:rsidRPr="000E178C">
        <w:rPr>
          <w:rFonts w:cs="Times New Roman"/>
          <w:szCs w:val="24"/>
        </w:rPr>
        <w:t xml:space="preserve"> a new software project</w:t>
      </w:r>
      <w:r w:rsidR="00B50841">
        <w:rPr>
          <w:rFonts w:cs="Times New Roman"/>
          <w:szCs w:val="24"/>
        </w:rPr>
        <w:t xml:space="preserve"> as justification for the refusal</w:t>
      </w:r>
      <w:r w:rsidR="00691194" w:rsidRPr="000E178C">
        <w:rPr>
          <w:rFonts w:cs="Times New Roman"/>
          <w:szCs w:val="24"/>
        </w:rPr>
        <w:t xml:space="preserve">. R. at 2. </w:t>
      </w:r>
      <w:r w:rsidR="00347E8B" w:rsidRPr="000E178C">
        <w:rPr>
          <w:rFonts w:cs="Times New Roman"/>
          <w:szCs w:val="24"/>
        </w:rPr>
        <w:t>On December 15, 2016 Mr. Hernandez’s colleague Samantha Smith</w:t>
      </w:r>
      <w:r w:rsidR="00203A21" w:rsidRPr="000E178C">
        <w:rPr>
          <w:rFonts w:cs="Times New Roman"/>
          <w:szCs w:val="24"/>
        </w:rPr>
        <w:t xml:space="preserve"> became angry </w:t>
      </w:r>
      <w:r w:rsidR="00B50841">
        <w:rPr>
          <w:rFonts w:cs="Times New Roman"/>
          <w:szCs w:val="24"/>
        </w:rPr>
        <w:t>with</w:t>
      </w:r>
      <w:r w:rsidR="00203A21" w:rsidRPr="000E178C">
        <w:rPr>
          <w:rFonts w:cs="Times New Roman"/>
          <w:szCs w:val="24"/>
        </w:rPr>
        <w:t xml:space="preserve"> him, accusing him of sabotaging the project because he had missed </w:t>
      </w:r>
      <w:r w:rsidR="00C734B3" w:rsidRPr="000E178C">
        <w:rPr>
          <w:rFonts w:cs="Times New Roman"/>
          <w:szCs w:val="24"/>
        </w:rPr>
        <w:t>several meetings due to his illness. R. at 2.</w:t>
      </w:r>
    </w:p>
    <w:p w14:paraId="60FE072B" w14:textId="45F88842" w:rsidR="00DE5B20" w:rsidRPr="000E178C" w:rsidRDefault="00766500" w:rsidP="00DE5B20">
      <w:pPr>
        <w:rPr>
          <w:rFonts w:cs="Times New Roman"/>
          <w:szCs w:val="24"/>
        </w:rPr>
      </w:pPr>
      <w:r w:rsidRPr="000E178C">
        <w:rPr>
          <w:rFonts w:cs="Times New Roman"/>
          <w:szCs w:val="24"/>
        </w:rPr>
        <w:t xml:space="preserve"> </w:t>
      </w:r>
      <w:r w:rsidR="000B0F3C" w:rsidRPr="000E178C">
        <w:rPr>
          <w:rFonts w:cs="Times New Roman"/>
          <w:szCs w:val="24"/>
        </w:rPr>
        <w:t>On January 3, 20</w:t>
      </w:r>
      <w:r w:rsidR="00EF16B4" w:rsidRPr="000E178C">
        <w:rPr>
          <w:rFonts w:cs="Times New Roman"/>
          <w:szCs w:val="24"/>
        </w:rPr>
        <w:t xml:space="preserve">17 </w:t>
      </w:r>
      <w:r w:rsidR="00C1573E" w:rsidRPr="000E178C">
        <w:rPr>
          <w:rFonts w:cs="Times New Roman"/>
          <w:szCs w:val="24"/>
        </w:rPr>
        <w:t xml:space="preserve">Ms. </w:t>
      </w:r>
      <w:r w:rsidR="00EF16B4" w:rsidRPr="000E178C">
        <w:rPr>
          <w:rFonts w:cs="Times New Roman"/>
          <w:szCs w:val="24"/>
        </w:rPr>
        <w:t xml:space="preserve">Gryphon met again with </w:t>
      </w:r>
      <w:r w:rsidR="00C1573E" w:rsidRPr="000E178C">
        <w:rPr>
          <w:rFonts w:cs="Times New Roman"/>
          <w:szCs w:val="24"/>
        </w:rPr>
        <w:t xml:space="preserve">Mr. </w:t>
      </w:r>
      <w:r w:rsidR="00EF16B4" w:rsidRPr="000E178C">
        <w:rPr>
          <w:rFonts w:cs="Times New Roman"/>
          <w:szCs w:val="24"/>
        </w:rPr>
        <w:t xml:space="preserve">Hernandez </w:t>
      </w:r>
      <w:r w:rsidR="0076723F" w:rsidRPr="000E178C">
        <w:rPr>
          <w:rFonts w:cs="Times New Roman"/>
          <w:szCs w:val="24"/>
        </w:rPr>
        <w:t>to discuss his absence</w:t>
      </w:r>
      <w:r w:rsidR="00824ED2" w:rsidRPr="000E178C">
        <w:rPr>
          <w:rFonts w:cs="Times New Roman"/>
          <w:szCs w:val="24"/>
        </w:rPr>
        <w:t xml:space="preserve"> </w:t>
      </w:r>
      <w:r w:rsidR="00A67F6F">
        <w:rPr>
          <w:rFonts w:cs="Times New Roman"/>
          <w:szCs w:val="24"/>
        </w:rPr>
        <w:t xml:space="preserve">and </w:t>
      </w:r>
      <w:r w:rsidR="00824ED2" w:rsidRPr="000E178C">
        <w:rPr>
          <w:rFonts w:cs="Times New Roman"/>
          <w:szCs w:val="24"/>
        </w:rPr>
        <w:t>request</w:t>
      </w:r>
      <w:r w:rsidR="00A67F6F">
        <w:rPr>
          <w:rFonts w:cs="Times New Roman"/>
          <w:szCs w:val="24"/>
        </w:rPr>
        <w:t>ed</w:t>
      </w:r>
      <w:r w:rsidR="00824ED2" w:rsidRPr="000E178C">
        <w:rPr>
          <w:rFonts w:cs="Times New Roman"/>
          <w:szCs w:val="24"/>
        </w:rPr>
        <w:t xml:space="preserve"> he work</w:t>
      </w:r>
      <w:r w:rsidR="00653E22" w:rsidRPr="000E178C">
        <w:rPr>
          <w:rFonts w:cs="Times New Roman"/>
          <w:szCs w:val="24"/>
        </w:rPr>
        <w:t xml:space="preserve"> better with his colleagues.</w:t>
      </w:r>
      <w:r w:rsidR="00A60239" w:rsidRPr="000E178C">
        <w:rPr>
          <w:rFonts w:cs="Times New Roman"/>
          <w:szCs w:val="24"/>
        </w:rPr>
        <w:t xml:space="preserve"> R. at 3. </w:t>
      </w:r>
      <w:r w:rsidR="00C1573E" w:rsidRPr="000E178C">
        <w:rPr>
          <w:rFonts w:cs="Times New Roman"/>
          <w:szCs w:val="24"/>
        </w:rPr>
        <w:t xml:space="preserve">Mr. Hernandez explained that his neurological exam had </w:t>
      </w:r>
      <w:r w:rsidR="00824ED2" w:rsidRPr="000E178C">
        <w:rPr>
          <w:rFonts w:cs="Times New Roman"/>
          <w:szCs w:val="24"/>
        </w:rPr>
        <w:t>shown</w:t>
      </w:r>
      <w:r w:rsidR="00C1573E" w:rsidRPr="000E178C">
        <w:rPr>
          <w:rFonts w:cs="Times New Roman"/>
          <w:szCs w:val="24"/>
        </w:rPr>
        <w:t xml:space="preserve"> an </w:t>
      </w:r>
      <w:r w:rsidR="001E7D30">
        <w:rPr>
          <w:rFonts w:cs="Times New Roman"/>
          <w:szCs w:val="24"/>
        </w:rPr>
        <w:t xml:space="preserve">alarming </w:t>
      </w:r>
      <w:r w:rsidR="00C1573E" w:rsidRPr="000E178C">
        <w:rPr>
          <w:rFonts w:cs="Times New Roman"/>
          <w:szCs w:val="24"/>
        </w:rPr>
        <w:t xml:space="preserve">abnormality, which </w:t>
      </w:r>
      <w:r w:rsidR="0017192A" w:rsidRPr="000E178C">
        <w:rPr>
          <w:rFonts w:cs="Times New Roman"/>
          <w:szCs w:val="24"/>
        </w:rPr>
        <w:t xml:space="preserve">may be cancer, and requested </w:t>
      </w:r>
      <w:r w:rsidR="00962FBA" w:rsidRPr="000E178C">
        <w:rPr>
          <w:rFonts w:cs="Times New Roman"/>
          <w:szCs w:val="24"/>
        </w:rPr>
        <w:t>the following week off</w:t>
      </w:r>
      <w:r w:rsidR="0017192A" w:rsidRPr="000E178C">
        <w:rPr>
          <w:rFonts w:cs="Times New Roman"/>
          <w:szCs w:val="24"/>
        </w:rPr>
        <w:t xml:space="preserve">. R. at 3. </w:t>
      </w:r>
      <w:r w:rsidR="006A5B64" w:rsidRPr="000E178C">
        <w:rPr>
          <w:rFonts w:cs="Times New Roman"/>
          <w:szCs w:val="24"/>
        </w:rPr>
        <w:t xml:space="preserve">Mr. Hernandez </w:t>
      </w:r>
      <w:r w:rsidR="0002783F" w:rsidRPr="000E178C">
        <w:rPr>
          <w:rFonts w:cs="Times New Roman"/>
          <w:szCs w:val="24"/>
        </w:rPr>
        <w:t xml:space="preserve">took the week of January 9 – 14 off work, receiving </w:t>
      </w:r>
      <w:r w:rsidR="00393340" w:rsidRPr="000E178C">
        <w:rPr>
          <w:rFonts w:cs="Times New Roman"/>
          <w:szCs w:val="24"/>
        </w:rPr>
        <w:t>a positive cancer diagnosis on January 13, 2017. R. at 3</w:t>
      </w:r>
      <w:r w:rsidR="008C50FE" w:rsidRPr="000E178C">
        <w:rPr>
          <w:rFonts w:cs="Times New Roman"/>
          <w:szCs w:val="24"/>
        </w:rPr>
        <w:t xml:space="preserve">. Mr. Hernandez’s cancer symptoms </w:t>
      </w:r>
      <w:r w:rsidR="00682F81" w:rsidRPr="000E178C">
        <w:rPr>
          <w:rFonts w:cs="Times New Roman"/>
          <w:szCs w:val="24"/>
        </w:rPr>
        <w:t>flared the following week on January 16 and 17,</w:t>
      </w:r>
      <w:r w:rsidR="00D55433" w:rsidRPr="000E178C">
        <w:rPr>
          <w:rFonts w:cs="Times New Roman"/>
          <w:szCs w:val="24"/>
        </w:rPr>
        <w:t xml:space="preserve"> causing extreme dizziness, nausea, and vomiting and preventing Mr. Hernandez from working</w:t>
      </w:r>
      <w:r w:rsidR="00A6489B" w:rsidRPr="000E178C">
        <w:rPr>
          <w:rFonts w:cs="Times New Roman"/>
          <w:szCs w:val="24"/>
        </w:rPr>
        <w:t xml:space="preserve"> on those days in addition to January 19 and 20. </w:t>
      </w:r>
      <w:r w:rsidR="00222A09" w:rsidRPr="000E178C">
        <w:rPr>
          <w:rFonts w:cs="Times New Roman"/>
          <w:szCs w:val="24"/>
        </w:rPr>
        <w:t xml:space="preserve">R. at 3. </w:t>
      </w:r>
      <w:r w:rsidR="001D34CC" w:rsidRPr="000E178C">
        <w:rPr>
          <w:rFonts w:cs="Times New Roman"/>
          <w:szCs w:val="24"/>
        </w:rPr>
        <w:t>On January 24, 2017</w:t>
      </w:r>
      <w:r w:rsidR="008C12BB" w:rsidRPr="000E178C">
        <w:rPr>
          <w:rFonts w:cs="Times New Roman"/>
          <w:szCs w:val="24"/>
        </w:rPr>
        <w:t xml:space="preserve"> SSS terminated Mr. Hernandez’s employment without</w:t>
      </w:r>
      <w:r w:rsidR="002A7855" w:rsidRPr="000E178C">
        <w:rPr>
          <w:rFonts w:cs="Times New Roman"/>
          <w:szCs w:val="24"/>
        </w:rPr>
        <w:t xml:space="preserve"> warning or other formal disciplinary action. R. at 3. </w:t>
      </w:r>
      <w:r w:rsidR="00DE5B20" w:rsidRPr="000E178C">
        <w:rPr>
          <w:rFonts w:cs="Times New Roman"/>
          <w:szCs w:val="24"/>
        </w:rPr>
        <w:t xml:space="preserve">SSS holds Mr. Hernandez responsible for the delay of their new software project, despite their being another employee with similar skills and education that could have helped the project when Mr. Hernandez’s cancer symptoms began to manifest. R. at 12, 16. </w:t>
      </w:r>
      <w:r w:rsidR="003B037C" w:rsidRPr="000E178C">
        <w:rPr>
          <w:rFonts w:cs="Times New Roman"/>
          <w:szCs w:val="24"/>
        </w:rPr>
        <w:t>At the time of his termination, Mr. Hernandez had almost completed his work on his project. R. at 12, 18.</w:t>
      </w:r>
    </w:p>
    <w:p w14:paraId="5FCCB6AA" w14:textId="37197308" w:rsidR="005A66C8" w:rsidRPr="000E178C" w:rsidRDefault="0028403D" w:rsidP="002B4FDF">
      <w:pPr>
        <w:rPr>
          <w:rFonts w:cs="Times New Roman"/>
          <w:szCs w:val="24"/>
        </w:rPr>
      </w:pPr>
      <w:r w:rsidRPr="000E178C">
        <w:rPr>
          <w:rFonts w:cs="Times New Roman"/>
          <w:szCs w:val="24"/>
        </w:rPr>
        <w:t>On March 10, 2017 t</w:t>
      </w:r>
      <w:r w:rsidR="00A56E35" w:rsidRPr="000E178C">
        <w:rPr>
          <w:rFonts w:cs="Times New Roman"/>
          <w:szCs w:val="24"/>
        </w:rPr>
        <w:t>o pay medical bills</w:t>
      </w:r>
      <w:r w:rsidRPr="000E178C">
        <w:rPr>
          <w:rFonts w:cs="Times New Roman"/>
          <w:szCs w:val="24"/>
        </w:rPr>
        <w:t xml:space="preserve"> </w:t>
      </w:r>
      <w:r w:rsidR="008B51EA" w:rsidRPr="000E178C">
        <w:rPr>
          <w:rFonts w:cs="Times New Roman"/>
          <w:szCs w:val="24"/>
        </w:rPr>
        <w:t>and acquire</w:t>
      </w:r>
      <w:r w:rsidR="002877B5" w:rsidRPr="000E178C">
        <w:rPr>
          <w:rFonts w:cs="Times New Roman"/>
          <w:szCs w:val="24"/>
        </w:rPr>
        <w:t xml:space="preserve"> health insurance </w:t>
      </w:r>
      <w:r w:rsidRPr="000E178C">
        <w:rPr>
          <w:rFonts w:cs="Times New Roman"/>
          <w:szCs w:val="24"/>
        </w:rPr>
        <w:t>for his</w:t>
      </w:r>
      <w:r w:rsidR="002B4FDF" w:rsidRPr="000E178C">
        <w:rPr>
          <w:rFonts w:cs="Times New Roman"/>
          <w:szCs w:val="24"/>
        </w:rPr>
        <w:t xml:space="preserve"> treatment</w:t>
      </w:r>
      <w:r w:rsidR="00A56E35" w:rsidRPr="000E178C">
        <w:rPr>
          <w:rFonts w:cs="Times New Roman"/>
          <w:szCs w:val="24"/>
        </w:rPr>
        <w:t xml:space="preserve">, Mr. Hernandez sought out </w:t>
      </w:r>
      <w:r w:rsidR="00B24A40" w:rsidRPr="000E178C">
        <w:rPr>
          <w:rFonts w:cs="Times New Roman"/>
          <w:szCs w:val="24"/>
        </w:rPr>
        <w:t>new employment with E Building Solutions</w:t>
      </w:r>
      <w:r w:rsidR="00B42A2D" w:rsidRPr="000E178C">
        <w:rPr>
          <w:rFonts w:cs="Times New Roman"/>
          <w:szCs w:val="24"/>
        </w:rPr>
        <w:t xml:space="preserve"> (“EB</w:t>
      </w:r>
      <w:r w:rsidR="009B0D5B" w:rsidRPr="000E178C">
        <w:rPr>
          <w:rFonts w:cs="Times New Roman"/>
          <w:szCs w:val="24"/>
        </w:rPr>
        <w:t>S</w:t>
      </w:r>
      <w:r w:rsidR="00B42A2D" w:rsidRPr="000E178C">
        <w:rPr>
          <w:rFonts w:cs="Times New Roman"/>
          <w:szCs w:val="24"/>
        </w:rPr>
        <w:t xml:space="preserve">”). </w:t>
      </w:r>
      <w:r w:rsidR="00446BF9" w:rsidRPr="000E178C">
        <w:rPr>
          <w:rFonts w:cs="Times New Roman"/>
          <w:szCs w:val="24"/>
        </w:rPr>
        <w:t>R. at 3, 20</w:t>
      </w:r>
      <w:r w:rsidR="002877B5" w:rsidRPr="000E178C">
        <w:rPr>
          <w:rFonts w:cs="Times New Roman"/>
          <w:szCs w:val="24"/>
        </w:rPr>
        <w:t xml:space="preserve">; Pl.’s Appl. for In Forma Pauperis and Appointment of Counsel 2; </w:t>
      </w:r>
      <w:r w:rsidR="00346936" w:rsidRPr="000E178C">
        <w:rPr>
          <w:rFonts w:cs="Times New Roman"/>
          <w:szCs w:val="24"/>
        </w:rPr>
        <w:t xml:space="preserve">Fin. </w:t>
      </w:r>
      <w:r w:rsidR="009816D7" w:rsidRPr="000E178C">
        <w:rPr>
          <w:rFonts w:cs="Times New Roman"/>
          <w:szCs w:val="24"/>
        </w:rPr>
        <w:t xml:space="preserve">Aff. </w:t>
      </w:r>
      <w:r w:rsidR="00A25143" w:rsidRPr="000E178C">
        <w:rPr>
          <w:rFonts w:cs="Times New Roman"/>
          <w:szCs w:val="24"/>
        </w:rPr>
        <w:t xml:space="preserve">for Appl. In Forma Pauperis and </w:t>
      </w:r>
      <w:r w:rsidR="000E40D7" w:rsidRPr="000E178C">
        <w:rPr>
          <w:rFonts w:cs="Times New Roman"/>
          <w:szCs w:val="24"/>
        </w:rPr>
        <w:t>Appointment of Counsel 1</w:t>
      </w:r>
      <w:r w:rsidR="00446BF9" w:rsidRPr="000E178C">
        <w:rPr>
          <w:rFonts w:cs="Times New Roman"/>
          <w:szCs w:val="24"/>
        </w:rPr>
        <w:t xml:space="preserve">. </w:t>
      </w:r>
      <w:r w:rsidR="00CD2B59" w:rsidRPr="000E178C">
        <w:rPr>
          <w:rFonts w:cs="Times New Roman"/>
          <w:szCs w:val="24"/>
        </w:rPr>
        <w:t xml:space="preserve">He passed through three rounds of </w:t>
      </w:r>
      <w:r w:rsidR="00DE5B20" w:rsidRPr="000E178C">
        <w:rPr>
          <w:rFonts w:cs="Times New Roman"/>
          <w:szCs w:val="24"/>
        </w:rPr>
        <w:t>interviews but</w:t>
      </w:r>
      <w:r w:rsidR="002D224A" w:rsidRPr="000E178C">
        <w:rPr>
          <w:rFonts w:cs="Times New Roman"/>
          <w:szCs w:val="24"/>
        </w:rPr>
        <w:t xml:space="preserve"> was denied the position after Ms. Gryphon delivered a negative reference </w:t>
      </w:r>
      <w:r w:rsidR="005B41F1" w:rsidRPr="000E178C">
        <w:rPr>
          <w:rFonts w:cs="Times New Roman"/>
          <w:szCs w:val="24"/>
        </w:rPr>
        <w:t>to Axel Rosenberg, COO of EB</w:t>
      </w:r>
      <w:r w:rsidR="009B0D5B" w:rsidRPr="000E178C">
        <w:rPr>
          <w:rFonts w:cs="Times New Roman"/>
          <w:szCs w:val="24"/>
        </w:rPr>
        <w:t>S</w:t>
      </w:r>
      <w:r w:rsidR="00ED0866" w:rsidRPr="000E178C">
        <w:rPr>
          <w:rFonts w:cs="Times New Roman"/>
          <w:szCs w:val="24"/>
        </w:rPr>
        <w:t xml:space="preserve"> on March 30, 2017</w:t>
      </w:r>
      <w:r w:rsidR="00D8146D" w:rsidRPr="000E178C">
        <w:rPr>
          <w:rFonts w:cs="Times New Roman"/>
          <w:szCs w:val="24"/>
        </w:rPr>
        <w:t>,</w:t>
      </w:r>
      <w:r w:rsidR="00C05AA2" w:rsidRPr="000E178C">
        <w:rPr>
          <w:rFonts w:cs="Times New Roman"/>
          <w:szCs w:val="24"/>
        </w:rPr>
        <w:t xml:space="preserve"> stating </w:t>
      </w:r>
      <w:r w:rsidR="001E7D30">
        <w:rPr>
          <w:rFonts w:cs="Times New Roman"/>
          <w:szCs w:val="24"/>
        </w:rPr>
        <w:t xml:space="preserve">Mr. Hernandez </w:t>
      </w:r>
      <w:r w:rsidR="00F00E93">
        <w:rPr>
          <w:rFonts w:cs="Times New Roman"/>
          <w:szCs w:val="24"/>
        </w:rPr>
        <w:t>had</w:t>
      </w:r>
      <w:r w:rsidR="00C05AA2" w:rsidRPr="000E178C">
        <w:rPr>
          <w:rFonts w:cs="Times New Roman"/>
          <w:szCs w:val="24"/>
        </w:rPr>
        <w:t xml:space="preserve"> strong abilities, but </w:t>
      </w:r>
      <w:r w:rsidR="00702219" w:rsidRPr="000E178C">
        <w:rPr>
          <w:rFonts w:cs="Times New Roman"/>
          <w:szCs w:val="24"/>
        </w:rPr>
        <w:t xml:space="preserve">that he </w:t>
      </w:r>
      <w:r w:rsidR="00127D92" w:rsidRPr="000E178C">
        <w:rPr>
          <w:rFonts w:cs="Times New Roman"/>
          <w:szCs w:val="24"/>
        </w:rPr>
        <w:t>missed several deadlines and been absent from work</w:t>
      </w:r>
      <w:r w:rsidR="00A860F3">
        <w:rPr>
          <w:rFonts w:cs="Times New Roman"/>
          <w:szCs w:val="24"/>
        </w:rPr>
        <w:t xml:space="preserve"> due to health, but neglected to mention his disability</w:t>
      </w:r>
      <w:r w:rsidR="00127D92" w:rsidRPr="000E178C">
        <w:rPr>
          <w:rFonts w:cs="Times New Roman"/>
          <w:szCs w:val="24"/>
        </w:rPr>
        <w:t>.</w:t>
      </w:r>
      <w:r w:rsidR="005B41F1" w:rsidRPr="000E178C">
        <w:rPr>
          <w:rFonts w:cs="Times New Roman"/>
          <w:szCs w:val="24"/>
        </w:rPr>
        <w:t xml:space="preserve"> R. </w:t>
      </w:r>
      <w:r w:rsidR="00FB4EA6" w:rsidRPr="000E178C">
        <w:rPr>
          <w:rFonts w:cs="Times New Roman"/>
          <w:szCs w:val="24"/>
        </w:rPr>
        <w:t xml:space="preserve">at 3, </w:t>
      </w:r>
      <w:r w:rsidR="00ED0866" w:rsidRPr="000E178C">
        <w:rPr>
          <w:rFonts w:cs="Times New Roman"/>
          <w:szCs w:val="24"/>
        </w:rPr>
        <w:t xml:space="preserve">8, </w:t>
      </w:r>
      <w:r w:rsidR="001C0839" w:rsidRPr="000E178C">
        <w:rPr>
          <w:rFonts w:cs="Times New Roman"/>
          <w:szCs w:val="24"/>
        </w:rPr>
        <w:t>19.</w:t>
      </w:r>
      <w:r w:rsidR="00D41185" w:rsidRPr="000E178C">
        <w:rPr>
          <w:rFonts w:cs="Times New Roman"/>
          <w:szCs w:val="24"/>
        </w:rPr>
        <w:t xml:space="preserve"> </w:t>
      </w:r>
    </w:p>
    <w:p w14:paraId="1FD4C8B0" w14:textId="3C59DFAB" w:rsidR="00B510FD" w:rsidRPr="000E178C" w:rsidRDefault="005A66C8" w:rsidP="002B4FDF">
      <w:pPr>
        <w:rPr>
          <w:rFonts w:cs="Times New Roman"/>
          <w:szCs w:val="24"/>
        </w:rPr>
      </w:pPr>
      <w:r w:rsidRPr="000E178C">
        <w:rPr>
          <w:rFonts w:cs="Times New Roman"/>
          <w:szCs w:val="24"/>
        </w:rPr>
        <w:t>On January 2, 2018 Hernandez filed suit against SSS for discrimination and retaliation. R. at 4. Mr. Hernandez applied</w:t>
      </w:r>
      <w:r w:rsidR="00514172" w:rsidRPr="000E178C">
        <w:rPr>
          <w:rFonts w:cs="Times New Roman"/>
          <w:szCs w:val="24"/>
        </w:rPr>
        <w:t xml:space="preserve"> for</w:t>
      </w:r>
      <w:r w:rsidRPr="000E178C">
        <w:rPr>
          <w:rFonts w:cs="Times New Roman"/>
          <w:szCs w:val="24"/>
        </w:rPr>
        <w:t xml:space="preserve"> and was granted In Forma Pauperis and Appointment of Counsel.</w:t>
      </w:r>
      <w:r w:rsidR="00A74C4A" w:rsidRPr="000E178C">
        <w:rPr>
          <w:rFonts w:cs="Times New Roman"/>
          <w:szCs w:val="24"/>
        </w:rPr>
        <w:t xml:space="preserve"> Pl.’s Appl. for In Forma Pauperis and Appointment of Counsel 1.</w:t>
      </w:r>
      <w:r w:rsidRPr="000E178C">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0E178C">
        <w:rPr>
          <w:rFonts w:cs="Times New Roman"/>
          <w:szCs w:val="24"/>
        </w:rPr>
        <w:t xml:space="preserve">R. at 22. </w:t>
      </w:r>
      <w:r w:rsidRPr="000E178C">
        <w:rPr>
          <w:rFonts w:cs="Times New Roman"/>
          <w:szCs w:val="24"/>
        </w:rPr>
        <w:t>Hernandez filed a timely appeal of the final judgement of the district court February 9, 2018, and the appeal is now before this Court.</w:t>
      </w:r>
      <w:r w:rsidR="008741BF" w:rsidRPr="000E178C">
        <w:rPr>
          <w:rFonts w:cs="Times New Roman"/>
          <w:szCs w:val="24"/>
        </w:rPr>
        <w:t xml:space="preserve"> R. at 23 – 24. </w:t>
      </w:r>
    </w:p>
    <w:p w14:paraId="27B0AA96" w14:textId="5E29F9F0" w:rsidR="000508DE" w:rsidRPr="000E178C" w:rsidRDefault="000508DE" w:rsidP="00D476E0">
      <w:pPr>
        <w:pStyle w:val="Heading1"/>
        <w:ind w:firstLine="0"/>
        <w:rPr>
          <w:rFonts w:cs="Times New Roman"/>
          <w:szCs w:val="24"/>
        </w:rPr>
      </w:pPr>
      <w:bookmarkStart w:id="6" w:name="_Toc509470354"/>
      <w:commentRangeStart w:id="7"/>
      <w:r w:rsidRPr="000E178C">
        <w:rPr>
          <w:rFonts w:cs="Times New Roman"/>
          <w:szCs w:val="24"/>
        </w:rPr>
        <w:t xml:space="preserve">SUMMARY OF </w:t>
      </w:r>
      <w:r w:rsidR="00766DC5" w:rsidRPr="000E178C">
        <w:rPr>
          <w:rFonts w:cs="Times New Roman"/>
          <w:szCs w:val="24"/>
        </w:rPr>
        <w:t xml:space="preserve">THE </w:t>
      </w:r>
      <w:r w:rsidRPr="000E178C">
        <w:rPr>
          <w:rFonts w:cs="Times New Roman"/>
          <w:szCs w:val="24"/>
        </w:rPr>
        <w:t>ARGUMENT</w:t>
      </w:r>
      <w:commentRangeEnd w:id="7"/>
      <w:r w:rsidR="009338B9" w:rsidRPr="000E178C">
        <w:rPr>
          <w:rStyle w:val="CommentReference"/>
          <w:rFonts w:eastAsiaTheme="minorHAnsi" w:cs="Times New Roman"/>
          <w:color w:val="auto"/>
          <w:sz w:val="24"/>
          <w:szCs w:val="24"/>
          <w:u w:val="none"/>
        </w:rPr>
        <w:commentReference w:id="7"/>
      </w:r>
      <w:bookmarkEnd w:id="6"/>
    </w:p>
    <w:p w14:paraId="0B66565D" w14:textId="0806044F" w:rsidR="003477F6" w:rsidRPr="000E178C" w:rsidRDefault="002C1D58" w:rsidP="003477F6">
      <w:pPr>
        <w:rPr>
          <w:rFonts w:cs="Times New Roman"/>
          <w:szCs w:val="24"/>
        </w:rPr>
      </w:pPr>
      <w:r w:rsidRPr="000E178C">
        <w:rPr>
          <w:rFonts w:cs="Times New Roman"/>
          <w:szCs w:val="24"/>
        </w:rPr>
        <w:t xml:space="preserve">The district court’s summary judgement for SSS should be reversed because </w:t>
      </w:r>
      <w:r w:rsidR="00766256" w:rsidRPr="000E178C">
        <w:rPr>
          <w:rFonts w:cs="Times New Roman"/>
          <w:szCs w:val="24"/>
        </w:rPr>
        <w:t>there are several genuine issues of fact</w:t>
      </w:r>
      <w:r w:rsidR="00AD29F6">
        <w:rPr>
          <w:rFonts w:cs="Times New Roman"/>
          <w:szCs w:val="24"/>
        </w:rPr>
        <w:t>.</w:t>
      </w:r>
      <w:r w:rsidR="00766256" w:rsidRPr="000E178C">
        <w:rPr>
          <w:rFonts w:cs="Times New Roman"/>
          <w:szCs w:val="24"/>
        </w:rPr>
        <w:t xml:space="preserve"> SSS discriminated </w:t>
      </w:r>
      <w:r w:rsidR="00933418" w:rsidRPr="000E178C">
        <w:rPr>
          <w:rFonts w:cs="Times New Roman"/>
          <w:szCs w:val="24"/>
        </w:rPr>
        <w:t>against</w:t>
      </w:r>
      <w:r w:rsidR="00766256" w:rsidRPr="000E178C">
        <w:rPr>
          <w:rFonts w:cs="Times New Roman"/>
          <w:szCs w:val="24"/>
        </w:rPr>
        <w:t xml:space="preserve"> Mr. </w:t>
      </w:r>
      <w:r w:rsidR="00933418" w:rsidRPr="000E178C">
        <w:rPr>
          <w:rFonts w:cs="Times New Roman"/>
          <w:szCs w:val="24"/>
        </w:rPr>
        <w:t>Hernandez</w:t>
      </w:r>
      <w:r w:rsidR="00766256" w:rsidRPr="000E178C">
        <w:rPr>
          <w:rFonts w:cs="Times New Roman"/>
          <w:szCs w:val="24"/>
        </w:rPr>
        <w:t xml:space="preserve"> when they </w:t>
      </w:r>
      <w:r w:rsidR="00E07134" w:rsidRPr="000E178C">
        <w:rPr>
          <w:rFonts w:cs="Times New Roman"/>
          <w:szCs w:val="24"/>
        </w:rPr>
        <w:t>failed to reasonably accommodate his disability.</w:t>
      </w:r>
      <w:r w:rsidR="00CD4C70" w:rsidRPr="000E178C">
        <w:rPr>
          <w:rFonts w:cs="Times New Roman"/>
          <w:szCs w:val="24"/>
        </w:rPr>
        <w:t xml:space="preserve"> The district court </w:t>
      </w:r>
      <w:r w:rsidR="00DD1E7C" w:rsidRPr="000E178C">
        <w:rPr>
          <w:rFonts w:cs="Times New Roman"/>
          <w:szCs w:val="24"/>
        </w:rPr>
        <w:t>incorrectly</w:t>
      </w:r>
      <w:r w:rsidR="00CD4C70" w:rsidRPr="000E178C">
        <w:rPr>
          <w:rFonts w:cs="Times New Roman"/>
          <w:szCs w:val="24"/>
        </w:rPr>
        <w:t xml:space="preserve"> held that the burden of proof to show that a reasonable accommodation </w:t>
      </w:r>
      <w:r w:rsidR="00D82538" w:rsidRPr="000E178C">
        <w:rPr>
          <w:rFonts w:cs="Times New Roman"/>
          <w:szCs w:val="24"/>
        </w:rPr>
        <w:t>would pose no undue hardship lay with the plaintiff</w:t>
      </w:r>
      <w:r w:rsidR="00DD1E7C" w:rsidRPr="000E178C">
        <w:rPr>
          <w:rFonts w:cs="Times New Roman"/>
          <w:szCs w:val="24"/>
        </w:rPr>
        <w:t xml:space="preserve">, instead of as an affirmative defense. </w:t>
      </w:r>
      <w:r w:rsidR="0019565A" w:rsidRPr="000E178C">
        <w:rPr>
          <w:rFonts w:cs="Times New Roman"/>
          <w:szCs w:val="24"/>
        </w:rPr>
        <w:t xml:space="preserve">SSS knew of Mr. Hernandez </w:t>
      </w:r>
      <w:r w:rsidR="00DC7D1F" w:rsidRPr="000E178C">
        <w:rPr>
          <w:rFonts w:cs="Times New Roman"/>
          <w:szCs w:val="24"/>
        </w:rPr>
        <w:t xml:space="preserve">symptoms, which of themselves could </w:t>
      </w:r>
      <w:proofErr w:type="gramStart"/>
      <w:r w:rsidR="00DC7D1F" w:rsidRPr="000E178C">
        <w:rPr>
          <w:rFonts w:cs="Times New Roman"/>
          <w:szCs w:val="24"/>
        </w:rPr>
        <w:t>be seen as</w:t>
      </w:r>
      <w:proofErr w:type="gramEnd"/>
      <w:r w:rsidR="00DC7D1F" w:rsidRPr="000E178C">
        <w:rPr>
          <w:rFonts w:cs="Times New Roman"/>
          <w:szCs w:val="24"/>
        </w:rPr>
        <w:t xml:space="preserve"> disabilities, and was aware of </w:t>
      </w:r>
      <w:r w:rsidR="007673C3" w:rsidRPr="000E178C">
        <w:rPr>
          <w:rFonts w:cs="Times New Roman"/>
          <w:szCs w:val="24"/>
        </w:rPr>
        <w:t>his potential cancer diagnosis. Mr. Hernandez’s request for reasonable accommodations would</w:t>
      </w:r>
      <w:r w:rsidR="00CB3C06" w:rsidRPr="000E178C">
        <w:rPr>
          <w:rFonts w:cs="Times New Roman"/>
          <w:szCs w:val="24"/>
        </w:rPr>
        <w:t xml:space="preserve"> </w:t>
      </w:r>
      <w:r w:rsidR="007673C3" w:rsidRPr="000E178C">
        <w:rPr>
          <w:rFonts w:cs="Times New Roman"/>
          <w:szCs w:val="24"/>
        </w:rPr>
        <w:t xml:space="preserve">not have caused undue hardship as it would have allowed him to finish his work, </w:t>
      </w:r>
      <w:r w:rsidR="00E501BA" w:rsidRPr="000E178C">
        <w:rPr>
          <w:rFonts w:cs="Times New Roman"/>
          <w:szCs w:val="24"/>
        </w:rPr>
        <w:t xml:space="preserve">and there was another employee with similar </w:t>
      </w:r>
      <w:r w:rsidR="00845740" w:rsidRPr="000E178C">
        <w:rPr>
          <w:rFonts w:cs="Times New Roman"/>
          <w:szCs w:val="24"/>
        </w:rPr>
        <w:t xml:space="preserve">skills and education who would have been able to cover Mr. Hernandez duties while he was ill. </w:t>
      </w:r>
    </w:p>
    <w:p w14:paraId="31DBDF58" w14:textId="670843DC" w:rsidR="00933418" w:rsidRPr="000E178C" w:rsidRDefault="00F51F50" w:rsidP="003477F6">
      <w:pPr>
        <w:rPr>
          <w:rFonts w:cs="Times New Roman"/>
          <w:szCs w:val="24"/>
        </w:rPr>
      </w:pPr>
      <w:r w:rsidRPr="000E178C">
        <w:rPr>
          <w:rFonts w:cs="Times New Roman"/>
          <w:szCs w:val="24"/>
        </w:rPr>
        <w:t>Furthermore</w:t>
      </w:r>
      <w:r w:rsidR="000739A0" w:rsidRPr="000E178C">
        <w:rPr>
          <w:rFonts w:cs="Times New Roman"/>
          <w:szCs w:val="24"/>
        </w:rPr>
        <w:t xml:space="preserve">, the courts finding that SSS did not retaliate against Mr. Hernandez </w:t>
      </w:r>
      <w:r w:rsidR="001143AD" w:rsidRPr="000E178C">
        <w:rPr>
          <w:rFonts w:cs="Times New Roman"/>
          <w:szCs w:val="24"/>
        </w:rPr>
        <w:t xml:space="preserve">should be reversed because </w:t>
      </w:r>
      <w:r w:rsidR="00C17FF0" w:rsidRPr="000E178C">
        <w:rPr>
          <w:rFonts w:cs="Times New Roman"/>
          <w:szCs w:val="24"/>
        </w:rPr>
        <w:t xml:space="preserve">terminating his employment and </w:t>
      </w:r>
      <w:r w:rsidR="001143AD" w:rsidRPr="000E178C">
        <w:rPr>
          <w:rFonts w:cs="Times New Roman"/>
          <w:szCs w:val="24"/>
        </w:rPr>
        <w:t xml:space="preserve">giving a negative reference to a potential employer was </w:t>
      </w:r>
      <w:r w:rsidR="001A1165" w:rsidRPr="000E178C">
        <w:rPr>
          <w:rFonts w:cs="Times New Roman"/>
          <w:szCs w:val="24"/>
        </w:rPr>
        <w:t>the adverse action</w:t>
      </w:r>
      <w:r w:rsidR="001143AD" w:rsidRPr="000E178C">
        <w:rPr>
          <w:rFonts w:cs="Times New Roman"/>
          <w:szCs w:val="24"/>
        </w:rPr>
        <w:t xml:space="preserve"> with strong causal connections between them and the protected activity. The causal connection can be shown both by temporal proximity and </w:t>
      </w:r>
      <w:r w:rsidR="009B5746" w:rsidRPr="000E178C">
        <w:rPr>
          <w:rFonts w:cs="Times New Roman"/>
          <w:szCs w:val="24"/>
        </w:rPr>
        <w:t xml:space="preserve">additional evidence. The same additional evidence shows that the reasons SSS gave for terminating </w:t>
      </w:r>
      <w:r w:rsidR="009A5C4D" w:rsidRPr="000E178C">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16184E9F" w14:textId="68B75E02" w:rsidR="000508DE" w:rsidRPr="000E178C" w:rsidRDefault="000508DE" w:rsidP="00D476E0">
      <w:pPr>
        <w:pStyle w:val="Heading1"/>
        <w:ind w:firstLine="0"/>
        <w:rPr>
          <w:rFonts w:cs="Times New Roman"/>
          <w:szCs w:val="24"/>
        </w:rPr>
      </w:pPr>
      <w:bookmarkStart w:id="8" w:name="_Toc509470355"/>
      <w:r w:rsidRPr="000E178C">
        <w:rPr>
          <w:rFonts w:cs="Times New Roman"/>
          <w:szCs w:val="24"/>
        </w:rPr>
        <w:t>ARGUMENT</w:t>
      </w:r>
      <w:bookmarkEnd w:id="8"/>
    </w:p>
    <w:p w14:paraId="395A76D2" w14:textId="25240D68" w:rsidR="00A91BFA" w:rsidRPr="000E178C" w:rsidRDefault="002C24B5" w:rsidP="000B2CAF">
      <w:pPr>
        <w:rPr>
          <w:rFonts w:cs="Times New Roman"/>
          <w:szCs w:val="24"/>
        </w:rPr>
      </w:pPr>
      <w:r w:rsidRPr="000E178C">
        <w:rPr>
          <w:rFonts w:cs="Times New Roman"/>
          <w:szCs w:val="24"/>
        </w:rPr>
        <w:t>SSS’s termination and reference of Mr. Hernandez was retaliatory because Mr. Hernandez was an extremely qualified employee, and the termination and reference occurred within two weeks and</w:t>
      </w:r>
      <w:r w:rsidR="0097157C" w:rsidRPr="000E178C">
        <w:rPr>
          <w:rFonts w:cs="Times New Roman"/>
          <w:szCs w:val="24"/>
        </w:rPr>
        <w:t xml:space="preserve"> less than</w:t>
      </w:r>
      <w:r w:rsidRPr="000E178C">
        <w:rPr>
          <w:rFonts w:cs="Times New Roman"/>
          <w:szCs w:val="24"/>
        </w:rPr>
        <w:t xml:space="preserve"> three months of the EEOC filing.  Further, </w:t>
      </w:r>
      <w:r w:rsidR="002A3E4B" w:rsidRPr="000E178C">
        <w:rPr>
          <w:rFonts w:cs="Times New Roman"/>
          <w:szCs w:val="24"/>
        </w:rPr>
        <w:t>SSS</w:t>
      </w:r>
      <w:r w:rsidR="00BF1979" w:rsidRPr="000E178C">
        <w:rPr>
          <w:rFonts w:cs="Times New Roman"/>
          <w:szCs w:val="24"/>
        </w:rPr>
        <w:t xml:space="preserve"> discriminated against</w:t>
      </w:r>
      <w:r w:rsidR="002E2585" w:rsidRPr="000E178C">
        <w:rPr>
          <w:rFonts w:cs="Times New Roman"/>
          <w:szCs w:val="24"/>
        </w:rPr>
        <w:t xml:space="preserve"> Erik Hernandez </w:t>
      </w:r>
      <w:r w:rsidR="0049703A" w:rsidRPr="000E178C">
        <w:rPr>
          <w:rFonts w:cs="Times New Roman"/>
          <w:szCs w:val="24"/>
        </w:rPr>
        <w:t xml:space="preserve">because </w:t>
      </w:r>
      <w:r w:rsidR="002700CF" w:rsidRPr="000E178C">
        <w:rPr>
          <w:rFonts w:cs="Times New Roman"/>
          <w:szCs w:val="24"/>
        </w:rPr>
        <w:t xml:space="preserve">it knew of Mr. Hernandez’ disability, his accommodation </w:t>
      </w:r>
      <w:r w:rsidR="004C7E24" w:rsidRPr="000E178C">
        <w:rPr>
          <w:rFonts w:cs="Times New Roman"/>
          <w:szCs w:val="24"/>
        </w:rPr>
        <w:t xml:space="preserve">request </w:t>
      </w:r>
      <w:r w:rsidR="002700CF" w:rsidRPr="000E178C">
        <w:rPr>
          <w:rFonts w:cs="Times New Roman"/>
          <w:szCs w:val="24"/>
        </w:rPr>
        <w:t xml:space="preserve">was reasonable, and would not have caused undue hardship. </w:t>
      </w:r>
      <w:r w:rsidR="008B42CA" w:rsidRPr="000E178C">
        <w:rPr>
          <w:rFonts w:cs="Times New Roman"/>
          <w:szCs w:val="24"/>
        </w:rPr>
        <w:fldChar w:fldCharType="begin"/>
      </w:r>
      <w:r w:rsidR="008B42CA" w:rsidRPr="000E178C">
        <w:rPr>
          <w:rFonts w:cs="Times New Roman"/>
          <w:szCs w:val="24"/>
        </w:rPr>
        <w:instrText xml:space="preserve"> TA \l "</w:instrText>
      </w:r>
      <w:r w:rsidR="008B42CA" w:rsidRPr="000E178C">
        <w:rPr>
          <w:rFonts w:cs="Times New Roman"/>
          <w:i/>
          <w:szCs w:val="24"/>
        </w:rPr>
        <w:instrText>E.E.O.C. v. C.R. England, Inc.</w:instrText>
      </w:r>
      <w:r w:rsidR="008B42CA" w:rsidRPr="000E178C">
        <w:rPr>
          <w:rFonts w:cs="Times New Roman"/>
          <w:szCs w:val="24"/>
        </w:rPr>
        <w:instrText xml:space="preserve">, 644 F.3d 1028, 1051 (10th Cir. 2011)." \s "E.E.O.C. v. C.R. England, Inc., 644 F.3d 1028, 1051 (10th Cir. 2011)." \c 1 </w:instrText>
      </w:r>
      <w:r w:rsidR="008B42CA" w:rsidRPr="000E178C">
        <w:rPr>
          <w:rFonts w:cs="Times New Roman"/>
          <w:szCs w:val="24"/>
        </w:rPr>
        <w:fldChar w:fldCharType="end"/>
      </w:r>
      <w:r w:rsidR="00C640F8" w:rsidRPr="000E178C">
        <w:rPr>
          <w:rFonts w:cs="Times New Roman"/>
          <w:szCs w:val="24"/>
        </w:rPr>
        <w:t>The issues on review</w:t>
      </w:r>
      <w:r w:rsidR="0042203F" w:rsidRPr="000E178C">
        <w:rPr>
          <w:rFonts w:cs="Times New Roman"/>
          <w:szCs w:val="24"/>
        </w:rPr>
        <w:t xml:space="preserve">, </w:t>
      </w:r>
      <w:r w:rsidR="006E75F2" w:rsidRPr="000E178C">
        <w:rPr>
          <w:rFonts w:cs="Times New Roman"/>
          <w:szCs w:val="24"/>
        </w:rPr>
        <w:t>whet</w:t>
      </w:r>
      <w:r w:rsidR="00C50B8F" w:rsidRPr="000E178C">
        <w:rPr>
          <w:rFonts w:cs="Times New Roman"/>
          <w:szCs w:val="24"/>
        </w:rPr>
        <w:t xml:space="preserve">her the district court committed reversible error by granting summary judgment to the </w:t>
      </w:r>
      <w:r w:rsidR="00C50B8F" w:rsidRPr="000E178C">
        <w:rPr>
          <w:rFonts w:cs="Times New Roman"/>
          <w:szCs w:val="24"/>
        </w:rPr>
        <w:lastRenderedPageBreak/>
        <w:t xml:space="preserve">Defendant on Plaintiff’s claims of </w:t>
      </w:r>
      <w:r w:rsidR="00766A6C" w:rsidRPr="000E178C">
        <w:rPr>
          <w:rFonts w:cs="Times New Roman"/>
          <w:szCs w:val="24"/>
        </w:rPr>
        <w:t>retaliation</w:t>
      </w:r>
      <w:r w:rsidR="00C50B8F" w:rsidRPr="000E178C">
        <w:rPr>
          <w:rFonts w:cs="Times New Roman"/>
          <w:szCs w:val="24"/>
        </w:rPr>
        <w:t xml:space="preserve"> and discrimination</w:t>
      </w:r>
      <w:r w:rsidR="00766A6C" w:rsidRPr="000E178C">
        <w:rPr>
          <w:rFonts w:cs="Times New Roman"/>
          <w:szCs w:val="24"/>
        </w:rPr>
        <w:t>,</w:t>
      </w:r>
      <w:r w:rsidR="00C640F8" w:rsidRPr="000E178C">
        <w:rPr>
          <w:rFonts w:cs="Times New Roman"/>
          <w:szCs w:val="24"/>
        </w:rPr>
        <w:t xml:space="preserve"> are issues of law and should thus be reviewed </w:t>
      </w:r>
      <w:r w:rsidR="00C640F8" w:rsidRPr="000E178C">
        <w:rPr>
          <w:rFonts w:cs="Times New Roman"/>
          <w:i/>
          <w:szCs w:val="24"/>
        </w:rPr>
        <w:t xml:space="preserve">de </w:t>
      </w:r>
      <w:r w:rsidR="00EB7753" w:rsidRPr="000E178C">
        <w:rPr>
          <w:rFonts w:cs="Times New Roman"/>
          <w:i/>
          <w:szCs w:val="24"/>
        </w:rPr>
        <w:t>novo</w:t>
      </w:r>
      <w:r w:rsidR="00F93FD6" w:rsidRPr="000E178C">
        <w:rPr>
          <w:rFonts w:cs="Times New Roman"/>
          <w:szCs w:val="24"/>
        </w:rPr>
        <w:t>, applying the same standards as the district court</w:t>
      </w:r>
      <w:r w:rsidR="00EB7753" w:rsidRPr="000E178C">
        <w:rPr>
          <w:rFonts w:cs="Times New Roman"/>
          <w:szCs w:val="24"/>
        </w:rPr>
        <w:t xml:space="preserve">. </w:t>
      </w:r>
      <w:r w:rsidR="00636868" w:rsidRPr="000E178C">
        <w:rPr>
          <w:rFonts w:cs="Times New Roman"/>
          <w:i/>
          <w:szCs w:val="24"/>
        </w:rPr>
        <w:t>Proctor v. United Parcel Serv.</w:t>
      </w:r>
      <w:r w:rsidR="00636868" w:rsidRPr="000E178C">
        <w:rPr>
          <w:rFonts w:cs="Times New Roman"/>
          <w:szCs w:val="24"/>
        </w:rPr>
        <w:t xml:space="preserve">, 502 F.3d 1200, 1205 (10th Cir. 2007); </w:t>
      </w:r>
      <w:r w:rsidR="009A47CF" w:rsidRPr="000E178C">
        <w:rPr>
          <w:rFonts w:cs="Times New Roman"/>
          <w:i/>
          <w:szCs w:val="24"/>
        </w:rPr>
        <w:t>Bartee v. Michelin N. Am., Inc.</w:t>
      </w:r>
      <w:r w:rsidR="009A47CF" w:rsidRPr="000E178C">
        <w:rPr>
          <w:rFonts w:cs="Times New Roman"/>
          <w:szCs w:val="24"/>
        </w:rPr>
        <w:t xml:space="preserve">, 374 F.3d 906, 916 (10th Cir. 2004). </w:t>
      </w:r>
      <w:r w:rsidR="00966DDB" w:rsidRPr="000E178C">
        <w:rPr>
          <w:rFonts w:cs="Times New Roman"/>
          <w:szCs w:val="24"/>
        </w:rPr>
        <w:t xml:space="preserve">When reviewing </w:t>
      </w:r>
      <w:r w:rsidR="00E322A1" w:rsidRPr="000E178C">
        <w:rPr>
          <w:rFonts w:cs="Times New Roman"/>
          <w:szCs w:val="24"/>
        </w:rPr>
        <w:t xml:space="preserve">a </w:t>
      </w:r>
      <w:r w:rsidR="00966DDB" w:rsidRPr="000E178C">
        <w:rPr>
          <w:rFonts w:cs="Times New Roman"/>
          <w:szCs w:val="24"/>
        </w:rPr>
        <w:t>summary judgement</w:t>
      </w:r>
      <w:r w:rsidR="00ED30ED" w:rsidRPr="000E178C">
        <w:rPr>
          <w:rFonts w:cs="Times New Roman"/>
          <w:szCs w:val="24"/>
        </w:rPr>
        <w:t>, evidence and inferences must be vie</w:t>
      </w:r>
      <w:r w:rsidR="004C7B0C" w:rsidRPr="000E178C">
        <w:rPr>
          <w:rFonts w:cs="Times New Roman"/>
          <w:szCs w:val="24"/>
        </w:rPr>
        <w:t>we</w:t>
      </w:r>
      <w:r w:rsidR="00ED30ED" w:rsidRPr="000E178C">
        <w:rPr>
          <w:rFonts w:cs="Times New Roman"/>
          <w:szCs w:val="24"/>
        </w:rPr>
        <w:t>d in the light most favorable to the nonmoving party</w:t>
      </w:r>
      <w:r w:rsidR="00E322A1" w:rsidRPr="000E178C">
        <w:rPr>
          <w:rFonts w:cs="Times New Roman"/>
          <w:szCs w:val="24"/>
        </w:rPr>
        <w:t xml:space="preserve"> and the judgement being affirmed unless there is a genuine issue of fact</w:t>
      </w:r>
      <w:r w:rsidR="00ED30ED" w:rsidRPr="000E178C">
        <w:rPr>
          <w:rFonts w:cs="Times New Roman"/>
          <w:szCs w:val="24"/>
        </w:rPr>
        <w:t xml:space="preserve">. </w:t>
      </w:r>
      <w:r w:rsidR="009A47CF" w:rsidRPr="000E178C">
        <w:rPr>
          <w:rFonts w:cs="Times New Roman"/>
          <w:i/>
          <w:szCs w:val="24"/>
        </w:rPr>
        <w:t>Proctor</w:t>
      </w:r>
      <w:r w:rsidR="009A47CF" w:rsidRPr="000E178C">
        <w:rPr>
          <w:rFonts w:cs="Times New Roman"/>
          <w:szCs w:val="24"/>
        </w:rPr>
        <w:t>, 502 F.3d at 1205</w:t>
      </w:r>
      <w:r w:rsidR="009A47CF" w:rsidRPr="000E178C">
        <w:rPr>
          <w:rFonts w:cs="Times New Roman"/>
          <w:i/>
          <w:szCs w:val="24"/>
        </w:rPr>
        <w:t>.</w:t>
      </w:r>
      <w:r w:rsidR="00E322A1" w:rsidRPr="000E178C">
        <w:rPr>
          <w:rFonts w:cs="Times New Roman"/>
          <w:i/>
          <w:szCs w:val="24"/>
        </w:rPr>
        <w:t xml:space="preserve"> </w:t>
      </w:r>
      <w:r w:rsidR="005A01D3" w:rsidRPr="000E178C">
        <w:rPr>
          <w:rFonts w:cs="Times New Roman"/>
          <w:szCs w:val="24"/>
        </w:rPr>
        <w:t xml:space="preserve">This brief will show that </w:t>
      </w:r>
      <w:r w:rsidR="006E2734" w:rsidRPr="000E178C">
        <w:rPr>
          <w:rFonts w:cs="Times New Roman"/>
          <w:szCs w:val="24"/>
        </w:rPr>
        <w:t xml:space="preserve">Mr. </w:t>
      </w:r>
      <w:r w:rsidR="002506F6" w:rsidRPr="000E178C">
        <w:rPr>
          <w:rFonts w:cs="Times New Roman"/>
          <w:szCs w:val="24"/>
        </w:rPr>
        <w:t>Hernandez’s</w:t>
      </w:r>
      <w:r w:rsidR="006E2734" w:rsidRPr="000E178C">
        <w:rPr>
          <w:rFonts w:cs="Times New Roman"/>
          <w:szCs w:val="24"/>
        </w:rPr>
        <w:t xml:space="preserve"> termination and </w:t>
      </w:r>
      <w:r w:rsidR="00746255" w:rsidRPr="000E178C">
        <w:rPr>
          <w:rFonts w:cs="Times New Roman"/>
          <w:szCs w:val="24"/>
        </w:rPr>
        <w:t>negative</w:t>
      </w:r>
      <w:r w:rsidR="006E2734" w:rsidRPr="000E178C">
        <w:rPr>
          <w:rFonts w:cs="Times New Roman"/>
          <w:szCs w:val="24"/>
        </w:rPr>
        <w:t xml:space="preserve"> reference was retaliation for his EEOC filing and </w:t>
      </w:r>
      <w:r w:rsidR="00B12CDD" w:rsidRPr="000E178C">
        <w:rPr>
          <w:rFonts w:cs="Times New Roman"/>
          <w:szCs w:val="24"/>
        </w:rPr>
        <w:t xml:space="preserve">that </w:t>
      </w:r>
      <w:r w:rsidR="001E5235" w:rsidRPr="000E178C">
        <w:rPr>
          <w:rFonts w:cs="Times New Roman"/>
          <w:szCs w:val="24"/>
        </w:rPr>
        <w:t xml:space="preserve">SSS knew of Mr. Hernandez’s disability, his requested accommodations were reasonable and denied, and that they would impose no undue hardship on SSS. </w:t>
      </w:r>
    </w:p>
    <w:p w14:paraId="590E122F" w14:textId="61254C70" w:rsidR="006971F7" w:rsidRPr="000E178C" w:rsidRDefault="00CB7681" w:rsidP="00136C29">
      <w:pPr>
        <w:pStyle w:val="Heading2"/>
        <w:numPr>
          <w:ilvl w:val="0"/>
          <w:numId w:val="7"/>
        </w:numPr>
        <w:spacing w:line="240" w:lineRule="auto"/>
        <w:ind w:left="720"/>
        <w:rPr>
          <w:rFonts w:cs="Times New Roman"/>
          <w:szCs w:val="24"/>
        </w:rPr>
      </w:pPr>
      <w:bookmarkStart w:id="9" w:name="_Toc509470356"/>
      <w:r w:rsidRPr="000E178C">
        <w:rPr>
          <w:rFonts w:cs="Times New Roman"/>
          <w:szCs w:val="24"/>
        </w:rPr>
        <w:t xml:space="preserve">SSS RETALIATED AGAINST MR. HERNANDEZ </w:t>
      </w:r>
      <w:r w:rsidR="00726DA9" w:rsidRPr="000E178C">
        <w:rPr>
          <w:rFonts w:cs="Times New Roman"/>
          <w:szCs w:val="24"/>
        </w:rPr>
        <w:t xml:space="preserve">BY </w:t>
      </w:r>
      <w:r w:rsidR="00AF0826">
        <w:rPr>
          <w:rFonts w:cs="Times New Roman"/>
          <w:szCs w:val="24"/>
        </w:rPr>
        <w:t xml:space="preserve">FOR </w:t>
      </w:r>
      <w:r w:rsidR="00AF0826" w:rsidRPr="000E178C">
        <w:rPr>
          <w:rFonts w:cs="Times New Roman"/>
          <w:szCs w:val="24"/>
        </w:rPr>
        <w:t xml:space="preserve">FILING AN EEOC COMPLAINT </w:t>
      </w:r>
      <w:r w:rsidR="00885EFF">
        <w:rPr>
          <w:rFonts w:cs="Times New Roman"/>
          <w:szCs w:val="24"/>
        </w:rPr>
        <w:t xml:space="preserve">BY </w:t>
      </w:r>
      <w:r w:rsidR="00726DA9" w:rsidRPr="000E178C">
        <w:rPr>
          <w:rFonts w:cs="Times New Roman"/>
          <w:szCs w:val="24"/>
        </w:rPr>
        <w:t>TERMINAT</w:t>
      </w:r>
      <w:r w:rsidR="00BF2CF3" w:rsidRPr="000E178C">
        <w:rPr>
          <w:rFonts w:cs="Times New Roman"/>
          <w:szCs w:val="24"/>
        </w:rPr>
        <w:t>ING</w:t>
      </w:r>
      <w:r w:rsidR="00726DA9" w:rsidRPr="000E178C">
        <w:rPr>
          <w:rFonts w:cs="Times New Roman"/>
          <w:szCs w:val="24"/>
        </w:rPr>
        <w:t xml:space="preserve"> HIS EMPLOYMENT</w:t>
      </w:r>
      <w:r w:rsidR="00BF2CF3" w:rsidRPr="000E178C">
        <w:rPr>
          <w:rFonts w:cs="Times New Roman"/>
          <w:szCs w:val="24"/>
        </w:rPr>
        <w:t xml:space="preserve"> AND</w:t>
      </w:r>
      <w:r w:rsidR="00726DA9" w:rsidRPr="000E178C">
        <w:rPr>
          <w:rFonts w:cs="Times New Roman"/>
          <w:szCs w:val="24"/>
        </w:rPr>
        <w:t xml:space="preserve"> PROVIDING A NEGATIVE REFERENCE</w:t>
      </w:r>
      <w:r w:rsidR="004B55EA" w:rsidRPr="000E178C">
        <w:rPr>
          <w:rFonts w:cs="Times New Roman"/>
          <w:szCs w:val="24"/>
        </w:rPr>
        <w:t>.</w:t>
      </w:r>
      <w:bookmarkEnd w:id="9"/>
      <w:r w:rsidR="008007C0" w:rsidRPr="000E178C">
        <w:rPr>
          <w:rFonts w:cs="Times New Roman"/>
          <w:szCs w:val="24"/>
        </w:rPr>
        <w:t xml:space="preserve"> </w:t>
      </w:r>
    </w:p>
    <w:p w14:paraId="06410522" w14:textId="77777777" w:rsidR="006971F7" w:rsidRPr="000E178C" w:rsidRDefault="006971F7" w:rsidP="006971F7">
      <w:pPr>
        <w:pStyle w:val="Heading2"/>
        <w:spacing w:line="240" w:lineRule="auto"/>
        <w:rPr>
          <w:rFonts w:cs="Times New Roman"/>
          <w:szCs w:val="24"/>
        </w:rPr>
      </w:pPr>
    </w:p>
    <w:p w14:paraId="31ACAF63" w14:textId="012863EF" w:rsidR="00A91BFA" w:rsidRPr="000E178C" w:rsidRDefault="00F326FE" w:rsidP="00FC1818">
      <w:pPr>
        <w:rPr>
          <w:rFonts w:cs="Times New Roman"/>
          <w:szCs w:val="24"/>
        </w:rPr>
      </w:pPr>
      <w:r w:rsidRPr="000E178C">
        <w:rPr>
          <w:rFonts w:cs="Times New Roman"/>
          <w:szCs w:val="24"/>
        </w:rPr>
        <w:t xml:space="preserve">Retaliation occurs when an individual is discriminated against because he or she opposed any act or practice made unlawful under the </w:t>
      </w:r>
      <w:r w:rsidR="00CE6E31" w:rsidRPr="000E178C">
        <w:rPr>
          <w:rFonts w:cs="Times New Roman"/>
          <w:szCs w:val="24"/>
        </w:rPr>
        <w:t>Americans with Disability Act (“ADA”)</w:t>
      </w:r>
      <w:r w:rsidRPr="000E178C">
        <w:rPr>
          <w:rFonts w:cs="Times New Roman"/>
          <w:szCs w:val="24"/>
        </w:rPr>
        <w:t>. 42 U.S.C. § 12203(a)</w:t>
      </w:r>
      <w:r w:rsidR="00DD35EB" w:rsidRPr="000E178C">
        <w:rPr>
          <w:rFonts w:cs="Times New Roman"/>
          <w:szCs w:val="24"/>
        </w:rPr>
        <w:t xml:space="preserve">; </w:t>
      </w:r>
      <w:r w:rsidR="0024572F" w:rsidRPr="000E178C">
        <w:rPr>
          <w:rFonts w:cs="Times New Roman"/>
          <w:szCs w:val="24"/>
        </w:rPr>
        <w:t>29 C.F.R. § 1630.12 (2018)</w:t>
      </w:r>
      <w:r w:rsidRPr="000E178C">
        <w:rPr>
          <w:rFonts w:cs="Times New Roman"/>
          <w:szCs w:val="24"/>
        </w:rPr>
        <w:fldChar w:fldCharType="begin"/>
      </w:r>
      <w:r w:rsidRPr="000E178C">
        <w:rPr>
          <w:rFonts w:cs="Times New Roman"/>
          <w:szCs w:val="24"/>
        </w:rPr>
        <w:instrText xml:space="preserve"> TA \s "42 U.S.C. § 12203(a)" </w:instrText>
      </w:r>
      <w:r w:rsidRPr="000E178C">
        <w:rPr>
          <w:rFonts w:cs="Times New Roman"/>
          <w:szCs w:val="24"/>
        </w:rPr>
        <w:fldChar w:fldCharType="end"/>
      </w:r>
      <w:r w:rsidRPr="000E178C">
        <w:rPr>
          <w:rFonts w:cs="Times New Roman"/>
          <w:szCs w:val="24"/>
        </w:rPr>
        <w:t xml:space="preserve">. </w:t>
      </w:r>
      <w:r w:rsidR="001A7F45" w:rsidRPr="000E178C">
        <w:rPr>
          <w:rFonts w:cs="Times New Roman"/>
          <w:szCs w:val="24"/>
        </w:rPr>
        <w:t>If direct evidence is not available, retaliation may be proven with only circumstantial evidence</w:t>
      </w:r>
      <w:r w:rsidR="001A7F45">
        <w:rPr>
          <w:rFonts w:cs="Times New Roman"/>
          <w:szCs w:val="24"/>
        </w:rPr>
        <w:t xml:space="preserve">, </w:t>
      </w:r>
      <w:r w:rsidR="001A7F45" w:rsidRPr="000E178C">
        <w:rPr>
          <w:rFonts w:cs="Times New Roman"/>
          <w:i/>
          <w:szCs w:val="24"/>
        </w:rPr>
        <w:t>Proctor v. United Parcel Serv.</w:t>
      </w:r>
      <w:r w:rsidR="001A7F45" w:rsidRPr="000E178C">
        <w:rPr>
          <w:rFonts w:cs="Times New Roman"/>
          <w:szCs w:val="24"/>
        </w:rPr>
        <w:t>, 502 F.3d 1200, 1208 (10th Cir. 2007)</w:t>
      </w:r>
      <w:r w:rsidR="001A7F45">
        <w:rPr>
          <w:rFonts w:cs="Times New Roman"/>
          <w:szCs w:val="24"/>
        </w:rPr>
        <w:t>,</w:t>
      </w:r>
      <w:r w:rsidR="001A7F45" w:rsidRPr="000E178C">
        <w:rPr>
          <w:rFonts w:cs="Times New Roman"/>
          <w:szCs w:val="24"/>
        </w:rPr>
        <w:fldChar w:fldCharType="begin"/>
      </w:r>
      <w:r w:rsidR="001A7F45" w:rsidRPr="000E178C">
        <w:rPr>
          <w:rFonts w:cs="Times New Roman"/>
          <w:szCs w:val="24"/>
        </w:rPr>
        <w:instrText xml:space="preserve"> TA \l "</w:instrText>
      </w:r>
      <w:r w:rsidR="001A7F45" w:rsidRPr="000E178C">
        <w:rPr>
          <w:rFonts w:cs="Times New Roman"/>
          <w:i/>
          <w:szCs w:val="24"/>
        </w:rPr>
        <w:instrText>Proctor v. United Parcel Serv.</w:instrText>
      </w:r>
      <w:r w:rsidR="001A7F45" w:rsidRPr="000E178C">
        <w:rPr>
          <w:rFonts w:cs="Times New Roman"/>
          <w:szCs w:val="24"/>
        </w:rPr>
        <w:instrText xml:space="preserve">, 502 F.3d 1200, 1208 (10th Cir. 2007)" \s "Proctor v. United Parcel Serv., 502 F.3d 1200, 1208 (10th Cir. 2007)" \c 1 </w:instrText>
      </w:r>
      <w:r w:rsidR="001A7F45" w:rsidRPr="000E178C">
        <w:rPr>
          <w:rFonts w:cs="Times New Roman"/>
          <w:szCs w:val="24"/>
        </w:rPr>
        <w:fldChar w:fldCharType="end"/>
      </w:r>
      <w:r w:rsidR="001A7F45" w:rsidRPr="000E178C">
        <w:rPr>
          <w:rFonts w:cs="Times New Roman"/>
          <w:szCs w:val="24"/>
        </w:rPr>
        <w:t xml:space="preserve"> </w:t>
      </w:r>
      <w:r w:rsidR="001A7F45">
        <w:rPr>
          <w:rFonts w:cs="Times New Roman"/>
          <w:szCs w:val="24"/>
        </w:rPr>
        <w:t>and</w:t>
      </w:r>
      <w:r w:rsidR="00FC1818" w:rsidRPr="000E178C">
        <w:rPr>
          <w:rFonts w:cs="Times New Roman"/>
          <w:szCs w:val="24"/>
        </w:rPr>
        <w:t xml:space="preserve"> is analyzed with a burden shifting framework that requires </w:t>
      </w:r>
      <w:r w:rsidR="00885EFF">
        <w:rPr>
          <w:rFonts w:cs="Times New Roman"/>
          <w:szCs w:val="24"/>
        </w:rPr>
        <w:t>the p</w:t>
      </w:r>
      <w:r w:rsidR="00FC1818" w:rsidRPr="000E178C">
        <w:rPr>
          <w:rFonts w:cs="Times New Roman"/>
          <w:szCs w:val="24"/>
        </w:rPr>
        <w:t xml:space="preserve">laintiff to establish prima facie case for retaliation and then if </w:t>
      </w:r>
      <w:r w:rsidR="001C3FE2">
        <w:rPr>
          <w:rFonts w:cs="Times New Roman"/>
          <w:szCs w:val="24"/>
        </w:rPr>
        <w:t>p</w:t>
      </w:r>
      <w:r w:rsidR="00FC1818" w:rsidRPr="000E178C">
        <w:rPr>
          <w:rFonts w:cs="Times New Roman"/>
          <w:szCs w:val="24"/>
        </w:rPr>
        <w:t xml:space="preserve">laintiff </w:t>
      </w:r>
      <w:r w:rsidR="00314EA7" w:rsidRPr="000E178C">
        <w:rPr>
          <w:rFonts w:cs="Times New Roman"/>
          <w:szCs w:val="24"/>
        </w:rPr>
        <w:t>can</w:t>
      </w:r>
      <w:r w:rsidR="00FC1818" w:rsidRPr="000E178C">
        <w:rPr>
          <w:rFonts w:cs="Times New Roman"/>
          <w:szCs w:val="24"/>
        </w:rPr>
        <w:t xml:space="preserve"> do so, </w:t>
      </w:r>
      <w:r w:rsidR="001C3FE2">
        <w:rPr>
          <w:rFonts w:cs="Times New Roman"/>
          <w:szCs w:val="24"/>
        </w:rPr>
        <w:t xml:space="preserve">the </w:t>
      </w:r>
      <w:r w:rsidR="00FC1818" w:rsidRPr="000E178C">
        <w:rPr>
          <w:rFonts w:cs="Times New Roman"/>
          <w:szCs w:val="24"/>
        </w:rPr>
        <w:t xml:space="preserve">burden goes to the defendant to show that the action was not discriminatory. </w:t>
      </w:r>
      <w:r w:rsidR="00FC1818" w:rsidRPr="000E178C">
        <w:rPr>
          <w:rFonts w:cs="Times New Roman"/>
          <w:i/>
          <w:szCs w:val="24"/>
        </w:rPr>
        <w:t>McDonnell Douglas Corp. v. Green</w:t>
      </w:r>
      <w:r w:rsidR="00FC1818" w:rsidRPr="000E178C">
        <w:rPr>
          <w:rFonts w:cs="Times New Roman"/>
          <w:szCs w:val="24"/>
        </w:rPr>
        <w:t>, 411 U.S. 792, 802 (1973)</w:t>
      </w:r>
      <w:r w:rsidR="00FC1818" w:rsidRPr="000E178C">
        <w:rPr>
          <w:rFonts w:cs="Times New Roman"/>
          <w:szCs w:val="24"/>
        </w:rPr>
        <w:fldChar w:fldCharType="begin"/>
      </w:r>
      <w:r w:rsidR="00FC1818" w:rsidRPr="000E178C">
        <w:rPr>
          <w:rFonts w:cs="Times New Roman"/>
          <w:szCs w:val="24"/>
        </w:rPr>
        <w:instrText xml:space="preserve"> TA \l "</w:instrText>
      </w:r>
      <w:r w:rsidR="00FC1818" w:rsidRPr="000E178C">
        <w:rPr>
          <w:rFonts w:cs="Times New Roman"/>
          <w:i/>
          <w:szCs w:val="24"/>
        </w:rPr>
        <w:instrText>McDonnell Douglas Corp. v. Green</w:instrText>
      </w:r>
      <w:r w:rsidR="00FC1818" w:rsidRPr="000E178C">
        <w:rPr>
          <w:rFonts w:cs="Times New Roman"/>
          <w:szCs w:val="24"/>
        </w:rPr>
        <w:instrText xml:space="preserve">, 411 U.S. 792, 802 (1973)" \s "McDonnell Douglas Corp. v. Green, 411 U.S. 792, 802 (1973)" \c 1 </w:instrText>
      </w:r>
      <w:r w:rsidR="00FC1818" w:rsidRPr="000E178C">
        <w:rPr>
          <w:rFonts w:cs="Times New Roman"/>
          <w:szCs w:val="24"/>
        </w:rPr>
        <w:fldChar w:fldCharType="end"/>
      </w:r>
      <w:r w:rsidR="00FC1818" w:rsidRPr="000E178C">
        <w:rPr>
          <w:rFonts w:cs="Times New Roman"/>
          <w:szCs w:val="24"/>
        </w:rPr>
        <w:t xml:space="preserve">. Plaintiff must then show that this reason is merely pretext. </w:t>
      </w:r>
      <w:r w:rsidR="00FC1818" w:rsidRPr="000E178C">
        <w:rPr>
          <w:rFonts w:cs="Times New Roman"/>
          <w:i/>
          <w:szCs w:val="24"/>
        </w:rPr>
        <w:t xml:space="preserve">Id. </w:t>
      </w:r>
      <w:r w:rsidR="00FC1818" w:rsidRPr="000E178C">
        <w:rPr>
          <w:rFonts w:cs="Times New Roman"/>
          <w:szCs w:val="24"/>
        </w:rPr>
        <w:t xml:space="preserve">A prima facie case for relation must show that (1) employee participated in a protected activity; (2) there was adverse employment action; and (3) there was a causal connection between the protected activity and adverse action. </w:t>
      </w:r>
      <w:r w:rsidR="00FC1818" w:rsidRPr="000E178C">
        <w:rPr>
          <w:rFonts w:cs="Times New Roman"/>
          <w:i/>
          <w:szCs w:val="24"/>
        </w:rPr>
        <w:t>E.E.O.C. v. C.R. England, Inc.</w:t>
      </w:r>
      <w:r w:rsidR="00FC1818" w:rsidRPr="000E178C">
        <w:rPr>
          <w:rFonts w:cs="Times New Roman"/>
          <w:szCs w:val="24"/>
        </w:rPr>
        <w:t>, 644 F.3d 1028, 1051 (10th Cir. 2011).</w:t>
      </w:r>
      <w:r w:rsidRPr="000E178C">
        <w:rPr>
          <w:rFonts w:cs="Times New Roman"/>
          <w:szCs w:val="24"/>
        </w:rPr>
        <w:t xml:space="preserve"> </w:t>
      </w:r>
      <w:r w:rsidR="005D19EC" w:rsidRPr="000E178C">
        <w:rPr>
          <w:rFonts w:cs="Times New Roman"/>
          <w:szCs w:val="24"/>
        </w:rPr>
        <w:t xml:space="preserve">Some courts require that a plaintiff show that he or she had a reasonable, good-faith belief </w:t>
      </w:r>
      <w:r w:rsidR="005D19EC" w:rsidRPr="000E178C">
        <w:rPr>
          <w:rFonts w:cs="Times New Roman"/>
          <w:szCs w:val="24"/>
        </w:rPr>
        <w:lastRenderedPageBreak/>
        <w:t xml:space="preserve">they were disabled to prosecute a ADA retaliation claim. </w:t>
      </w:r>
      <w:r w:rsidR="005D19EC" w:rsidRPr="000E178C">
        <w:rPr>
          <w:rFonts w:eastAsia="Times New Roman" w:cs="Times New Roman"/>
          <w:i/>
          <w:color w:val="000000"/>
          <w:szCs w:val="24"/>
        </w:rPr>
        <w:t>Foster v. Mountain Coal Co., LLC</w:t>
      </w:r>
      <w:r w:rsidR="005D19EC" w:rsidRPr="000E178C">
        <w:rPr>
          <w:rFonts w:eastAsia="Times New Roman" w:cs="Times New Roman"/>
          <w:color w:val="000000"/>
          <w:szCs w:val="24"/>
        </w:rPr>
        <w:t xml:space="preserve">, 830 F.3d 1178, 1186 (10th Cir. 2016). </w:t>
      </w:r>
      <w:r w:rsidR="005D19EC" w:rsidRPr="000E178C">
        <w:rPr>
          <w:rFonts w:cs="Times New Roman"/>
          <w:szCs w:val="24"/>
        </w:rPr>
        <w:t xml:space="preserve"> </w:t>
      </w:r>
      <w:r w:rsidR="00C87EBF" w:rsidRPr="000E178C">
        <w:rPr>
          <w:rFonts w:cs="Times New Roman"/>
          <w:szCs w:val="24"/>
        </w:rPr>
        <w:t xml:space="preserve">Here, </w:t>
      </w:r>
      <w:r w:rsidR="00C005D7" w:rsidRPr="000E178C">
        <w:rPr>
          <w:rFonts w:cs="Times New Roman"/>
          <w:szCs w:val="24"/>
        </w:rPr>
        <w:t xml:space="preserve">the fist requirement of a prima facie case for retaliation </w:t>
      </w:r>
      <w:r w:rsidR="00C87EBF" w:rsidRPr="000E178C">
        <w:rPr>
          <w:rFonts w:cs="Times New Roman"/>
          <w:szCs w:val="24"/>
        </w:rPr>
        <w:t>is met</w:t>
      </w:r>
      <w:r w:rsidR="00A80AA1" w:rsidRPr="000E178C">
        <w:rPr>
          <w:rFonts w:cs="Times New Roman"/>
          <w:szCs w:val="24"/>
        </w:rPr>
        <w:t>:</w:t>
      </w:r>
      <w:r w:rsidR="00C87EBF" w:rsidRPr="000E178C">
        <w:rPr>
          <w:rFonts w:cs="Times New Roman"/>
          <w:szCs w:val="24"/>
        </w:rPr>
        <w:t xml:space="preserve"> </w:t>
      </w:r>
      <w:r w:rsidR="00A80AA1" w:rsidRPr="000E178C">
        <w:rPr>
          <w:rFonts w:cs="Times New Roman"/>
          <w:szCs w:val="24"/>
        </w:rPr>
        <w:t>f</w:t>
      </w:r>
      <w:r w:rsidRPr="000E178C">
        <w:rPr>
          <w:rFonts w:cs="Times New Roman"/>
          <w:szCs w:val="24"/>
        </w:rPr>
        <w:t xml:space="preserve">iling administrative charges with the EEOC is a protected activity. </w:t>
      </w:r>
      <w:r w:rsidRPr="000E178C">
        <w:rPr>
          <w:rFonts w:cs="Times New Roman"/>
          <w:i/>
          <w:szCs w:val="24"/>
        </w:rPr>
        <w:t>Proctor</w:t>
      </w:r>
      <w:r w:rsidRPr="000E178C">
        <w:rPr>
          <w:rFonts w:cs="Times New Roman"/>
          <w:szCs w:val="24"/>
        </w:rPr>
        <w:t>, 502 F.3d at 1208</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Pr="000E178C">
        <w:rPr>
          <w:rFonts w:cs="Times New Roman"/>
          <w:szCs w:val="24"/>
        </w:rPr>
        <w:t xml:space="preserve">; </w:t>
      </w:r>
      <w:r w:rsidRPr="000E178C">
        <w:rPr>
          <w:rFonts w:cs="Times New Roman"/>
          <w:i/>
          <w:szCs w:val="24"/>
        </w:rPr>
        <w:t>Anderson v. Coors Brewing Co.</w:t>
      </w:r>
      <w:r w:rsidRPr="000E178C">
        <w:rPr>
          <w:rFonts w:cs="Times New Roman"/>
          <w:szCs w:val="24"/>
        </w:rPr>
        <w:t>, 181 F.3d 1171, 1178 (10th Cir. 1999)</w:t>
      </w:r>
      <w:r w:rsidRPr="000E178C">
        <w:rPr>
          <w:rFonts w:cs="Times New Roman"/>
          <w:szCs w:val="24"/>
        </w:rPr>
        <w:fldChar w:fldCharType="begin"/>
      </w:r>
      <w:r w:rsidRPr="000E178C">
        <w:rPr>
          <w:rFonts w:cs="Times New Roman"/>
          <w:szCs w:val="24"/>
        </w:rPr>
        <w:instrText xml:space="preserve"> TA \l "</w:instrText>
      </w:r>
      <w:r w:rsidRPr="000E178C">
        <w:rPr>
          <w:rFonts w:cs="Times New Roman"/>
          <w:i/>
          <w:szCs w:val="24"/>
        </w:rPr>
        <w:instrText>Anderson v. Coors Brewing Co.</w:instrText>
      </w:r>
      <w:r w:rsidRPr="000E178C">
        <w:rPr>
          <w:rFonts w:cs="Times New Roman"/>
          <w:szCs w:val="24"/>
        </w:rPr>
        <w:instrText xml:space="preserve">, 181 F.3d 1171, 1178 (10th Cir. 1999)" \s "Anderson v. Coors Brewing Co., 181 F.3d 1171, 1178 (10th Cir. 1999)" \c 1 </w:instrText>
      </w:r>
      <w:r w:rsidRPr="000E178C">
        <w:rPr>
          <w:rFonts w:cs="Times New Roman"/>
          <w:szCs w:val="24"/>
        </w:rPr>
        <w:fldChar w:fldCharType="end"/>
      </w:r>
      <w:r w:rsidRPr="000E178C">
        <w:rPr>
          <w:rFonts w:cs="Times New Roman"/>
          <w:szCs w:val="24"/>
        </w:rPr>
        <w:t xml:space="preserve">. </w:t>
      </w:r>
    </w:p>
    <w:p w14:paraId="3DB5A7B1" w14:textId="78FFB4F1" w:rsidR="00C30290" w:rsidRPr="000E178C" w:rsidRDefault="007730C0" w:rsidP="001B651E">
      <w:pPr>
        <w:pStyle w:val="Heading3"/>
        <w:numPr>
          <w:ilvl w:val="0"/>
          <w:numId w:val="9"/>
        </w:numPr>
        <w:spacing w:line="240" w:lineRule="auto"/>
        <w:ind w:left="1440" w:hanging="720"/>
        <w:rPr>
          <w:rFonts w:cs="Times New Roman"/>
        </w:rPr>
      </w:pPr>
      <w:bookmarkStart w:id="10" w:name="_Toc509470357"/>
      <w:r w:rsidRPr="000E178C">
        <w:rPr>
          <w:rFonts w:cs="Times New Roman"/>
        </w:rPr>
        <w:t xml:space="preserve">SSS Committed </w:t>
      </w:r>
      <w:r w:rsidR="003459B8">
        <w:rPr>
          <w:rFonts w:cs="Times New Roman"/>
        </w:rPr>
        <w:t>an</w:t>
      </w:r>
      <w:r w:rsidR="00C16ED4">
        <w:rPr>
          <w:rFonts w:cs="Times New Roman"/>
        </w:rPr>
        <w:t xml:space="preserve"> </w:t>
      </w:r>
      <w:r w:rsidR="00157746" w:rsidRPr="000E178C">
        <w:rPr>
          <w:rFonts w:cs="Times New Roman"/>
        </w:rPr>
        <w:t xml:space="preserve">Adverse </w:t>
      </w:r>
      <w:r w:rsidRPr="000E178C">
        <w:rPr>
          <w:rFonts w:cs="Times New Roman"/>
        </w:rPr>
        <w:t xml:space="preserve">Employment </w:t>
      </w:r>
      <w:r w:rsidR="00157746" w:rsidRPr="000E178C">
        <w:rPr>
          <w:rFonts w:cs="Times New Roman"/>
        </w:rPr>
        <w:t>Action</w:t>
      </w:r>
      <w:r w:rsidRPr="000E178C">
        <w:rPr>
          <w:rFonts w:cs="Times New Roman"/>
        </w:rPr>
        <w:t xml:space="preserve"> Against Mr. Hernandez </w:t>
      </w:r>
      <w:r w:rsidR="00A17C97" w:rsidRPr="000E178C">
        <w:rPr>
          <w:rFonts w:cs="Times New Roman"/>
        </w:rPr>
        <w:t xml:space="preserve">by Terminating His Employment, </w:t>
      </w:r>
      <w:r w:rsidR="00E002AD" w:rsidRPr="000E178C">
        <w:rPr>
          <w:rFonts w:cs="Times New Roman"/>
        </w:rPr>
        <w:t>a</w:t>
      </w:r>
      <w:r w:rsidR="00A17C97" w:rsidRPr="000E178C">
        <w:rPr>
          <w:rFonts w:cs="Times New Roman"/>
        </w:rPr>
        <w:t xml:space="preserve">nd </w:t>
      </w:r>
      <w:r w:rsidR="00E002AD" w:rsidRPr="000E178C">
        <w:rPr>
          <w:rFonts w:cs="Times New Roman"/>
        </w:rPr>
        <w:t>by</w:t>
      </w:r>
      <w:r w:rsidR="00A17C97" w:rsidRPr="000E178C">
        <w:rPr>
          <w:rFonts w:cs="Times New Roman"/>
        </w:rPr>
        <w:t xml:space="preserve"> Providing a</w:t>
      </w:r>
      <w:r w:rsidR="006105E5" w:rsidRPr="000E178C">
        <w:rPr>
          <w:rFonts w:cs="Times New Roman"/>
        </w:rPr>
        <w:t xml:space="preserve"> </w:t>
      </w:r>
      <w:r w:rsidR="00C16ED4">
        <w:rPr>
          <w:rFonts w:cs="Times New Roman"/>
        </w:rPr>
        <w:t xml:space="preserve">Negative Job </w:t>
      </w:r>
      <w:r w:rsidR="006105E5" w:rsidRPr="000E178C">
        <w:rPr>
          <w:rFonts w:cs="Times New Roman"/>
        </w:rPr>
        <w:t>Reference that Contributed to</w:t>
      </w:r>
      <w:r w:rsidR="00E002AD" w:rsidRPr="000E178C">
        <w:rPr>
          <w:rFonts w:cs="Times New Roman"/>
        </w:rPr>
        <w:t xml:space="preserve"> </w:t>
      </w:r>
      <w:r w:rsidR="00C16ED4">
        <w:rPr>
          <w:rFonts w:cs="Times New Roman"/>
        </w:rPr>
        <w:t>His Unemployment.</w:t>
      </w:r>
      <w:r w:rsidR="00821887" w:rsidRPr="000E178C">
        <w:rPr>
          <w:rFonts w:cs="Times New Roman"/>
        </w:rPr>
        <w:t xml:space="preserve"> </w:t>
      </w:r>
      <w:bookmarkEnd w:id="10"/>
      <w:r w:rsidR="001B651E" w:rsidRPr="000E178C">
        <w:rPr>
          <w:rFonts w:cs="Times New Roman"/>
        </w:rPr>
        <w:br/>
      </w:r>
    </w:p>
    <w:p w14:paraId="346AA87E" w14:textId="33A0F890" w:rsidR="008413A7" w:rsidRPr="000E178C" w:rsidRDefault="008413A7" w:rsidP="00066A88">
      <w:pPr>
        <w:rPr>
          <w:rFonts w:cs="Times New Roman"/>
          <w:szCs w:val="24"/>
        </w:rPr>
      </w:pPr>
      <w:r w:rsidRPr="000E178C">
        <w:rPr>
          <w:rFonts w:cs="Times New Roman"/>
          <w:szCs w:val="24"/>
        </w:rPr>
        <w:t xml:space="preserve">The second </w:t>
      </w:r>
      <w:r w:rsidR="00F5413B" w:rsidRPr="000E178C">
        <w:rPr>
          <w:rFonts w:cs="Times New Roman"/>
          <w:szCs w:val="24"/>
        </w:rPr>
        <w:t>element of a prima facie case</w:t>
      </w:r>
      <w:r w:rsidRPr="000E178C">
        <w:rPr>
          <w:rFonts w:cs="Times New Roman"/>
          <w:szCs w:val="24"/>
        </w:rPr>
        <w:t xml:space="preserve">, adverse employment action, has been liberally defined, requiring analysis on a case by case basis, and must meet the requirement of causing more than </w:t>
      </w:r>
      <w:r w:rsidRPr="000E178C">
        <w:rPr>
          <w:rFonts w:cs="Times New Roman"/>
          <w:i/>
          <w:szCs w:val="24"/>
        </w:rPr>
        <w:t xml:space="preserve">de minimis </w:t>
      </w:r>
      <w:r w:rsidRPr="000E178C">
        <w:rPr>
          <w:rFonts w:cs="Times New Roman"/>
          <w:szCs w:val="24"/>
        </w:rPr>
        <w:t xml:space="preserve">harm. </w:t>
      </w:r>
      <w:r w:rsidRPr="000E178C">
        <w:rPr>
          <w:rFonts w:cs="Times New Roman"/>
          <w:i/>
          <w:szCs w:val="24"/>
        </w:rPr>
        <w:t>E.E.O.C.</w:t>
      </w:r>
      <w:r w:rsidRPr="000E178C">
        <w:rPr>
          <w:rFonts w:cs="Times New Roman"/>
          <w:szCs w:val="24"/>
        </w:rPr>
        <w:t>, 644 F.3d at 1040</w:t>
      </w:r>
      <w:r w:rsidRPr="000E178C">
        <w:rPr>
          <w:rFonts w:cs="Times New Roman"/>
          <w:szCs w:val="24"/>
        </w:rPr>
        <w:fldChar w:fldCharType="begin"/>
      </w:r>
      <w:r w:rsidRPr="000E178C">
        <w:rPr>
          <w:rFonts w:cs="Times New Roman"/>
          <w:szCs w:val="24"/>
        </w:rPr>
        <w:instrText xml:space="preserve"> TA \s "E.E.O.C. v. C.R. England, Inc., 644 F.3d 1028, 1051 (10th Cir. 2011)." </w:instrText>
      </w:r>
      <w:r w:rsidRPr="000E178C">
        <w:rPr>
          <w:rFonts w:cs="Times New Roman"/>
          <w:szCs w:val="24"/>
        </w:rPr>
        <w:fldChar w:fldCharType="end"/>
      </w:r>
      <w:r w:rsidRPr="000E178C">
        <w:rPr>
          <w:rFonts w:cs="Times New Roman"/>
          <w:szCs w:val="24"/>
        </w:rPr>
        <w:t xml:space="preserve"> (holding that “hiring, firing or failing to promote” rise to the level of adverse employment action)</w:t>
      </w:r>
      <w:r w:rsidR="001E5638" w:rsidRPr="000E178C">
        <w:rPr>
          <w:rFonts w:cs="Times New Roman"/>
          <w:szCs w:val="24"/>
        </w:rPr>
        <w:t xml:space="preserve">; </w:t>
      </w:r>
      <w:r w:rsidR="00AA76ED" w:rsidRPr="000E178C">
        <w:rPr>
          <w:rFonts w:eastAsia="Times New Roman" w:cs="Times New Roman"/>
          <w:i/>
          <w:color w:val="000000"/>
          <w:szCs w:val="24"/>
        </w:rPr>
        <w:t>Sanchez v. Denver Pub. Sch.</w:t>
      </w:r>
      <w:r w:rsidR="00AA76ED" w:rsidRPr="000E178C">
        <w:rPr>
          <w:rFonts w:eastAsia="Times New Roman" w:cs="Times New Roman"/>
          <w:color w:val="000000"/>
          <w:szCs w:val="24"/>
        </w:rPr>
        <w:t>, 164 F.3d 527, 532 (10th Cir. 1998) (</w:t>
      </w:r>
      <w:r w:rsidR="0015630E" w:rsidRPr="000E178C">
        <w:rPr>
          <w:rFonts w:eastAsia="Times New Roman" w:cs="Times New Roman"/>
          <w:color w:val="000000"/>
          <w:szCs w:val="24"/>
        </w:rPr>
        <w:t>finding that an increase in commute time did not rise to the level of adverse action)</w:t>
      </w:r>
      <w:r w:rsidRPr="000E178C">
        <w:rPr>
          <w:rFonts w:cs="Times New Roman"/>
          <w:szCs w:val="24"/>
        </w:rPr>
        <w:t xml:space="preserve">. </w:t>
      </w:r>
      <w:r w:rsidR="00FF35E6">
        <w:rPr>
          <w:rFonts w:cs="Times New Roman"/>
          <w:szCs w:val="24"/>
        </w:rPr>
        <w:t>An e</w:t>
      </w:r>
      <w:r w:rsidRPr="000E178C">
        <w:rPr>
          <w:rFonts w:cs="Times New Roman"/>
          <w:szCs w:val="24"/>
        </w:rPr>
        <w:t xml:space="preserve">mployment action is </w:t>
      </w:r>
      <w:r w:rsidR="00AE38F2" w:rsidRPr="000E178C">
        <w:rPr>
          <w:rFonts w:cs="Times New Roman"/>
          <w:szCs w:val="24"/>
        </w:rPr>
        <w:t>a</w:t>
      </w:r>
      <w:r w:rsidRPr="000E178C">
        <w:rPr>
          <w:rFonts w:cs="Times New Roman"/>
          <w:szCs w:val="24"/>
        </w:rPr>
        <w:t xml:space="preserve">dverse if it causes harm to future employment prospects. </w:t>
      </w:r>
      <w:r w:rsidRPr="000E178C">
        <w:rPr>
          <w:rFonts w:cs="Times New Roman"/>
          <w:i/>
          <w:szCs w:val="24"/>
        </w:rPr>
        <w:t xml:space="preserve">Berry v. </w:t>
      </w:r>
      <w:proofErr w:type="spellStart"/>
      <w:r w:rsidRPr="000E178C">
        <w:rPr>
          <w:rFonts w:cs="Times New Roman"/>
          <w:i/>
          <w:szCs w:val="24"/>
        </w:rPr>
        <w:t>Stevinson</w:t>
      </w:r>
      <w:proofErr w:type="spellEnd"/>
      <w:r w:rsidRPr="000E178C">
        <w:rPr>
          <w:rFonts w:cs="Times New Roman"/>
          <w:i/>
          <w:szCs w:val="24"/>
        </w:rPr>
        <w:t xml:space="preserve"> Chevrolet</w:t>
      </w:r>
      <w:r w:rsidRPr="000E178C">
        <w:rPr>
          <w:rFonts w:cs="Times New Roman"/>
          <w:szCs w:val="24"/>
        </w:rPr>
        <w:t>, 74 F.3d 980, 986–87 (10th Cir.1996)</w:t>
      </w:r>
      <w:r w:rsidR="00416882" w:rsidRPr="000E178C">
        <w:rPr>
          <w:rFonts w:cs="Times New Roman"/>
          <w:szCs w:val="24"/>
        </w:rPr>
        <w:t xml:space="preserve"> (finding that </w:t>
      </w:r>
      <w:r w:rsidR="00B1120B" w:rsidRPr="000E178C">
        <w:rPr>
          <w:rFonts w:cs="Times New Roman"/>
          <w:szCs w:val="24"/>
        </w:rPr>
        <w:t>filing charges against a former employee may be adverse action)</w:t>
      </w:r>
      <w:r w:rsidRPr="000E178C">
        <w:rPr>
          <w:rFonts w:cs="Times New Roman"/>
          <w:szCs w:val="24"/>
        </w:rPr>
        <w:fldChar w:fldCharType="begin"/>
      </w:r>
      <w:r w:rsidRPr="000E178C">
        <w:rPr>
          <w:rFonts w:cs="Times New Roman"/>
          <w:szCs w:val="24"/>
        </w:rPr>
        <w:instrText xml:space="preserve"> TA \l "</w:instrText>
      </w:r>
      <w:r w:rsidRPr="000E178C">
        <w:rPr>
          <w:rFonts w:cs="Times New Roman"/>
          <w:i/>
          <w:szCs w:val="24"/>
        </w:rPr>
        <w:instrText>Berry v. Stevinson Chevrolet</w:instrText>
      </w:r>
      <w:r w:rsidRPr="000E178C">
        <w:rPr>
          <w:rFonts w:cs="Times New Roman"/>
          <w:szCs w:val="24"/>
        </w:rPr>
        <w:instrText xml:space="preserve">, 74 F.3d 980, 986–87 (10th Cir.1996)" \s "Berry v. Stevinson Chevrolet, 74 F.3d 980, 986–87 (10th Cir.1996)" \c 1 </w:instrText>
      </w:r>
      <w:r w:rsidRPr="000E178C">
        <w:rPr>
          <w:rFonts w:cs="Times New Roman"/>
          <w:szCs w:val="24"/>
        </w:rPr>
        <w:fldChar w:fldCharType="end"/>
      </w:r>
      <w:r w:rsidRPr="000E178C">
        <w:rPr>
          <w:rFonts w:cs="Times New Roman"/>
          <w:szCs w:val="24"/>
        </w:rPr>
        <w:t xml:space="preserve">; </w:t>
      </w:r>
      <w:proofErr w:type="spellStart"/>
      <w:r w:rsidRPr="000E178C">
        <w:rPr>
          <w:rFonts w:cs="Times New Roman"/>
          <w:i/>
          <w:szCs w:val="24"/>
        </w:rPr>
        <w:t>Hillig</w:t>
      </w:r>
      <w:proofErr w:type="spellEnd"/>
      <w:r w:rsidRPr="000E178C">
        <w:rPr>
          <w:rFonts w:cs="Times New Roman"/>
          <w:i/>
          <w:szCs w:val="24"/>
        </w:rPr>
        <w:t xml:space="preserve"> v. Rumsfeld</w:t>
      </w:r>
      <w:r w:rsidRPr="000E178C">
        <w:rPr>
          <w:rFonts w:cs="Times New Roman"/>
          <w:szCs w:val="24"/>
        </w:rPr>
        <w:t>, 381 F.3d 1028, 1031 (10th Cir. 2004)</w:t>
      </w:r>
      <w:r w:rsidR="000D5450" w:rsidRPr="000E178C">
        <w:rPr>
          <w:rFonts w:cs="Times New Roman"/>
          <w:szCs w:val="24"/>
        </w:rPr>
        <w:t xml:space="preserve"> (holding reference that prevented</w:t>
      </w:r>
      <w:r w:rsidR="00077736" w:rsidRPr="000E178C">
        <w:rPr>
          <w:rFonts w:cs="Times New Roman"/>
          <w:szCs w:val="24"/>
        </w:rPr>
        <w:t xml:space="preserve"> plaintiff from obtaining employment </w:t>
      </w:r>
      <w:r w:rsidR="00F30104" w:rsidRPr="000E178C">
        <w:rPr>
          <w:rFonts w:cs="Times New Roman"/>
          <w:szCs w:val="24"/>
        </w:rPr>
        <w:t>as adverse action)</w:t>
      </w:r>
      <w:r w:rsidR="00E430CA" w:rsidRPr="000E178C">
        <w:rPr>
          <w:rFonts w:cs="Times New Roman"/>
          <w:szCs w:val="24"/>
        </w:rPr>
        <w:t xml:space="preserve">; </w:t>
      </w:r>
      <w:r w:rsidR="00066A88" w:rsidRPr="000E178C">
        <w:rPr>
          <w:rFonts w:cs="Times New Roman"/>
          <w:i/>
          <w:szCs w:val="24"/>
        </w:rPr>
        <w:t>E.E.O.C. v. L.B. Foster Co.</w:t>
      </w:r>
      <w:r w:rsidR="00066A88" w:rsidRPr="000E178C">
        <w:rPr>
          <w:rFonts w:cs="Times New Roman"/>
          <w:szCs w:val="24"/>
        </w:rPr>
        <w:t>, 123 F.3d 746, 753 (3d Cir. 1997) (</w:t>
      </w:r>
      <w:r w:rsidR="00C47AFB" w:rsidRPr="000E178C">
        <w:rPr>
          <w:rFonts w:cs="Times New Roman"/>
          <w:szCs w:val="24"/>
        </w:rPr>
        <w:t>holding the refusal of a reference can be adverse action)</w:t>
      </w:r>
      <w:r w:rsidRPr="000E178C">
        <w:rPr>
          <w:rFonts w:cs="Times New Roman"/>
          <w:szCs w:val="24"/>
        </w:rPr>
        <w:fldChar w:fldCharType="begin"/>
      </w:r>
      <w:r w:rsidRPr="000E178C">
        <w:rPr>
          <w:rFonts w:cs="Times New Roman"/>
          <w:szCs w:val="24"/>
        </w:rPr>
        <w:instrText xml:space="preserve"> TA \l "</w:instrText>
      </w:r>
      <w:r w:rsidRPr="000E178C">
        <w:rPr>
          <w:rFonts w:cs="Times New Roman"/>
          <w:i/>
          <w:szCs w:val="24"/>
        </w:rPr>
        <w:instrText>Hillig v. Rumsfeld</w:instrText>
      </w:r>
      <w:r w:rsidRPr="000E178C">
        <w:rPr>
          <w:rFonts w:cs="Times New Roman"/>
          <w:szCs w:val="24"/>
        </w:rPr>
        <w:instrText xml:space="preserve">, 381 F.3d 1028, 1031 (10th Cir. 2004)" \s "Hillig v. Rumsfeld, 381 F.3d 1028, 1031 (10th Cir. 2004)" \c 1 </w:instrText>
      </w:r>
      <w:r w:rsidRPr="000E178C">
        <w:rPr>
          <w:rFonts w:cs="Times New Roman"/>
          <w:szCs w:val="24"/>
        </w:rPr>
        <w:fldChar w:fldCharType="end"/>
      </w:r>
      <w:r w:rsidRPr="000E178C">
        <w:rPr>
          <w:rFonts w:cs="Times New Roman"/>
          <w:szCs w:val="24"/>
        </w:rPr>
        <w:t xml:space="preserve">. Negative references can be adverse action, even if the recommendation is not the sole reason for a potential employer rejecting the plaintiff. </w:t>
      </w:r>
      <w:r w:rsidR="00187847" w:rsidRPr="000E178C">
        <w:rPr>
          <w:rFonts w:cs="Times New Roman"/>
          <w:i/>
          <w:szCs w:val="24"/>
        </w:rPr>
        <w:t>Hashimoto v. Dalton</w:t>
      </w:r>
      <w:r w:rsidR="00187847" w:rsidRPr="000E178C">
        <w:rPr>
          <w:rFonts w:cs="Times New Roman"/>
          <w:szCs w:val="24"/>
        </w:rPr>
        <w:t>, 118 F.3d 671 (9th Cir.1997)</w:t>
      </w:r>
      <w:r w:rsidRPr="000E178C">
        <w:rPr>
          <w:rFonts w:cs="Times New Roman"/>
          <w:szCs w:val="24"/>
        </w:rPr>
        <w:fldChar w:fldCharType="begin"/>
      </w:r>
      <w:r w:rsidRPr="000E178C">
        <w:rPr>
          <w:rFonts w:cs="Times New Roman"/>
          <w:szCs w:val="24"/>
        </w:rPr>
        <w:instrText xml:space="preserve"> TA \s "Hillig v. Rumsfeld, 381 F.3d 1028, 1031 (10th Cir. 2004)" </w:instrText>
      </w:r>
      <w:r w:rsidRPr="000E178C">
        <w:rPr>
          <w:rFonts w:cs="Times New Roman"/>
          <w:szCs w:val="24"/>
        </w:rPr>
        <w:fldChar w:fldCharType="end"/>
      </w:r>
      <w:r w:rsidRPr="000E178C">
        <w:rPr>
          <w:rFonts w:cs="Times New Roman"/>
          <w:szCs w:val="24"/>
        </w:rPr>
        <w:t xml:space="preserve"> (holding that a negative reference was still adverse action despite that plaintiff would not have been hired in absence of the negative recommendation). </w:t>
      </w:r>
    </w:p>
    <w:p w14:paraId="11B07A43" w14:textId="44D1969B" w:rsidR="009B2674" w:rsidRPr="000E178C" w:rsidRDefault="00AA28EC" w:rsidP="00055F62">
      <w:pPr>
        <w:rPr>
          <w:rFonts w:cs="Times New Roman"/>
          <w:szCs w:val="24"/>
        </w:rPr>
      </w:pPr>
      <w:r w:rsidRPr="000E178C">
        <w:rPr>
          <w:rFonts w:cs="Times New Roman"/>
          <w:szCs w:val="24"/>
        </w:rPr>
        <w:t>Mr. Hernandez</w:t>
      </w:r>
      <w:r w:rsidR="00E35663">
        <w:rPr>
          <w:rFonts w:cs="Times New Roman"/>
          <w:szCs w:val="24"/>
        </w:rPr>
        <w:t>’s termination and negative reference</w:t>
      </w:r>
      <w:r w:rsidRPr="000E178C">
        <w:rPr>
          <w:rFonts w:cs="Times New Roman"/>
          <w:szCs w:val="24"/>
        </w:rPr>
        <w:t xml:space="preserve"> meet the requirements of the second element for a prima facie case of retaliation. </w:t>
      </w:r>
      <w:r w:rsidR="0047333D" w:rsidRPr="000E178C">
        <w:rPr>
          <w:rFonts w:cs="Times New Roman"/>
          <w:szCs w:val="24"/>
        </w:rPr>
        <w:t xml:space="preserve">Here, Mr. Hernandez’s employment was terminated, </w:t>
      </w:r>
      <w:r w:rsidR="00ED2D4A" w:rsidRPr="000E178C">
        <w:rPr>
          <w:rFonts w:cs="Times New Roman"/>
          <w:szCs w:val="24"/>
        </w:rPr>
        <w:t>which</w:t>
      </w:r>
      <w:r w:rsidR="00364AFE" w:rsidRPr="000E178C">
        <w:rPr>
          <w:rFonts w:cs="Times New Roman"/>
          <w:szCs w:val="24"/>
        </w:rPr>
        <w:t xml:space="preserve"> </w:t>
      </w:r>
      <w:r w:rsidR="007353C8" w:rsidRPr="000E178C">
        <w:rPr>
          <w:rFonts w:cs="Times New Roman"/>
          <w:szCs w:val="24"/>
        </w:rPr>
        <w:t xml:space="preserve">meets the requirement of more than </w:t>
      </w:r>
      <w:r w:rsidR="007353C8" w:rsidRPr="000E178C">
        <w:rPr>
          <w:rFonts w:cs="Times New Roman"/>
          <w:i/>
          <w:szCs w:val="24"/>
        </w:rPr>
        <w:t xml:space="preserve">de </w:t>
      </w:r>
      <w:proofErr w:type="spellStart"/>
      <w:r w:rsidR="007353C8" w:rsidRPr="000E178C">
        <w:rPr>
          <w:rFonts w:cs="Times New Roman"/>
          <w:i/>
          <w:szCs w:val="24"/>
        </w:rPr>
        <w:t>minimus</w:t>
      </w:r>
      <w:proofErr w:type="spellEnd"/>
      <w:r w:rsidR="007353C8" w:rsidRPr="000E178C">
        <w:rPr>
          <w:rFonts w:cs="Times New Roman"/>
          <w:szCs w:val="24"/>
        </w:rPr>
        <w:t xml:space="preserve"> </w:t>
      </w:r>
      <w:r w:rsidR="0047333D" w:rsidRPr="000E178C">
        <w:rPr>
          <w:rFonts w:cs="Times New Roman"/>
          <w:szCs w:val="24"/>
        </w:rPr>
        <w:t>harm and</w:t>
      </w:r>
      <w:r w:rsidR="007353C8" w:rsidRPr="000E178C">
        <w:rPr>
          <w:rFonts w:cs="Times New Roman"/>
          <w:szCs w:val="24"/>
        </w:rPr>
        <w:t xml:space="preserve"> is </w:t>
      </w:r>
      <w:r w:rsidRPr="000E178C">
        <w:rPr>
          <w:rFonts w:cs="Times New Roman"/>
          <w:szCs w:val="24"/>
        </w:rPr>
        <w:t xml:space="preserve">therefore </w:t>
      </w:r>
      <w:r w:rsidR="004731CE">
        <w:rPr>
          <w:rFonts w:cs="Times New Roman"/>
          <w:szCs w:val="24"/>
        </w:rPr>
        <w:t xml:space="preserve">an </w:t>
      </w:r>
      <w:r w:rsidR="007353C8" w:rsidRPr="000E178C">
        <w:rPr>
          <w:rFonts w:cs="Times New Roman"/>
          <w:szCs w:val="24"/>
        </w:rPr>
        <w:t>adverse action</w:t>
      </w:r>
      <w:r w:rsidR="00C3239A" w:rsidRPr="000E178C">
        <w:rPr>
          <w:rFonts w:cs="Times New Roman"/>
          <w:szCs w:val="24"/>
        </w:rPr>
        <w:t xml:space="preserve">. </w:t>
      </w:r>
      <w:r w:rsidRPr="000E178C">
        <w:rPr>
          <w:rFonts w:cs="Times New Roman"/>
          <w:i/>
          <w:szCs w:val="24"/>
        </w:rPr>
        <w:t>E.E.O.C.</w:t>
      </w:r>
      <w:r w:rsidRPr="000E178C">
        <w:rPr>
          <w:rFonts w:cs="Times New Roman"/>
          <w:szCs w:val="24"/>
        </w:rPr>
        <w:t xml:space="preserve">, 644 F.3d at 1040. </w:t>
      </w:r>
      <w:r w:rsidR="004731CE">
        <w:rPr>
          <w:rFonts w:cs="Times New Roman"/>
          <w:szCs w:val="24"/>
        </w:rPr>
        <w:t xml:space="preserve">Moreover, </w:t>
      </w:r>
      <w:r w:rsidRPr="000E178C">
        <w:rPr>
          <w:rFonts w:cs="Times New Roman"/>
          <w:szCs w:val="24"/>
        </w:rPr>
        <w:fldChar w:fldCharType="begin"/>
      </w:r>
      <w:r w:rsidRPr="000E178C">
        <w:rPr>
          <w:rFonts w:cs="Times New Roman"/>
          <w:szCs w:val="24"/>
        </w:rPr>
        <w:instrText xml:space="preserve"> TA \s "E.E.O.C. v. C.R. England, Inc., 644 F.3d 1028, 1051 (10th Cir. 2011)." </w:instrText>
      </w:r>
      <w:r w:rsidRPr="000E178C">
        <w:rPr>
          <w:rFonts w:cs="Times New Roman"/>
          <w:szCs w:val="24"/>
        </w:rPr>
        <w:fldChar w:fldCharType="end"/>
      </w:r>
      <w:r w:rsidR="004731CE">
        <w:rPr>
          <w:rFonts w:cs="Times New Roman"/>
          <w:szCs w:val="24"/>
        </w:rPr>
        <w:t>t</w:t>
      </w:r>
      <w:r w:rsidR="000E6093" w:rsidRPr="000E178C">
        <w:rPr>
          <w:rFonts w:cs="Times New Roman"/>
          <w:szCs w:val="24"/>
        </w:rPr>
        <w:t>he negative reference of Maeve Gryphon was also retaliatory</w:t>
      </w:r>
      <w:r w:rsidR="0037206F">
        <w:rPr>
          <w:rFonts w:cs="Times New Roman"/>
          <w:szCs w:val="24"/>
        </w:rPr>
        <w:t xml:space="preserve"> as demonstrated in </w:t>
      </w:r>
      <w:r w:rsidR="00B21183" w:rsidRPr="000E178C">
        <w:rPr>
          <w:rFonts w:cs="Times New Roman"/>
          <w:i/>
          <w:szCs w:val="24"/>
        </w:rPr>
        <w:t>Hashimoto v. Dalton</w:t>
      </w:r>
      <w:r w:rsidR="00B21183" w:rsidRPr="000E178C">
        <w:rPr>
          <w:rFonts w:cs="Times New Roman"/>
          <w:szCs w:val="24"/>
        </w:rPr>
        <w:t>, 870 F. Supp. 1544, 1554–55 (D. Haw. 1994), aff'd, 118 F.3d 671 (9th Cir. 1997)</w:t>
      </w:r>
      <w:r w:rsidR="006E230E" w:rsidRPr="000E178C">
        <w:rPr>
          <w:rFonts w:cs="Times New Roman"/>
          <w:szCs w:val="24"/>
        </w:rPr>
        <w:fldChar w:fldCharType="begin"/>
      </w:r>
      <w:r w:rsidR="006E230E" w:rsidRPr="000E178C">
        <w:rPr>
          <w:rFonts w:cs="Times New Roman"/>
          <w:szCs w:val="24"/>
        </w:rPr>
        <w:instrText xml:space="preserve"> TA \l "</w:instrText>
      </w:r>
      <w:r w:rsidR="006E230E" w:rsidRPr="000E178C">
        <w:rPr>
          <w:rFonts w:cs="Times New Roman"/>
          <w:i/>
          <w:szCs w:val="24"/>
        </w:rPr>
        <w:instrText>Hashimoto v. Dalton</w:instrText>
      </w:r>
      <w:r w:rsidR="006E230E" w:rsidRPr="000E178C">
        <w:rPr>
          <w:rFonts w:cs="Times New Roman"/>
          <w:szCs w:val="24"/>
        </w:rPr>
        <w:instrText xml:space="preserve">, 118 F.3d 671 (9th Cir.1997)" \s "Hashimoto v. Dalton, 118 F.3d 671 (9th Cir.1997)" \c 1 </w:instrText>
      </w:r>
      <w:r w:rsidR="006E230E" w:rsidRPr="000E178C">
        <w:rPr>
          <w:rFonts w:cs="Times New Roman"/>
          <w:szCs w:val="24"/>
        </w:rPr>
        <w:fldChar w:fldCharType="end"/>
      </w:r>
      <w:r w:rsidR="006E230E" w:rsidRPr="000E178C">
        <w:rPr>
          <w:rFonts w:cs="Times New Roman"/>
          <w:szCs w:val="24"/>
        </w:rPr>
        <w:t xml:space="preserve">, </w:t>
      </w:r>
      <w:r w:rsidR="000711ED">
        <w:rPr>
          <w:rFonts w:cs="Times New Roman"/>
          <w:szCs w:val="24"/>
        </w:rPr>
        <w:t>where</w:t>
      </w:r>
      <w:r w:rsidR="00C57078" w:rsidRPr="000E178C">
        <w:rPr>
          <w:rFonts w:cs="Times New Roman"/>
          <w:szCs w:val="24"/>
        </w:rPr>
        <w:t xml:space="preserve"> </w:t>
      </w:r>
      <w:r w:rsidR="003617B7" w:rsidRPr="000E178C">
        <w:rPr>
          <w:rFonts w:cs="Times New Roman"/>
          <w:szCs w:val="24"/>
        </w:rPr>
        <w:t>plaintiff’s supervisor told a potential employer</w:t>
      </w:r>
      <w:r w:rsidR="00D35564" w:rsidRPr="000E178C">
        <w:rPr>
          <w:rFonts w:cs="Times New Roman"/>
          <w:szCs w:val="24"/>
        </w:rPr>
        <w:t xml:space="preserve"> of attempts at counseling and suspensions</w:t>
      </w:r>
      <w:r w:rsidR="00E81A70" w:rsidRPr="000E178C">
        <w:rPr>
          <w:rFonts w:cs="Times New Roman"/>
          <w:szCs w:val="24"/>
        </w:rPr>
        <w:t xml:space="preserve"> and the future employer did not consider the plaintiff for employment</w:t>
      </w:r>
      <w:r w:rsidR="00D35564" w:rsidRPr="000E178C">
        <w:rPr>
          <w:rFonts w:cs="Times New Roman"/>
          <w:szCs w:val="24"/>
        </w:rPr>
        <w:t>.</w:t>
      </w:r>
      <w:r w:rsidR="005D0C06" w:rsidRPr="000E178C">
        <w:rPr>
          <w:rFonts w:cs="Times New Roman"/>
          <w:szCs w:val="24"/>
        </w:rPr>
        <w:t xml:space="preserve"> </w:t>
      </w:r>
      <w:r w:rsidR="007846BE" w:rsidRPr="000E178C">
        <w:rPr>
          <w:rFonts w:cs="Times New Roman"/>
          <w:szCs w:val="24"/>
        </w:rPr>
        <w:t xml:space="preserve">Here, Ms. Gryphon informed EBS that </w:t>
      </w:r>
      <w:r w:rsidR="002B4C56" w:rsidRPr="000E178C">
        <w:rPr>
          <w:rFonts w:cs="Times New Roman"/>
          <w:szCs w:val="24"/>
        </w:rPr>
        <w:t xml:space="preserve">Mr. Hernandez </w:t>
      </w:r>
      <w:r w:rsidR="006612B5" w:rsidRPr="000E178C">
        <w:rPr>
          <w:rFonts w:cs="Times New Roman"/>
          <w:szCs w:val="24"/>
        </w:rPr>
        <w:t xml:space="preserve">missed work without </w:t>
      </w:r>
      <w:r w:rsidR="002B4C56" w:rsidRPr="000E178C">
        <w:rPr>
          <w:rFonts w:cs="Times New Roman"/>
          <w:szCs w:val="24"/>
        </w:rPr>
        <w:t>authorization and</w:t>
      </w:r>
      <w:r w:rsidR="007E5DDE" w:rsidRPr="000E178C">
        <w:rPr>
          <w:rFonts w:cs="Times New Roman"/>
          <w:szCs w:val="24"/>
        </w:rPr>
        <w:t xml:space="preserve"> missed several deadlines due to health</w:t>
      </w:r>
      <w:r w:rsidR="005D0C06" w:rsidRPr="000E178C">
        <w:rPr>
          <w:rFonts w:cs="Times New Roman"/>
          <w:szCs w:val="24"/>
        </w:rPr>
        <w:t xml:space="preserve"> </w:t>
      </w:r>
      <w:r w:rsidR="007E5DDE" w:rsidRPr="000E178C">
        <w:rPr>
          <w:rFonts w:cs="Times New Roman"/>
          <w:szCs w:val="24"/>
        </w:rPr>
        <w:t>reasons</w:t>
      </w:r>
      <w:r w:rsidR="002E1EFE" w:rsidRPr="000E178C">
        <w:rPr>
          <w:rFonts w:cs="Times New Roman"/>
          <w:szCs w:val="24"/>
        </w:rPr>
        <w:t xml:space="preserve">, which Mr. Rosenberg found problematic. </w:t>
      </w:r>
      <w:r w:rsidR="00953197" w:rsidRPr="000E178C">
        <w:rPr>
          <w:rFonts w:cs="Times New Roman"/>
          <w:szCs w:val="24"/>
        </w:rPr>
        <w:t xml:space="preserve">In </w:t>
      </w:r>
      <w:r w:rsidR="00953197" w:rsidRPr="000E178C">
        <w:rPr>
          <w:rFonts w:cs="Times New Roman"/>
          <w:i/>
          <w:szCs w:val="24"/>
        </w:rPr>
        <w:t>Hashimoto</w:t>
      </w:r>
      <w:r w:rsidR="00953197" w:rsidRPr="000E178C">
        <w:rPr>
          <w:rFonts w:cs="Times New Roman"/>
          <w:szCs w:val="24"/>
        </w:rPr>
        <w:t xml:space="preserve">, the </w:t>
      </w:r>
      <w:r w:rsidR="006E230E" w:rsidRPr="000E178C">
        <w:rPr>
          <w:rFonts w:cs="Times New Roman"/>
          <w:szCs w:val="24"/>
        </w:rPr>
        <w:t xml:space="preserve">court found that the potential employer would not have hired the plaintiff even in the absence of the negative recommendation but awarded plaintiff fees and costs. </w:t>
      </w:r>
      <w:r w:rsidR="00C474F5">
        <w:rPr>
          <w:rFonts w:cs="Times New Roman"/>
          <w:szCs w:val="24"/>
        </w:rPr>
        <w:t>However, here</w:t>
      </w:r>
      <w:r w:rsidR="006E230E" w:rsidRPr="000E178C">
        <w:rPr>
          <w:rFonts w:cs="Times New Roman"/>
          <w:szCs w:val="24"/>
        </w:rPr>
        <w:t xml:space="preserve">, </w:t>
      </w:r>
      <w:r w:rsidR="00127A13" w:rsidRPr="000E178C">
        <w:rPr>
          <w:rFonts w:cs="Times New Roman"/>
          <w:bCs/>
          <w:szCs w:val="24"/>
        </w:rPr>
        <w:t xml:space="preserve">Mr. Rosenberg states that the reference was problematic. Like in </w:t>
      </w:r>
      <w:r w:rsidR="00127A13" w:rsidRPr="000E178C">
        <w:rPr>
          <w:rFonts w:cs="Times New Roman"/>
          <w:bCs/>
          <w:i/>
          <w:szCs w:val="24"/>
        </w:rPr>
        <w:t>Hashimoto</w:t>
      </w:r>
      <w:r w:rsidR="00D55FB1" w:rsidRPr="000E178C">
        <w:rPr>
          <w:rFonts w:cs="Times New Roman"/>
          <w:bCs/>
          <w:i/>
          <w:szCs w:val="24"/>
        </w:rPr>
        <w:fldChar w:fldCharType="begin"/>
      </w:r>
      <w:r w:rsidR="00D55FB1" w:rsidRPr="000E178C">
        <w:rPr>
          <w:rFonts w:cs="Times New Roman"/>
          <w:szCs w:val="24"/>
        </w:rPr>
        <w:instrText xml:space="preserve"> TA \s "Hashimoto v. Dalton, 118 F.3d 671 (9th Cir.1997)" </w:instrText>
      </w:r>
      <w:r w:rsidR="00D55FB1" w:rsidRPr="000E178C">
        <w:rPr>
          <w:rFonts w:cs="Times New Roman"/>
          <w:bCs/>
          <w:i/>
          <w:szCs w:val="24"/>
        </w:rPr>
        <w:fldChar w:fldCharType="end"/>
      </w:r>
      <w:r w:rsidR="00D55FB1" w:rsidRPr="000E178C">
        <w:rPr>
          <w:rFonts w:cs="Times New Roman"/>
          <w:bCs/>
          <w:szCs w:val="24"/>
        </w:rPr>
        <w:t xml:space="preserve">, it is not necessary for reference to be the reason Mr. Hernandez was not hired, it is enough that the negative reference was given. </w:t>
      </w:r>
      <w:r w:rsidR="00D55FB1" w:rsidRPr="000E178C">
        <w:rPr>
          <w:rFonts w:cs="Times New Roman"/>
          <w:szCs w:val="24"/>
        </w:rPr>
        <w:t xml:space="preserve">118 F.3d 671. </w:t>
      </w:r>
      <w:r w:rsidR="00040841">
        <w:rPr>
          <w:rFonts w:cs="Times New Roman"/>
          <w:szCs w:val="24"/>
        </w:rPr>
        <w:t xml:space="preserve">Moreover, like the plaintiff in </w:t>
      </w:r>
      <w:proofErr w:type="spellStart"/>
      <w:r w:rsidR="000E6093" w:rsidRPr="000E178C">
        <w:rPr>
          <w:rFonts w:cs="Times New Roman"/>
          <w:bCs/>
          <w:i/>
          <w:szCs w:val="24"/>
        </w:rPr>
        <w:t>Hillig</w:t>
      </w:r>
      <w:proofErr w:type="spellEnd"/>
      <w:r w:rsidR="000E6093" w:rsidRPr="000E178C">
        <w:rPr>
          <w:rFonts w:cs="Times New Roman"/>
          <w:bCs/>
          <w:i/>
          <w:szCs w:val="24"/>
        </w:rPr>
        <w:t xml:space="preserve"> v. Rumsfeld</w:t>
      </w:r>
      <w:r w:rsidR="000E6093" w:rsidRPr="000E178C">
        <w:rPr>
          <w:rFonts w:cs="Times New Roman"/>
          <w:bCs/>
          <w:szCs w:val="24"/>
        </w:rPr>
        <w:t>, 381 F.3d 1028, 1035 (10th Cir. 2004)</w:t>
      </w:r>
      <w:r w:rsidR="000E6093" w:rsidRPr="000E178C">
        <w:rPr>
          <w:rFonts w:cs="Times New Roman"/>
          <w:bCs/>
          <w:szCs w:val="24"/>
        </w:rPr>
        <w:fldChar w:fldCharType="begin"/>
      </w:r>
      <w:r w:rsidR="000E6093" w:rsidRPr="000E178C">
        <w:rPr>
          <w:rFonts w:cs="Times New Roman"/>
          <w:szCs w:val="24"/>
        </w:rPr>
        <w:instrText xml:space="preserve"> TA \s "Hillig v. Rumsfeld, 381 F.3d 1028, 1031 (10th Cir. 2004)" </w:instrText>
      </w:r>
      <w:r w:rsidR="000E6093" w:rsidRPr="000E178C">
        <w:rPr>
          <w:rFonts w:cs="Times New Roman"/>
          <w:bCs/>
          <w:szCs w:val="24"/>
        </w:rPr>
        <w:fldChar w:fldCharType="end"/>
      </w:r>
      <w:r w:rsidR="000E6093" w:rsidRPr="000E178C">
        <w:rPr>
          <w:rFonts w:cs="Times New Roman"/>
          <w:bCs/>
          <w:szCs w:val="24"/>
        </w:rPr>
        <w:t xml:space="preserve">, plaintiff </w:t>
      </w:r>
      <w:r w:rsidR="00CB7269">
        <w:rPr>
          <w:rFonts w:cs="Times New Roman"/>
          <w:bCs/>
          <w:szCs w:val="24"/>
        </w:rPr>
        <w:t>who was found to have suffered</w:t>
      </w:r>
      <w:r w:rsidR="000E6093" w:rsidRPr="000E178C">
        <w:rPr>
          <w:rFonts w:cs="Times New Roman"/>
          <w:bCs/>
          <w:szCs w:val="24"/>
        </w:rPr>
        <w:t xml:space="preserve"> more than </w:t>
      </w:r>
      <w:r w:rsidR="000E6093" w:rsidRPr="000E178C">
        <w:rPr>
          <w:rFonts w:cs="Times New Roman"/>
          <w:bCs/>
          <w:i/>
          <w:szCs w:val="24"/>
        </w:rPr>
        <w:t>de minimis</w:t>
      </w:r>
      <w:r w:rsidR="000E6093" w:rsidRPr="000E178C">
        <w:rPr>
          <w:rFonts w:cs="Times New Roman"/>
          <w:bCs/>
          <w:szCs w:val="24"/>
        </w:rPr>
        <w:t xml:space="preserve"> harm to future employment prospects from a negative reference when applying at the United States Attorney’s Office</w:t>
      </w:r>
      <w:r w:rsidR="00FA1503" w:rsidRPr="000E178C">
        <w:rPr>
          <w:rFonts w:cs="Times New Roman"/>
          <w:bCs/>
          <w:szCs w:val="24"/>
        </w:rPr>
        <w:t xml:space="preserve"> because</w:t>
      </w:r>
      <w:r w:rsidR="000E6093" w:rsidRPr="000E178C">
        <w:rPr>
          <w:rFonts w:cs="Times New Roman"/>
          <w:bCs/>
          <w:szCs w:val="24"/>
        </w:rPr>
        <w:t xml:space="preserve"> </w:t>
      </w:r>
      <w:r w:rsidR="00FA1503" w:rsidRPr="000E178C">
        <w:rPr>
          <w:rFonts w:cs="Times New Roman"/>
          <w:bCs/>
          <w:szCs w:val="24"/>
        </w:rPr>
        <w:t>t</w:t>
      </w:r>
      <w:r w:rsidR="000E6093" w:rsidRPr="000E178C">
        <w:rPr>
          <w:rFonts w:cs="Times New Roman"/>
          <w:bCs/>
          <w:szCs w:val="24"/>
        </w:rPr>
        <w:t>he hiring authority at the Department of Justice testified that applicants with negative references would not be hired</w:t>
      </w:r>
      <w:r w:rsidR="00CB7269">
        <w:rPr>
          <w:rFonts w:cs="Times New Roman"/>
          <w:bCs/>
          <w:szCs w:val="24"/>
        </w:rPr>
        <w:t>,</w:t>
      </w:r>
      <w:r w:rsidR="000E6093" w:rsidRPr="000E178C">
        <w:rPr>
          <w:rFonts w:cs="Times New Roman"/>
          <w:bCs/>
          <w:szCs w:val="24"/>
        </w:rPr>
        <w:t xml:space="preserve"> </w:t>
      </w:r>
      <w:r w:rsidR="00BE000A" w:rsidRPr="000E178C">
        <w:rPr>
          <w:rFonts w:cs="Times New Roman"/>
          <w:bCs/>
          <w:i/>
          <w:szCs w:val="24"/>
        </w:rPr>
        <w:t>Id</w:t>
      </w:r>
      <w:r w:rsidR="00921A20">
        <w:rPr>
          <w:rFonts w:cs="Times New Roman"/>
          <w:bCs/>
          <w:i/>
          <w:szCs w:val="24"/>
        </w:rPr>
        <w:t>.</w:t>
      </w:r>
      <w:r w:rsidR="00921A20">
        <w:rPr>
          <w:rFonts w:cs="Times New Roman"/>
          <w:bCs/>
          <w:szCs w:val="24"/>
        </w:rPr>
        <w:t>,</w:t>
      </w:r>
      <w:r w:rsidR="00BE000A" w:rsidRPr="000E178C">
        <w:rPr>
          <w:rFonts w:cs="Times New Roman"/>
          <w:bCs/>
          <w:szCs w:val="24"/>
        </w:rPr>
        <w:t xml:space="preserve"> </w:t>
      </w:r>
      <w:r w:rsidR="00921A20">
        <w:rPr>
          <w:rFonts w:cs="Times New Roman"/>
          <w:bCs/>
          <w:szCs w:val="24"/>
        </w:rPr>
        <w:t>h</w:t>
      </w:r>
      <w:r w:rsidR="000E6093" w:rsidRPr="000E178C">
        <w:rPr>
          <w:rFonts w:cs="Times New Roman"/>
          <w:bCs/>
          <w:szCs w:val="24"/>
        </w:rPr>
        <w:t>ere, Mr. Hernandez received a negative reference which affected his future employment at EB</w:t>
      </w:r>
      <w:r w:rsidR="00BE000A" w:rsidRPr="000E178C">
        <w:rPr>
          <w:rFonts w:cs="Times New Roman"/>
          <w:bCs/>
          <w:szCs w:val="24"/>
        </w:rPr>
        <w:t>S</w:t>
      </w:r>
      <w:r w:rsidR="006F774E" w:rsidRPr="000E178C">
        <w:rPr>
          <w:rFonts w:cs="Times New Roman"/>
          <w:bCs/>
          <w:szCs w:val="24"/>
        </w:rPr>
        <w:t xml:space="preserve">, as </w:t>
      </w:r>
      <w:r w:rsidR="007C14CA" w:rsidRPr="000E178C">
        <w:rPr>
          <w:rFonts w:cs="Times New Roman"/>
          <w:bCs/>
          <w:szCs w:val="24"/>
        </w:rPr>
        <w:t xml:space="preserve">EBS </w:t>
      </w:r>
      <w:r w:rsidR="00EE22CB" w:rsidRPr="000E178C">
        <w:rPr>
          <w:rFonts w:cs="Times New Roman"/>
          <w:bCs/>
          <w:szCs w:val="24"/>
        </w:rPr>
        <w:t xml:space="preserve">may </w:t>
      </w:r>
      <w:r w:rsidR="007C14CA" w:rsidRPr="000E178C">
        <w:rPr>
          <w:rFonts w:cs="Times New Roman"/>
          <w:bCs/>
          <w:szCs w:val="24"/>
        </w:rPr>
        <w:t xml:space="preserve">have extended an offer to Mr. Hernandez because </w:t>
      </w:r>
      <w:r w:rsidR="006F774E" w:rsidRPr="000E178C">
        <w:rPr>
          <w:rFonts w:cs="Times New Roman"/>
          <w:bCs/>
          <w:szCs w:val="24"/>
        </w:rPr>
        <w:t>his strong analytical abilities</w:t>
      </w:r>
      <w:r w:rsidR="007C14CA" w:rsidRPr="000E178C">
        <w:rPr>
          <w:rFonts w:cs="Times New Roman"/>
          <w:bCs/>
          <w:szCs w:val="24"/>
        </w:rPr>
        <w:t xml:space="preserve"> despite his lack of international experience</w:t>
      </w:r>
      <w:r w:rsidR="00EE22CB" w:rsidRPr="000E178C">
        <w:rPr>
          <w:rFonts w:cs="Times New Roman"/>
          <w:bCs/>
          <w:szCs w:val="24"/>
        </w:rPr>
        <w:t xml:space="preserve"> if no negative reference had been given</w:t>
      </w:r>
      <w:r w:rsidR="000E6093" w:rsidRPr="000E178C">
        <w:rPr>
          <w:rFonts w:cs="Times New Roman"/>
          <w:bCs/>
          <w:szCs w:val="24"/>
        </w:rPr>
        <w:t xml:space="preserve">. </w:t>
      </w:r>
      <w:r w:rsidR="007E445C">
        <w:rPr>
          <w:rFonts w:cs="Times New Roman"/>
          <w:bCs/>
          <w:szCs w:val="24"/>
        </w:rPr>
        <w:t xml:space="preserve">Therefore, the both the termination and negative reference were retaliatory. </w:t>
      </w:r>
    </w:p>
    <w:p w14:paraId="73442F70" w14:textId="7B76EDAF" w:rsidR="00157746" w:rsidRPr="000E178C" w:rsidRDefault="00DB665B" w:rsidP="001E16AE">
      <w:pPr>
        <w:pStyle w:val="Heading3"/>
        <w:numPr>
          <w:ilvl w:val="0"/>
          <w:numId w:val="9"/>
        </w:numPr>
        <w:spacing w:line="240" w:lineRule="auto"/>
        <w:ind w:left="1440" w:hanging="720"/>
        <w:rPr>
          <w:rFonts w:cs="Times New Roman"/>
        </w:rPr>
      </w:pPr>
      <w:bookmarkStart w:id="11" w:name="_Toc509470358"/>
      <w:r>
        <w:rPr>
          <w:rFonts w:cs="Times New Roman"/>
        </w:rPr>
        <w:t>Mr. Hernandez’s Termination and Negative Reference Have a Causal Connection to the EEOC Filing</w:t>
      </w:r>
      <w:r w:rsidR="00C70F67">
        <w:rPr>
          <w:rFonts w:cs="Times New Roman"/>
        </w:rPr>
        <w:t xml:space="preserve"> as Evidenced by the Temporal Proximity of Two Weeks and Three Months</w:t>
      </w:r>
      <w:r w:rsidR="00032028">
        <w:rPr>
          <w:rFonts w:cs="Times New Roman"/>
        </w:rPr>
        <w:t xml:space="preserve"> and Inconsistent Behavior From SSS.</w:t>
      </w:r>
      <w:r w:rsidR="00684505" w:rsidRPr="000E178C">
        <w:rPr>
          <w:rFonts w:cs="Times New Roman"/>
        </w:rPr>
        <w:t xml:space="preserve"> </w:t>
      </w:r>
      <w:bookmarkEnd w:id="11"/>
      <w:r w:rsidR="001E16AE" w:rsidRPr="000E178C">
        <w:rPr>
          <w:rFonts w:cs="Times New Roman"/>
        </w:rPr>
        <w:br/>
      </w:r>
    </w:p>
    <w:p w14:paraId="117AE1AB" w14:textId="7E79D559" w:rsidR="000E6093" w:rsidRPr="000E178C" w:rsidRDefault="000E6093" w:rsidP="000E6093">
      <w:pPr>
        <w:rPr>
          <w:rFonts w:cs="Times New Roman"/>
          <w:szCs w:val="24"/>
        </w:rPr>
      </w:pPr>
      <w:r w:rsidRPr="000E178C">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0E178C">
        <w:rPr>
          <w:rFonts w:cs="Times New Roman"/>
          <w:i/>
          <w:szCs w:val="24"/>
        </w:rPr>
        <w:t>Proctor</w:t>
      </w:r>
      <w:r w:rsidRPr="000E178C">
        <w:rPr>
          <w:rFonts w:cs="Times New Roman"/>
          <w:szCs w:val="24"/>
        </w:rPr>
        <w:t>, 502 F.3d at 1208</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Pr="000E178C">
        <w:rPr>
          <w:rFonts w:cs="Times New Roman"/>
          <w:szCs w:val="24"/>
        </w:rPr>
        <w:t xml:space="preserve">. Closer temporal proximity may stand alone as a causal connection, but greater separation requires additional evidence to establish causation. </w:t>
      </w:r>
      <w:r w:rsidRPr="000E178C">
        <w:rPr>
          <w:rFonts w:cs="Times New Roman"/>
          <w:i/>
          <w:szCs w:val="24"/>
        </w:rPr>
        <w:t>Ramirez v. Oklahoma Dept. of Mental Health</w:t>
      </w:r>
      <w:r w:rsidRPr="000E178C">
        <w:rPr>
          <w:rFonts w:cs="Times New Roman"/>
          <w:szCs w:val="24"/>
        </w:rPr>
        <w:t>, 41 F.3d 584, 596 (10th Cir.1994)</w:t>
      </w:r>
      <w:r w:rsidRPr="000E178C">
        <w:rPr>
          <w:rFonts w:cs="Times New Roman"/>
          <w:i/>
          <w:szCs w:val="24"/>
        </w:rPr>
        <w:t xml:space="preserve"> </w:t>
      </w:r>
      <w:r w:rsidRPr="000E178C">
        <w:rPr>
          <w:rFonts w:cs="Times New Roman"/>
          <w:szCs w:val="24"/>
        </w:rPr>
        <w:t>(stating that a one and one-half month period between protected activity and adverse action may, by itself, establish causation</w:t>
      </w:r>
      <w:r w:rsidR="009479B1" w:rsidRPr="000E178C">
        <w:rPr>
          <w:rFonts w:cs="Times New Roman"/>
          <w:szCs w:val="24"/>
        </w:rPr>
        <w:t>)</w:t>
      </w:r>
      <w:r w:rsidR="00750BFF" w:rsidRPr="000E178C">
        <w:rPr>
          <w:rFonts w:cs="Times New Roman"/>
          <w:szCs w:val="24"/>
        </w:rPr>
        <w:t xml:space="preserve"> overruled on other grounds by </w:t>
      </w:r>
      <w:r w:rsidR="00750BFF" w:rsidRPr="000E178C">
        <w:rPr>
          <w:rFonts w:cs="Times New Roman"/>
          <w:i/>
          <w:szCs w:val="24"/>
        </w:rPr>
        <w:t>Ellis v. University of Kansas Medical Center</w:t>
      </w:r>
      <w:r w:rsidR="00750BFF" w:rsidRPr="000E178C">
        <w:rPr>
          <w:rFonts w:cs="Times New Roman"/>
          <w:szCs w:val="24"/>
        </w:rPr>
        <w:t>, 163 F.3d 1186, 1194 – 97 (10th Cir. 1998)</w:t>
      </w:r>
      <w:r w:rsidR="00330BE8" w:rsidRPr="000E178C">
        <w:rPr>
          <w:rFonts w:cs="Times New Roman"/>
          <w:szCs w:val="24"/>
        </w:rPr>
        <w:t>;</w:t>
      </w:r>
      <w:r w:rsidRPr="000E178C">
        <w:rPr>
          <w:rFonts w:cs="Times New Roman"/>
          <w:szCs w:val="24"/>
        </w:rPr>
        <w:t xml:space="preserve"> </w:t>
      </w:r>
      <w:r w:rsidR="00330BE8" w:rsidRPr="000E178C">
        <w:rPr>
          <w:rStyle w:val="Emphasis"/>
          <w:rFonts w:cs="Times New Roman"/>
          <w:szCs w:val="24"/>
        </w:rPr>
        <w:t>Richmond v. ONEOK, Inc.,</w:t>
      </w:r>
      <w:r w:rsidR="00330BE8" w:rsidRPr="000E178C">
        <w:rPr>
          <w:rFonts w:cs="Times New Roman"/>
          <w:szCs w:val="24"/>
        </w:rPr>
        <w:t> 120 F.3d 205, 209 (10th Cir.1997)</w:t>
      </w:r>
      <w:r w:rsidR="00330BE8" w:rsidRPr="000E178C">
        <w:rPr>
          <w:rFonts w:cs="Times New Roman"/>
          <w:color w:val="212121"/>
          <w:szCs w:val="24"/>
        </w:rPr>
        <w:t> (</w:t>
      </w:r>
      <w:r w:rsidR="00292753" w:rsidRPr="000E178C">
        <w:rPr>
          <w:rFonts w:cs="Times New Roman"/>
          <w:color w:val="212121"/>
          <w:szCs w:val="24"/>
        </w:rPr>
        <w:t xml:space="preserve">ruling that a </w:t>
      </w:r>
      <w:r w:rsidR="00330BE8" w:rsidRPr="000E178C">
        <w:rPr>
          <w:rStyle w:val="cohl"/>
          <w:rFonts w:cs="Times New Roman"/>
          <w:color w:val="212121"/>
          <w:szCs w:val="24"/>
        </w:rPr>
        <w:t>three-month period, standing alone, is insufficient to establish causation</w:t>
      </w:r>
      <w:r w:rsidR="00330BE8" w:rsidRPr="000E178C">
        <w:rPr>
          <w:rFonts w:cs="Times New Roman"/>
          <w:color w:val="212121"/>
          <w:szCs w:val="24"/>
        </w:rPr>
        <w:t>)</w:t>
      </w:r>
      <w:r w:rsidR="00535160" w:rsidRPr="000E178C">
        <w:rPr>
          <w:rFonts w:cs="Times New Roman"/>
          <w:color w:val="212121"/>
          <w:szCs w:val="24"/>
        </w:rPr>
        <w:t>;</w:t>
      </w:r>
      <w:r w:rsidR="00330BE8" w:rsidRPr="000E178C">
        <w:rPr>
          <w:rFonts w:cs="Times New Roman"/>
          <w:color w:val="212121"/>
          <w:szCs w:val="24"/>
        </w:rPr>
        <w:t xml:space="preserve"> </w:t>
      </w:r>
      <w:r w:rsidRPr="000E178C">
        <w:rPr>
          <w:rFonts w:cs="Times New Roman"/>
          <w:i/>
          <w:szCs w:val="24"/>
        </w:rPr>
        <w:t>Proctor</w:t>
      </w:r>
      <w:r w:rsidRPr="000E178C">
        <w:rPr>
          <w:rFonts w:cs="Times New Roman"/>
          <w:szCs w:val="24"/>
        </w:rPr>
        <w:t>, 502 F.3d at 1208</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Pr="000E178C">
        <w:rPr>
          <w:rFonts w:cs="Times New Roman"/>
          <w:szCs w:val="24"/>
        </w:rPr>
        <w:t xml:space="preserve"> (holding that “four months is too large a time gap to establish a causal connection”)</w:t>
      </w:r>
      <w:r w:rsidR="00707ADF" w:rsidRPr="000E178C">
        <w:rPr>
          <w:rFonts w:cs="Times New Roman"/>
          <w:szCs w:val="24"/>
        </w:rPr>
        <w:t xml:space="preserve">; </w:t>
      </w:r>
      <w:r w:rsidR="00707ADF" w:rsidRPr="000E178C">
        <w:rPr>
          <w:rFonts w:eastAsia="Times New Roman" w:cs="Times New Roman"/>
          <w:i/>
          <w:color w:val="000000"/>
          <w:szCs w:val="24"/>
        </w:rPr>
        <w:t>Argo v. Blue Cross &amp; Blue Shield of Kansas, Inc.</w:t>
      </w:r>
      <w:r w:rsidR="00707ADF" w:rsidRPr="000E178C">
        <w:rPr>
          <w:rFonts w:eastAsia="Times New Roman" w:cs="Times New Roman"/>
          <w:color w:val="000000"/>
          <w:szCs w:val="24"/>
        </w:rPr>
        <w:t>, 452 F.3d 1193, 1202 (10th Cir. 2006) (holding that twenty-four days was enough to</w:t>
      </w:r>
      <w:r w:rsidR="00461D61" w:rsidRPr="000E178C">
        <w:rPr>
          <w:rFonts w:eastAsia="Times New Roman" w:cs="Times New Roman"/>
          <w:color w:val="000000"/>
          <w:szCs w:val="24"/>
        </w:rPr>
        <w:t xml:space="preserve"> allow an inference of causal connection)</w:t>
      </w:r>
      <w:r w:rsidR="00C27548">
        <w:rPr>
          <w:rFonts w:eastAsia="Times New Roman" w:cs="Times New Roman"/>
          <w:color w:val="000000"/>
          <w:szCs w:val="24"/>
        </w:rPr>
        <w:t xml:space="preserve">; </w:t>
      </w:r>
      <w:r w:rsidR="00C27548" w:rsidRPr="000E178C">
        <w:rPr>
          <w:rFonts w:cs="Times New Roman"/>
          <w:i/>
          <w:szCs w:val="24"/>
        </w:rPr>
        <w:t xml:space="preserve">O'Neal v. Ferguson Const. Co., </w:t>
      </w:r>
      <w:r w:rsidR="00C27548" w:rsidRPr="000E178C">
        <w:rPr>
          <w:rFonts w:cs="Times New Roman"/>
          <w:szCs w:val="24"/>
        </w:rPr>
        <w:t>237 F.3d 1248, 1254 (10th Cir. 2001)</w:t>
      </w:r>
      <w:r w:rsidR="00C27548">
        <w:rPr>
          <w:rFonts w:cs="Times New Roman"/>
          <w:szCs w:val="24"/>
        </w:rPr>
        <w:t xml:space="preserve"> (</w:t>
      </w:r>
      <w:r w:rsidR="00BF33AF">
        <w:rPr>
          <w:rFonts w:cs="Times New Roman"/>
          <w:szCs w:val="24"/>
        </w:rPr>
        <w:t xml:space="preserve">finding that it need not consider if a period of two months and three weeks </w:t>
      </w:r>
      <w:r w:rsidR="008B7364">
        <w:rPr>
          <w:rFonts w:cs="Times New Roman"/>
          <w:szCs w:val="24"/>
        </w:rPr>
        <w:t>by itself is sufficient to support a prima facie cause of consideration because additional evidence was presented</w:t>
      </w:r>
      <w:r w:rsidR="00C27548">
        <w:rPr>
          <w:rFonts w:cs="Times New Roman"/>
          <w:szCs w:val="24"/>
        </w:rPr>
        <w:t>)</w:t>
      </w:r>
      <w:r w:rsidRPr="000E178C">
        <w:rPr>
          <w:rFonts w:cs="Times New Roman"/>
          <w:szCs w:val="24"/>
        </w:rPr>
        <w:t>.</w:t>
      </w:r>
      <w:r w:rsidR="007E34A8">
        <w:rPr>
          <w:rFonts w:cs="Times New Roman"/>
          <w:szCs w:val="24"/>
        </w:rPr>
        <w:t xml:space="preserve"> </w:t>
      </w:r>
      <w:r w:rsidR="0081293B">
        <w:rPr>
          <w:rFonts w:cs="Times New Roman"/>
          <w:szCs w:val="24"/>
        </w:rPr>
        <w:t>The same e</w:t>
      </w:r>
      <w:r w:rsidRPr="000E178C">
        <w:rPr>
          <w:rFonts w:cs="Times New Roman"/>
          <w:szCs w:val="24"/>
        </w:rPr>
        <w:t xml:space="preserve">vidence </w:t>
      </w:r>
      <w:r w:rsidR="0081293B">
        <w:rPr>
          <w:rFonts w:cs="Times New Roman"/>
          <w:szCs w:val="24"/>
        </w:rPr>
        <w:t>used</w:t>
      </w:r>
      <w:r w:rsidRPr="000E178C">
        <w:rPr>
          <w:rFonts w:cs="Times New Roman"/>
          <w:szCs w:val="24"/>
        </w:rPr>
        <w:t xml:space="preserve"> to strengthen causal connection may also be used to establish that the defendant’s reasons for adverse action are pretext. </w:t>
      </w:r>
      <w:r w:rsidR="00B92660" w:rsidRPr="000E178C">
        <w:rPr>
          <w:rFonts w:cs="Times New Roman"/>
          <w:i/>
          <w:szCs w:val="24"/>
        </w:rPr>
        <w:t xml:space="preserve">See </w:t>
      </w:r>
      <w:r w:rsidRPr="000E178C">
        <w:rPr>
          <w:rFonts w:cs="Times New Roman"/>
          <w:i/>
          <w:szCs w:val="24"/>
        </w:rPr>
        <w:t>Proctor</w:t>
      </w:r>
      <w:r w:rsidRPr="000E178C">
        <w:rPr>
          <w:rFonts w:cs="Times New Roman"/>
          <w:szCs w:val="24"/>
        </w:rPr>
        <w:t>, 502 F.3d at 1209</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004B565C">
        <w:rPr>
          <w:rFonts w:cs="Times New Roman"/>
          <w:szCs w:val="24"/>
        </w:rPr>
        <w:t xml:space="preserve">; </w:t>
      </w:r>
      <w:proofErr w:type="spellStart"/>
      <w:r w:rsidR="0027032A" w:rsidRPr="0027032A">
        <w:rPr>
          <w:rFonts w:cs="Times New Roman"/>
          <w:i/>
          <w:szCs w:val="24"/>
        </w:rPr>
        <w:t>Preeson</w:t>
      </w:r>
      <w:proofErr w:type="spellEnd"/>
      <w:r w:rsidR="0027032A" w:rsidRPr="0027032A">
        <w:rPr>
          <w:rFonts w:cs="Times New Roman"/>
          <w:i/>
          <w:szCs w:val="24"/>
        </w:rPr>
        <w:t xml:space="preserve"> v. Parkview Med. Ctr., Inc.</w:t>
      </w:r>
      <w:r w:rsidR="0027032A" w:rsidRPr="0027032A">
        <w:rPr>
          <w:rFonts w:cs="Times New Roman"/>
          <w:szCs w:val="24"/>
        </w:rPr>
        <w:t>, No. 15-CV-02263-MSK-KMT, 2017 WL 1197298, at *1 (D. Colo. Mar. 30, 2017)</w:t>
      </w:r>
      <w:r w:rsidR="0027032A">
        <w:rPr>
          <w:rFonts w:cs="Times New Roman"/>
          <w:szCs w:val="24"/>
        </w:rPr>
        <w:t xml:space="preserve"> (find that inconsistent </w:t>
      </w:r>
      <w:r w:rsidR="00373229">
        <w:rPr>
          <w:rFonts w:cs="Times New Roman"/>
          <w:szCs w:val="24"/>
        </w:rPr>
        <w:t xml:space="preserve">upholding a policy about allowing employees to leave during their shift was evidence of pretext). </w:t>
      </w:r>
    </w:p>
    <w:p w14:paraId="1FADAF1F" w14:textId="77777777" w:rsidR="00C3380A" w:rsidRDefault="00032028" w:rsidP="000E6093">
      <w:pPr>
        <w:rPr>
          <w:rFonts w:cs="Times New Roman"/>
          <w:szCs w:val="24"/>
        </w:rPr>
      </w:pPr>
      <w:r>
        <w:rPr>
          <w:rFonts w:cs="Times New Roman"/>
          <w:szCs w:val="24"/>
        </w:rPr>
        <w:t>Here, t</w:t>
      </w:r>
      <w:r w:rsidR="00271CCF" w:rsidRPr="000E178C">
        <w:rPr>
          <w:rFonts w:cs="Times New Roman"/>
          <w:szCs w:val="24"/>
        </w:rPr>
        <w:t xml:space="preserve">here is a causal connection between </w:t>
      </w:r>
      <w:r w:rsidR="00E23613">
        <w:rPr>
          <w:rFonts w:cs="Times New Roman"/>
          <w:szCs w:val="24"/>
        </w:rPr>
        <w:t>Mr. Hernandez’s EEOC filing</w:t>
      </w:r>
      <w:r w:rsidR="00B3382E" w:rsidRPr="000E178C">
        <w:rPr>
          <w:rFonts w:cs="Times New Roman"/>
          <w:szCs w:val="24"/>
        </w:rPr>
        <w:t xml:space="preserve"> and the adverse action because two weeks is enough to support causal connection on its own, and the </w:t>
      </w:r>
      <w:r w:rsidR="00E23613" w:rsidRPr="000E178C">
        <w:rPr>
          <w:rFonts w:cs="Times New Roman"/>
          <w:szCs w:val="24"/>
        </w:rPr>
        <w:t>eleven-week</w:t>
      </w:r>
      <w:r w:rsidR="00B3382E" w:rsidRPr="000E178C">
        <w:rPr>
          <w:rFonts w:cs="Times New Roman"/>
          <w:szCs w:val="24"/>
        </w:rPr>
        <w:t xml:space="preserve"> </w:t>
      </w:r>
      <w:r w:rsidR="007C2946" w:rsidRPr="000E178C">
        <w:rPr>
          <w:rFonts w:cs="Times New Roman"/>
          <w:szCs w:val="24"/>
        </w:rPr>
        <w:t xml:space="preserve">period also shows a causal connection with additional evidence. </w:t>
      </w:r>
      <w:r w:rsidR="007C6975" w:rsidRPr="000E178C">
        <w:rPr>
          <w:rFonts w:cs="Times New Roman"/>
          <w:szCs w:val="24"/>
        </w:rPr>
        <w:t xml:space="preserve">In </w:t>
      </w:r>
      <w:r w:rsidR="007C6975" w:rsidRPr="000E178C">
        <w:rPr>
          <w:rFonts w:cs="Times New Roman"/>
          <w:i/>
          <w:szCs w:val="24"/>
        </w:rPr>
        <w:t>Ramirez v. Oklahoma Dep't of Mental Health</w:t>
      </w:r>
      <w:r w:rsidR="007C6975" w:rsidRPr="000E178C">
        <w:rPr>
          <w:rFonts w:cs="Times New Roman"/>
          <w:szCs w:val="24"/>
        </w:rPr>
        <w:t>, 41 F.3d 584, 596 (10th Cir. 1994),</w:t>
      </w:r>
      <w:r w:rsidR="007C6975" w:rsidRPr="000E178C">
        <w:rPr>
          <w:rFonts w:cs="Times New Roman"/>
          <w:szCs w:val="24"/>
        </w:rPr>
        <w:fldChar w:fldCharType="begin"/>
      </w:r>
      <w:r w:rsidR="007C6975" w:rsidRPr="000E178C">
        <w:rPr>
          <w:rFonts w:cs="Times New Roman"/>
          <w:szCs w:val="24"/>
        </w:rPr>
        <w:instrText xml:space="preserve"> TA \l "</w:instrText>
      </w:r>
      <w:r w:rsidR="007C6975" w:rsidRPr="000E178C">
        <w:rPr>
          <w:rFonts w:cs="Times New Roman"/>
          <w:i/>
          <w:szCs w:val="24"/>
        </w:rPr>
        <w:instrText>Anderson v. Coors Brewing Co.</w:instrText>
      </w:r>
      <w:r w:rsidR="007C6975" w:rsidRPr="000E178C">
        <w:rPr>
          <w:rFonts w:cs="Times New Roman"/>
          <w:szCs w:val="24"/>
        </w:rPr>
        <w:instrText xml:space="preserve">, 181 F.3d 1171, 1178 (10th Cir. 1999)" \s "Anderson v. Coors Brewing Co., 181 F.3d 1171, 1178 (10th Cir. 1999)" \c 1 </w:instrText>
      </w:r>
      <w:r w:rsidR="007C6975" w:rsidRPr="000E178C">
        <w:rPr>
          <w:rFonts w:cs="Times New Roman"/>
          <w:szCs w:val="24"/>
        </w:rPr>
        <w:fldChar w:fldCharType="end"/>
      </w:r>
      <w:r w:rsidR="007C6975" w:rsidRPr="000E178C">
        <w:rPr>
          <w:rFonts w:cs="Times New Roman"/>
          <w:szCs w:val="24"/>
        </w:rPr>
        <w:t xml:space="preserve"> a period of one and one half months between the protected activity and adverse employment action was enough to show causation. </w:t>
      </w:r>
      <w:r w:rsidR="000E0727" w:rsidRPr="000E178C">
        <w:rPr>
          <w:rFonts w:eastAsia="Times New Roman" w:cs="Times New Roman"/>
          <w:color w:val="000000"/>
          <w:szCs w:val="24"/>
          <w:shd w:val="clear" w:color="auto" w:fill="FFFFFF"/>
        </w:rPr>
        <w:t xml:space="preserve">In </w:t>
      </w:r>
      <w:r w:rsidR="000E0727" w:rsidRPr="000E178C">
        <w:rPr>
          <w:rFonts w:eastAsia="Times New Roman" w:cs="Times New Roman"/>
          <w:i/>
          <w:color w:val="000000"/>
          <w:szCs w:val="24"/>
        </w:rPr>
        <w:t>Argo v. Blue Cross &amp; Blue Shield of Kansas, Inc.</w:t>
      </w:r>
      <w:r w:rsidR="000E0727" w:rsidRPr="000E178C">
        <w:rPr>
          <w:rFonts w:eastAsia="Times New Roman" w:cs="Times New Roman"/>
          <w:color w:val="000000"/>
          <w:szCs w:val="24"/>
        </w:rPr>
        <w:t xml:space="preserve">, 452 F.3d 1193, 1202 (10th Cir. 2006), twenty-four days was enough to establish that a causal connection may exist. </w:t>
      </w:r>
      <w:r w:rsidR="007C6975" w:rsidRPr="000E178C">
        <w:rPr>
          <w:rFonts w:cs="Times New Roman"/>
          <w:szCs w:val="24"/>
        </w:rPr>
        <w:t xml:space="preserve">Here only two weeks passed from the time of filing to Mr. Hernandez’s termination on January 24, 2017 showing a </w:t>
      </w:r>
      <w:r w:rsidR="00E23613">
        <w:rPr>
          <w:rFonts w:cs="Times New Roman"/>
          <w:szCs w:val="24"/>
        </w:rPr>
        <w:t xml:space="preserve">sufficient </w:t>
      </w:r>
      <w:r w:rsidR="007C6975" w:rsidRPr="000E178C">
        <w:rPr>
          <w:rFonts w:cs="Times New Roman"/>
          <w:szCs w:val="24"/>
        </w:rPr>
        <w:t>causal connection between the two events.</w:t>
      </w:r>
      <w:r w:rsidR="009A50E7" w:rsidRPr="000E178C">
        <w:rPr>
          <w:rFonts w:cs="Times New Roman"/>
          <w:szCs w:val="24"/>
        </w:rPr>
        <w:t xml:space="preserve"> </w:t>
      </w:r>
    </w:p>
    <w:p w14:paraId="2ADCDFFF" w14:textId="149F0D5C" w:rsidR="007C6975" w:rsidRPr="006125D9" w:rsidRDefault="0025173B" w:rsidP="000E6093">
      <w:pPr>
        <w:rPr>
          <w:rFonts w:cs="Times New Roman"/>
          <w:szCs w:val="24"/>
        </w:rPr>
      </w:pPr>
      <w:r w:rsidRPr="000E178C">
        <w:rPr>
          <w:rFonts w:cs="Times New Roman"/>
          <w:szCs w:val="24"/>
        </w:rPr>
        <w:t xml:space="preserve">In </w:t>
      </w:r>
      <w:r w:rsidRPr="000E178C">
        <w:rPr>
          <w:rFonts w:cs="Times New Roman"/>
          <w:i/>
          <w:szCs w:val="24"/>
        </w:rPr>
        <w:t>Proctor v. United Parcel Serv.</w:t>
      </w:r>
      <w:r w:rsidRPr="000E178C">
        <w:rPr>
          <w:rFonts w:cs="Times New Roman"/>
          <w:szCs w:val="24"/>
        </w:rPr>
        <w:t>, 502 F.3d 1200, 120</w:t>
      </w:r>
      <w:r w:rsidR="00A31A83" w:rsidRPr="000E178C">
        <w:rPr>
          <w:rFonts w:cs="Times New Roman"/>
          <w:szCs w:val="24"/>
        </w:rPr>
        <w:t>9</w:t>
      </w:r>
      <w:r w:rsidRPr="000E178C">
        <w:rPr>
          <w:rFonts w:cs="Times New Roman"/>
          <w:szCs w:val="24"/>
        </w:rPr>
        <w:t xml:space="preserve"> (10th Cir. 2007), </w:t>
      </w:r>
      <w:r w:rsidR="00277A0E" w:rsidRPr="000E178C">
        <w:rPr>
          <w:rFonts w:cs="Times New Roman"/>
          <w:szCs w:val="24"/>
        </w:rPr>
        <w:t>four months had passed between the protected action and adverse action</w:t>
      </w:r>
      <w:r w:rsidR="00A31A83" w:rsidRPr="000E178C">
        <w:rPr>
          <w:rFonts w:cs="Times New Roman"/>
          <w:szCs w:val="24"/>
        </w:rPr>
        <w:t xml:space="preserve"> </w:t>
      </w:r>
      <w:r w:rsidR="00C41510" w:rsidRPr="000E178C">
        <w:rPr>
          <w:rFonts w:cs="Times New Roman"/>
          <w:szCs w:val="24"/>
        </w:rPr>
        <w:t xml:space="preserve">and plaintiff </w:t>
      </w:r>
      <w:proofErr w:type="gramStart"/>
      <w:r w:rsidR="00C41510" w:rsidRPr="000E178C">
        <w:rPr>
          <w:rFonts w:cs="Times New Roman"/>
          <w:szCs w:val="24"/>
        </w:rPr>
        <w:t>was allowed to</w:t>
      </w:r>
      <w:proofErr w:type="gramEnd"/>
      <w:r w:rsidR="00C41510" w:rsidRPr="000E178C">
        <w:rPr>
          <w:rFonts w:cs="Times New Roman"/>
          <w:szCs w:val="24"/>
        </w:rPr>
        <w:t xml:space="preserve"> present additional evidence to support the causal connection.</w:t>
      </w:r>
      <w:r w:rsidR="00D9664D" w:rsidRPr="000E178C">
        <w:rPr>
          <w:rFonts w:cs="Times New Roman"/>
          <w:szCs w:val="24"/>
        </w:rPr>
        <w:t xml:space="preserve"> </w:t>
      </w:r>
      <w:r w:rsidR="00564B26" w:rsidRPr="000E178C">
        <w:rPr>
          <w:rFonts w:cs="Times New Roman"/>
          <w:szCs w:val="24"/>
        </w:rPr>
        <w:t>In</w:t>
      </w:r>
      <w:r w:rsidR="00564B26" w:rsidRPr="000E178C">
        <w:rPr>
          <w:rFonts w:cs="Times New Roman"/>
          <w:i/>
          <w:szCs w:val="24"/>
        </w:rPr>
        <w:t xml:space="preserve"> O'Neal v. Ferguson Const. Co., </w:t>
      </w:r>
      <w:r w:rsidR="00564B26" w:rsidRPr="000E178C">
        <w:rPr>
          <w:rFonts w:cs="Times New Roman"/>
          <w:szCs w:val="24"/>
        </w:rPr>
        <w:t xml:space="preserve">237 F.3d 1248, </w:t>
      </w:r>
      <w:r w:rsidR="000203AA">
        <w:rPr>
          <w:rFonts w:cs="Times New Roman"/>
          <w:szCs w:val="24"/>
        </w:rPr>
        <w:t>1253</w:t>
      </w:r>
      <w:r w:rsidR="00564B26" w:rsidRPr="000E178C">
        <w:rPr>
          <w:rFonts w:cs="Times New Roman"/>
          <w:szCs w:val="24"/>
        </w:rPr>
        <w:t xml:space="preserve"> (10th Cir. 2001), </w:t>
      </w:r>
      <w:r w:rsidR="0004424A">
        <w:rPr>
          <w:rFonts w:cs="Times New Roman"/>
          <w:szCs w:val="24"/>
        </w:rPr>
        <w:t xml:space="preserve">the court a held that </w:t>
      </w:r>
      <w:r w:rsidR="00B75D32">
        <w:rPr>
          <w:rFonts w:cs="Times New Roman"/>
          <w:szCs w:val="24"/>
        </w:rPr>
        <w:t xml:space="preserve">two months and three weeks </w:t>
      </w:r>
      <w:r w:rsidR="00DF26E7">
        <w:rPr>
          <w:rFonts w:cs="Times New Roman"/>
          <w:szCs w:val="24"/>
        </w:rPr>
        <w:t xml:space="preserve">easily supported a prima facie case with additional evidence that showed the employer’s </w:t>
      </w:r>
      <w:r w:rsidR="003F0327">
        <w:rPr>
          <w:rFonts w:cs="Times New Roman"/>
          <w:szCs w:val="24"/>
        </w:rPr>
        <w:t>reasons for lowering the employee’s hours and terminating were inconsistent.</w:t>
      </w:r>
      <w:r w:rsidR="00DF26E7">
        <w:rPr>
          <w:rFonts w:cs="Times New Roman"/>
          <w:szCs w:val="24"/>
        </w:rPr>
        <w:t xml:space="preserve"> </w:t>
      </w:r>
      <w:r w:rsidR="00C41510" w:rsidRPr="000E178C">
        <w:rPr>
          <w:rFonts w:cs="Times New Roman"/>
          <w:szCs w:val="24"/>
        </w:rPr>
        <w:t>Here</w:t>
      </w:r>
      <w:r w:rsidR="008626A3" w:rsidRPr="000E178C">
        <w:rPr>
          <w:rFonts w:cs="Times New Roman"/>
          <w:szCs w:val="24"/>
        </w:rPr>
        <w:t xml:space="preserve">, </w:t>
      </w:r>
      <w:r w:rsidR="00C32C3B">
        <w:rPr>
          <w:rFonts w:cs="Times New Roman"/>
          <w:szCs w:val="24"/>
        </w:rPr>
        <w:t xml:space="preserve">just two more days passed between the protected activity and </w:t>
      </w:r>
      <w:r w:rsidR="000203AA">
        <w:rPr>
          <w:rFonts w:cs="Times New Roman"/>
          <w:szCs w:val="24"/>
        </w:rPr>
        <w:t xml:space="preserve">the negative reference than in </w:t>
      </w:r>
      <w:r w:rsidR="000203AA">
        <w:rPr>
          <w:rFonts w:cs="Times New Roman"/>
          <w:i/>
          <w:szCs w:val="24"/>
        </w:rPr>
        <w:t>O’Neal</w:t>
      </w:r>
      <w:r w:rsidR="000203AA">
        <w:rPr>
          <w:rFonts w:cs="Times New Roman"/>
          <w:szCs w:val="24"/>
        </w:rPr>
        <w:t>:</w:t>
      </w:r>
      <w:r w:rsidR="00C32C3B">
        <w:rPr>
          <w:rFonts w:cs="Times New Roman"/>
          <w:szCs w:val="24"/>
        </w:rPr>
        <w:t xml:space="preserve"> </w:t>
      </w:r>
      <w:r w:rsidR="00593689" w:rsidRPr="000E178C">
        <w:rPr>
          <w:rFonts w:cs="Times New Roman"/>
          <w:szCs w:val="24"/>
        </w:rPr>
        <w:t>eleven weeks and two days</w:t>
      </w:r>
      <w:r w:rsidR="000203AA">
        <w:rPr>
          <w:rFonts w:cs="Times New Roman"/>
          <w:szCs w:val="24"/>
        </w:rPr>
        <w:t xml:space="preserve">. </w:t>
      </w:r>
      <w:r w:rsidR="000203AA" w:rsidRPr="000E178C">
        <w:rPr>
          <w:rFonts w:cs="Times New Roman"/>
          <w:szCs w:val="24"/>
        </w:rPr>
        <w:t xml:space="preserve">237 F.3d </w:t>
      </w:r>
      <w:r w:rsidR="000203AA">
        <w:rPr>
          <w:rFonts w:cs="Times New Roman"/>
          <w:szCs w:val="24"/>
        </w:rPr>
        <w:t>at 1253.</w:t>
      </w:r>
      <w:r w:rsidR="00CB4742">
        <w:rPr>
          <w:rFonts w:cs="Times New Roman"/>
          <w:szCs w:val="24"/>
        </w:rPr>
        <w:t xml:space="preserve"> </w:t>
      </w:r>
      <w:r w:rsidR="000203AA">
        <w:rPr>
          <w:rFonts w:cs="Times New Roman"/>
          <w:szCs w:val="24"/>
        </w:rPr>
        <w:t xml:space="preserve"> </w:t>
      </w:r>
      <w:r w:rsidR="00CB4742">
        <w:rPr>
          <w:rFonts w:cs="Times New Roman"/>
          <w:szCs w:val="24"/>
        </w:rPr>
        <w:t xml:space="preserve">In </w:t>
      </w:r>
      <w:proofErr w:type="spellStart"/>
      <w:r w:rsidR="00CB4742" w:rsidRPr="0027032A">
        <w:rPr>
          <w:rFonts w:cs="Times New Roman"/>
          <w:i/>
          <w:szCs w:val="24"/>
        </w:rPr>
        <w:t>Preeson</w:t>
      </w:r>
      <w:proofErr w:type="spellEnd"/>
      <w:r w:rsidR="00CB4742" w:rsidRPr="0027032A">
        <w:rPr>
          <w:rFonts w:cs="Times New Roman"/>
          <w:i/>
          <w:szCs w:val="24"/>
        </w:rPr>
        <w:t xml:space="preserve"> v. Parkview Med. Ctr., Inc.</w:t>
      </w:r>
      <w:r w:rsidR="00CB4742" w:rsidRPr="0027032A">
        <w:rPr>
          <w:rFonts w:cs="Times New Roman"/>
          <w:szCs w:val="24"/>
        </w:rPr>
        <w:t>, No. 15-CV-02263-MSK-KMT, 2017 WL 1197298, at *1 (D. Colo. Mar. 30, 2017)</w:t>
      </w:r>
      <w:r w:rsidR="00CB4742">
        <w:rPr>
          <w:rFonts w:cs="Times New Roman"/>
          <w:szCs w:val="24"/>
        </w:rPr>
        <w:t xml:space="preserve">, the </w:t>
      </w:r>
      <w:r w:rsidR="00890FD1">
        <w:rPr>
          <w:rFonts w:cs="Times New Roman"/>
          <w:szCs w:val="24"/>
        </w:rPr>
        <w:t>plaintiff</w:t>
      </w:r>
      <w:r w:rsidR="00CB4742">
        <w:rPr>
          <w:rFonts w:cs="Times New Roman"/>
          <w:szCs w:val="24"/>
        </w:rPr>
        <w:t xml:space="preserve"> was warned that </w:t>
      </w:r>
      <w:r w:rsidR="007D64AB">
        <w:rPr>
          <w:rFonts w:cs="Times New Roman"/>
          <w:szCs w:val="24"/>
        </w:rPr>
        <w:t>if her cancer related work absences could not be justified, she would be terminated. Here,</w:t>
      </w:r>
      <w:r w:rsidR="00AE685D">
        <w:rPr>
          <w:rFonts w:cs="Times New Roman"/>
          <w:szCs w:val="24"/>
        </w:rPr>
        <w:t xml:space="preserve"> </w:t>
      </w:r>
      <w:r w:rsidR="00260DA4">
        <w:rPr>
          <w:rFonts w:cs="Times New Roman"/>
          <w:szCs w:val="24"/>
        </w:rPr>
        <w:t xml:space="preserve">SSS </w:t>
      </w:r>
      <w:r w:rsidR="000166C1">
        <w:rPr>
          <w:rFonts w:cs="Times New Roman"/>
          <w:szCs w:val="24"/>
        </w:rPr>
        <w:t>terminated Mr. Hernandez without</w:t>
      </w:r>
      <w:r w:rsidR="00A63ED2">
        <w:rPr>
          <w:rFonts w:cs="Times New Roman"/>
          <w:szCs w:val="24"/>
        </w:rPr>
        <w:t xml:space="preserve"> formal </w:t>
      </w:r>
      <w:r w:rsidR="004C08EC">
        <w:rPr>
          <w:rFonts w:cs="Times New Roman"/>
          <w:szCs w:val="24"/>
        </w:rPr>
        <w:t>disciplinary</w:t>
      </w:r>
      <w:r w:rsidR="00A63ED2">
        <w:rPr>
          <w:rFonts w:cs="Times New Roman"/>
          <w:szCs w:val="24"/>
        </w:rPr>
        <w:t xml:space="preserve"> action, and </w:t>
      </w:r>
      <w:r w:rsidR="000166C1">
        <w:rPr>
          <w:rFonts w:cs="Times New Roman"/>
          <w:szCs w:val="24"/>
        </w:rPr>
        <w:t>without</w:t>
      </w:r>
      <w:r w:rsidR="00A63ED2">
        <w:rPr>
          <w:rFonts w:cs="Times New Roman"/>
          <w:szCs w:val="24"/>
        </w:rPr>
        <w:t xml:space="preserve"> </w:t>
      </w:r>
      <w:r w:rsidR="004C08EC">
        <w:rPr>
          <w:rFonts w:cs="Times New Roman"/>
          <w:szCs w:val="24"/>
        </w:rPr>
        <w:t>warning</w:t>
      </w:r>
      <w:r w:rsidR="007E7937">
        <w:rPr>
          <w:rFonts w:cs="Times New Roman"/>
          <w:szCs w:val="24"/>
        </w:rPr>
        <w:t xml:space="preserve"> because their reasons for terminating </w:t>
      </w:r>
      <w:r w:rsidR="005F45A5">
        <w:rPr>
          <w:rFonts w:cs="Times New Roman"/>
          <w:szCs w:val="24"/>
        </w:rPr>
        <w:t xml:space="preserve">his employment were retaliatory. </w:t>
      </w:r>
      <w:r w:rsidR="006B585C">
        <w:rPr>
          <w:rFonts w:cs="Times New Roman"/>
          <w:szCs w:val="24"/>
        </w:rPr>
        <w:t>Moreover</w:t>
      </w:r>
      <w:r w:rsidR="006079DA">
        <w:rPr>
          <w:rFonts w:cs="Times New Roman"/>
          <w:szCs w:val="24"/>
        </w:rPr>
        <w:t>,</w:t>
      </w:r>
      <w:r w:rsidR="006125D9">
        <w:rPr>
          <w:rFonts w:cs="Times New Roman"/>
          <w:szCs w:val="24"/>
        </w:rPr>
        <w:t xml:space="preserve"> </w:t>
      </w:r>
      <w:r w:rsidR="00F14CB8">
        <w:rPr>
          <w:rFonts w:cs="Times New Roman"/>
          <w:szCs w:val="24"/>
        </w:rPr>
        <w:t>i</w:t>
      </w:r>
      <w:r w:rsidR="00D2585B">
        <w:rPr>
          <w:rFonts w:cs="Times New Roman"/>
          <w:szCs w:val="24"/>
        </w:rPr>
        <w:t xml:space="preserve">n </w:t>
      </w:r>
      <w:proofErr w:type="spellStart"/>
      <w:r w:rsidR="006125D9">
        <w:rPr>
          <w:rFonts w:cs="Times New Roman"/>
          <w:i/>
          <w:szCs w:val="24"/>
        </w:rPr>
        <w:t>Preeson</w:t>
      </w:r>
      <w:proofErr w:type="spellEnd"/>
      <w:r w:rsidR="006125D9">
        <w:rPr>
          <w:rFonts w:cs="Times New Roman"/>
          <w:szCs w:val="24"/>
        </w:rPr>
        <w:t xml:space="preserve">, where </w:t>
      </w:r>
      <w:r w:rsidR="00C73093">
        <w:rPr>
          <w:rFonts w:cs="Times New Roman"/>
          <w:szCs w:val="24"/>
        </w:rPr>
        <w:t xml:space="preserve">the plaintiff </w:t>
      </w:r>
      <w:r w:rsidR="00D37B3B">
        <w:rPr>
          <w:rFonts w:cs="Times New Roman"/>
          <w:szCs w:val="24"/>
        </w:rPr>
        <w:t xml:space="preserve">presented evidence that her supervisor allowed other employees to leave </w:t>
      </w:r>
      <w:r w:rsidR="008B3CBF">
        <w:rPr>
          <w:rFonts w:cs="Times New Roman"/>
          <w:szCs w:val="24"/>
        </w:rPr>
        <w:t xml:space="preserve">work </w:t>
      </w:r>
      <w:r w:rsidR="00D37B3B">
        <w:rPr>
          <w:rFonts w:cs="Times New Roman"/>
          <w:szCs w:val="24"/>
        </w:rPr>
        <w:t xml:space="preserve">during their shifts, but </w:t>
      </w:r>
      <w:r w:rsidR="008B3CBF">
        <w:rPr>
          <w:rFonts w:cs="Times New Roman"/>
          <w:szCs w:val="24"/>
        </w:rPr>
        <w:t>disciplined</w:t>
      </w:r>
      <w:r w:rsidR="00D37B3B">
        <w:rPr>
          <w:rFonts w:cs="Times New Roman"/>
          <w:szCs w:val="24"/>
        </w:rPr>
        <w:t xml:space="preserve"> the plaintiff</w:t>
      </w:r>
      <w:r w:rsidR="008B3CBF">
        <w:rPr>
          <w:rFonts w:cs="Times New Roman"/>
          <w:szCs w:val="24"/>
        </w:rPr>
        <w:t xml:space="preserve"> for doing the same</w:t>
      </w:r>
      <w:r w:rsidR="00D2585B">
        <w:rPr>
          <w:rFonts w:cs="Times New Roman"/>
          <w:szCs w:val="24"/>
        </w:rPr>
        <w:t xml:space="preserve">, </w:t>
      </w:r>
      <w:r w:rsidR="00700367">
        <w:rPr>
          <w:rFonts w:cs="Times New Roman"/>
          <w:szCs w:val="24"/>
        </w:rPr>
        <w:t xml:space="preserve">the court upheld this was enough to show evidence of </w:t>
      </w:r>
      <w:r w:rsidR="00F14CB8">
        <w:rPr>
          <w:rFonts w:cs="Times New Roman"/>
          <w:szCs w:val="24"/>
        </w:rPr>
        <w:t xml:space="preserve">pretext. </w:t>
      </w:r>
      <w:r w:rsidR="00F14CB8" w:rsidRPr="0027032A">
        <w:rPr>
          <w:rFonts w:cs="Times New Roman"/>
          <w:szCs w:val="24"/>
        </w:rPr>
        <w:t>2017 WL 1197298, at *1</w:t>
      </w:r>
      <w:r w:rsidR="0037661C">
        <w:rPr>
          <w:rFonts w:cs="Times New Roman"/>
          <w:szCs w:val="24"/>
        </w:rPr>
        <w:t xml:space="preserve">0. </w:t>
      </w:r>
      <w:r w:rsidR="00F14CB8">
        <w:rPr>
          <w:rFonts w:cs="Times New Roman"/>
          <w:szCs w:val="24"/>
        </w:rPr>
        <w:t xml:space="preserve">Here, </w:t>
      </w:r>
      <w:r w:rsidR="001C0D4D">
        <w:rPr>
          <w:rFonts w:cs="Times New Roman"/>
          <w:szCs w:val="24"/>
        </w:rPr>
        <w:t xml:space="preserve">like in </w:t>
      </w:r>
      <w:proofErr w:type="spellStart"/>
      <w:r w:rsidR="001C0D4D">
        <w:rPr>
          <w:rFonts w:cs="Times New Roman"/>
          <w:i/>
          <w:szCs w:val="24"/>
        </w:rPr>
        <w:t>Preeson</w:t>
      </w:r>
      <w:proofErr w:type="spellEnd"/>
      <w:r w:rsidR="001C0D4D">
        <w:rPr>
          <w:rFonts w:cs="Times New Roman"/>
          <w:szCs w:val="24"/>
        </w:rPr>
        <w:t>,</w:t>
      </w:r>
      <w:r w:rsidR="001C0D4D">
        <w:rPr>
          <w:rFonts w:cs="Times New Roman"/>
          <w:i/>
          <w:szCs w:val="24"/>
        </w:rPr>
        <w:t xml:space="preserve"> </w:t>
      </w:r>
      <w:r w:rsidR="001C0D4D">
        <w:rPr>
          <w:rFonts w:cs="Times New Roman"/>
          <w:szCs w:val="24"/>
        </w:rPr>
        <w:t>SSS did not consistently apply policy when it</w:t>
      </w:r>
      <w:r w:rsidR="00F14CB8">
        <w:rPr>
          <w:rFonts w:cs="Times New Roman"/>
          <w:szCs w:val="24"/>
        </w:rPr>
        <w:t xml:space="preserve"> did not allow Mr. Hernandez a modified work schedule, an accommodation less burdensome than leave, however Mr. Hernandez noticed that others seemed to be able to take medical and family leave when required</w:t>
      </w:r>
      <w:r w:rsidR="0037661C">
        <w:rPr>
          <w:rFonts w:cs="Times New Roman"/>
          <w:szCs w:val="24"/>
        </w:rPr>
        <w:t xml:space="preserve">, supporting </w:t>
      </w:r>
      <w:r w:rsidR="005103C5">
        <w:rPr>
          <w:rFonts w:cs="Times New Roman"/>
          <w:szCs w:val="24"/>
        </w:rPr>
        <w:t>the causal connection between Mr. Hernandez</w:t>
      </w:r>
      <w:r w:rsidR="001C0D4D">
        <w:rPr>
          <w:rFonts w:cs="Times New Roman"/>
          <w:szCs w:val="24"/>
        </w:rPr>
        <w:t>’s</w:t>
      </w:r>
      <w:r w:rsidR="005103C5">
        <w:rPr>
          <w:rFonts w:cs="Times New Roman"/>
          <w:szCs w:val="24"/>
        </w:rPr>
        <w:t xml:space="preserve"> EEOC filing and negative reference</w:t>
      </w:r>
      <w:r w:rsidR="00F14CB8">
        <w:rPr>
          <w:rFonts w:cs="Times New Roman"/>
          <w:szCs w:val="24"/>
        </w:rPr>
        <w:t>. R. at 11</w:t>
      </w:r>
    </w:p>
    <w:p w14:paraId="7CD5699D" w14:textId="0554EED2" w:rsidR="00157746" w:rsidRPr="000E178C" w:rsidRDefault="00917E00" w:rsidP="00EB377E">
      <w:pPr>
        <w:pStyle w:val="Heading3"/>
        <w:numPr>
          <w:ilvl w:val="0"/>
          <w:numId w:val="9"/>
        </w:numPr>
        <w:spacing w:line="240" w:lineRule="auto"/>
        <w:ind w:left="1440" w:hanging="720"/>
        <w:rPr>
          <w:rFonts w:cs="Times New Roman"/>
        </w:rPr>
      </w:pPr>
      <w:bookmarkStart w:id="12" w:name="_Toc509470359"/>
      <w:r w:rsidRPr="000E178C">
        <w:rPr>
          <w:rFonts w:cs="Times New Roman"/>
        </w:rPr>
        <w:t xml:space="preserve">SSS’s </w:t>
      </w:r>
      <w:r w:rsidR="00105545">
        <w:rPr>
          <w:rFonts w:cs="Times New Roman"/>
        </w:rPr>
        <w:t xml:space="preserve">Presented </w:t>
      </w:r>
      <w:r w:rsidRPr="000E178C">
        <w:rPr>
          <w:rFonts w:cs="Times New Roman"/>
        </w:rPr>
        <w:t xml:space="preserve">Reasons for </w:t>
      </w:r>
      <w:r w:rsidR="00CD5FA6" w:rsidRPr="000E178C">
        <w:rPr>
          <w:rFonts w:cs="Times New Roman"/>
        </w:rPr>
        <w:t xml:space="preserve">Termination and the Negative Reference are Pretext Because </w:t>
      </w:r>
      <w:r w:rsidR="00417B46" w:rsidRPr="000E178C">
        <w:rPr>
          <w:rFonts w:cs="Times New Roman"/>
        </w:rPr>
        <w:t xml:space="preserve">They are Inconsistent and Do Not Suggest SSS Followed Policy, </w:t>
      </w:r>
      <w:r w:rsidR="00270D3B">
        <w:rPr>
          <w:rFonts w:cs="Times New Roman"/>
        </w:rPr>
        <w:t>Which</w:t>
      </w:r>
      <w:r w:rsidR="00417B46" w:rsidRPr="000E178C">
        <w:rPr>
          <w:rFonts w:cs="Times New Roman"/>
        </w:rPr>
        <w:t xml:space="preserve"> Strengthen</w:t>
      </w:r>
      <w:r w:rsidR="00270D3B">
        <w:rPr>
          <w:rFonts w:cs="Times New Roman"/>
        </w:rPr>
        <w:t>s</w:t>
      </w:r>
      <w:r w:rsidR="00417B46" w:rsidRPr="000E178C">
        <w:rPr>
          <w:rFonts w:cs="Times New Roman"/>
        </w:rPr>
        <w:t xml:space="preserve"> the Causal Connection Between the Protected Activity and Adverse Action.</w:t>
      </w:r>
      <w:bookmarkEnd w:id="12"/>
      <w:r w:rsidR="00EB377E" w:rsidRPr="000E178C">
        <w:rPr>
          <w:rFonts w:cs="Times New Roman"/>
        </w:rPr>
        <w:br/>
      </w:r>
    </w:p>
    <w:p w14:paraId="6A829DCF" w14:textId="2858003C" w:rsidR="008077C6" w:rsidRPr="000E178C" w:rsidRDefault="00813B79" w:rsidP="000E6093">
      <w:pPr>
        <w:rPr>
          <w:rFonts w:cs="Times New Roman"/>
          <w:i/>
          <w:szCs w:val="24"/>
        </w:rPr>
      </w:pPr>
      <w:commentRangeStart w:id="13"/>
      <w:r w:rsidRPr="000E178C">
        <w:rPr>
          <w:rFonts w:cs="Times New Roman"/>
          <w:szCs w:val="24"/>
        </w:rPr>
        <w:t xml:space="preserve">Pretext </w:t>
      </w:r>
      <w:r w:rsidR="00921B3B" w:rsidRPr="000E178C">
        <w:rPr>
          <w:rFonts w:cs="Times New Roman"/>
          <w:szCs w:val="24"/>
        </w:rPr>
        <w:t xml:space="preserve">is established by evidence showing </w:t>
      </w:r>
      <w:r w:rsidR="00627F16" w:rsidRPr="000E178C">
        <w:rPr>
          <w:rFonts w:cs="Times New Roman"/>
          <w:szCs w:val="24"/>
        </w:rPr>
        <w:t xml:space="preserve">weaknesses, </w:t>
      </w:r>
      <w:proofErr w:type="spellStart"/>
      <w:r w:rsidR="00627F16" w:rsidRPr="000E178C">
        <w:rPr>
          <w:rFonts w:cs="Times New Roman"/>
          <w:szCs w:val="24"/>
        </w:rPr>
        <w:t>implausibilities</w:t>
      </w:r>
      <w:proofErr w:type="spellEnd"/>
      <w:r w:rsidR="00627F16" w:rsidRPr="000E178C">
        <w:rPr>
          <w:rFonts w:cs="Times New Roman"/>
          <w:szCs w:val="24"/>
        </w:rPr>
        <w:t>, inconsistencies,</w:t>
      </w:r>
      <w:r w:rsidR="00C316DC" w:rsidRPr="000E178C">
        <w:rPr>
          <w:rFonts w:cs="Times New Roman"/>
          <w:szCs w:val="24"/>
        </w:rPr>
        <w:t xml:space="preserve"> or </w:t>
      </w:r>
      <w:r w:rsidR="00AA4D69" w:rsidRPr="000E178C">
        <w:rPr>
          <w:rFonts w:cs="Times New Roman"/>
          <w:szCs w:val="24"/>
        </w:rPr>
        <w:t>contradictions</w:t>
      </w:r>
      <w:r w:rsidR="00627F16" w:rsidRPr="000E178C">
        <w:rPr>
          <w:rFonts w:cs="Times New Roman"/>
          <w:szCs w:val="24"/>
        </w:rPr>
        <w:t xml:space="preserve"> in the employer's </w:t>
      </w:r>
      <w:r w:rsidR="00AA4D69" w:rsidRPr="000E178C">
        <w:rPr>
          <w:rFonts w:cs="Times New Roman"/>
          <w:szCs w:val="24"/>
        </w:rPr>
        <w:t>explanation</w:t>
      </w:r>
      <w:r w:rsidR="00627F16" w:rsidRPr="000E178C">
        <w:rPr>
          <w:rFonts w:cs="Times New Roman"/>
          <w:szCs w:val="24"/>
        </w:rPr>
        <w:t xml:space="preserve"> for its action that </w:t>
      </w:r>
      <w:r w:rsidR="008B5413" w:rsidRPr="000E178C">
        <w:rPr>
          <w:rFonts w:cs="Times New Roman"/>
          <w:szCs w:val="24"/>
        </w:rPr>
        <w:t xml:space="preserve">a reasonable factfinder could </w:t>
      </w:r>
      <w:r w:rsidR="00627F16" w:rsidRPr="000E178C">
        <w:rPr>
          <w:rFonts w:cs="Times New Roman"/>
          <w:szCs w:val="24"/>
        </w:rPr>
        <w:t>infer that the employer did not act for the asserted non-discriminatory reasons.</w:t>
      </w:r>
      <w:r w:rsidR="001575FF" w:rsidRPr="000E178C">
        <w:rPr>
          <w:rFonts w:cs="Times New Roman"/>
          <w:szCs w:val="24"/>
        </w:rPr>
        <w:t xml:space="preserve"> </w:t>
      </w:r>
      <w:commentRangeEnd w:id="13"/>
      <w:r w:rsidR="00DA6E8D">
        <w:rPr>
          <w:rStyle w:val="CommentReference"/>
        </w:rPr>
        <w:commentReference w:id="13"/>
      </w:r>
      <w:r w:rsidR="00633C58" w:rsidRPr="000E178C">
        <w:rPr>
          <w:rFonts w:cs="Times New Roman"/>
          <w:i/>
          <w:szCs w:val="24"/>
        </w:rPr>
        <w:t>Morgan</w:t>
      </w:r>
      <w:r w:rsidR="00633C58" w:rsidRPr="000E178C">
        <w:rPr>
          <w:rFonts w:cs="Times New Roman"/>
          <w:szCs w:val="24"/>
        </w:rPr>
        <w:t>, 108 F.3d at 1323</w:t>
      </w:r>
      <w:r w:rsidR="009135CA">
        <w:rPr>
          <w:rFonts w:cs="Times New Roman"/>
          <w:szCs w:val="24"/>
        </w:rPr>
        <w:t xml:space="preserve"> (</w:t>
      </w:r>
      <w:r w:rsidR="009135CA" w:rsidRPr="000E178C">
        <w:rPr>
          <w:rFonts w:cs="Times New Roman"/>
          <w:szCs w:val="24"/>
        </w:rPr>
        <w:t>showing that plaintiff was not able to raise an inference of pretext because her employer had issued warnings about the consequences of poor attendance both before and after plaintiff filed the charge of discrimination)</w:t>
      </w:r>
      <w:r w:rsidR="009135CA">
        <w:rPr>
          <w:rFonts w:cs="Times New Roman"/>
          <w:szCs w:val="24"/>
        </w:rPr>
        <w:t>.</w:t>
      </w:r>
      <w:r w:rsidR="00E64729" w:rsidRPr="00E64729">
        <w:rPr>
          <w:rFonts w:cs="Times New Roman"/>
          <w:szCs w:val="24"/>
        </w:rPr>
        <w:t xml:space="preserve"> </w:t>
      </w:r>
      <w:r w:rsidR="00E64729" w:rsidRPr="000E178C">
        <w:rPr>
          <w:rFonts w:cs="Times New Roman"/>
          <w:szCs w:val="24"/>
        </w:rPr>
        <w:t xml:space="preserve">Evidence proffered to strengthen causal connection over longer periods may also be used to establish that the defendant’s reasons for adverse action are pretext. </w:t>
      </w:r>
      <w:r w:rsidR="00E64729" w:rsidRPr="000E178C">
        <w:rPr>
          <w:rFonts w:cs="Times New Roman"/>
          <w:i/>
          <w:szCs w:val="24"/>
        </w:rPr>
        <w:t>See Proctor</w:t>
      </w:r>
      <w:r w:rsidR="00E64729" w:rsidRPr="000E178C">
        <w:rPr>
          <w:rFonts w:cs="Times New Roman"/>
          <w:szCs w:val="24"/>
        </w:rPr>
        <w:t>, 502 F.3d at 1209</w:t>
      </w:r>
      <w:r w:rsidR="00E64729" w:rsidRPr="000E178C">
        <w:rPr>
          <w:rFonts w:cs="Times New Roman"/>
          <w:szCs w:val="24"/>
        </w:rPr>
        <w:fldChar w:fldCharType="begin"/>
      </w:r>
      <w:r w:rsidR="00E64729" w:rsidRPr="000E178C">
        <w:rPr>
          <w:rFonts w:cs="Times New Roman"/>
          <w:szCs w:val="24"/>
        </w:rPr>
        <w:instrText xml:space="preserve"> TA \s "Proctor v. United Parcel Serv., 502 F.3d 1200, 1208 (10th Cir. 2007)" </w:instrText>
      </w:r>
      <w:r w:rsidR="00E64729" w:rsidRPr="000E178C">
        <w:rPr>
          <w:rFonts w:cs="Times New Roman"/>
          <w:szCs w:val="24"/>
        </w:rPr>
        <w:fldChar w:fldCharType="end"/>
      </w:r>
      <w:r w:rsidR="00E64729" w:rsidRPr="000E178C">
        <w:rPr>
          <w:rFonts w:cs="Times New Roman"/>
          <w:szCs w:val="24"/>
        </w:rPr>
        <w:t>;</w:t>
      </w:r>
      <w:r w:rsidR="00E64729" w:rsidRPr="000E178C">
        <w:rPr>
          <w:rFonts w:cs="Times New Roman"/>
          <w:i/>
          <w:szCs w:val="24"/>
        </w:rPr>
        <w:t xml:space="preserve"> Wells v. Colo. Dep't of Transp.</w:t>
      </w:r>
      <w:r w:rsidR="00E64729" w:rsidRPr="000E178C">
        <w:rPr>
          <w:rFonts w:cs="Times New Roman"/>
          <w:szCs w:val="24"/>
        </w:rPr>
        <w:t>, 325 F.3d 1205, 1218 (10th Cir.2003)</w:t>
      </w:r>
      <w:r w:rsidR="00E64729">
        <w:rPr>
          <w:rFonts w:cs="Times New Roman"/>
          <w:szCs w:val="24"/>
        </w:rPr>
        <w:t xml:space="preserve">. </w:t>
      </w:r>
      <w:r w:rsidR="00813353">
        <w:rPr>
          <w:rFonts w:cs="Times New Roman"/>
          <w:szCs w:val="24"/>
        </w:rPr>
        <w:t>To determine pretext</w:t>
      </w:r>
      <w:r w:rsidR="00E64729">
        <w:rPr>
          <w:rFonts w:cs="Times New Roman"/>
          <w:szCs w:val="24"/>
        </w:rPr>
        <w:t>,</w:t>
      </w:r>
      <w:r w:rsidR="00813353">
        <w:rPr>
          <w:rFonts w:cs="Times New Roman"/>
          <w:szCs w:val="24"/>
        </w:rPr>
        <w:t xml:space="preserve"> the facts are examined as they appear to employer, not the plaintiff’s subjective evaluation of the situation. </w:t>
      </w:r>
      <w:r w:rsidR="00813353">
        <w:rPr>
          <w:rFonts w:cs="Times New Roman"/>
          <w:i/>
          <w:szCs w:val="24"/>
        </w:rPr>
        <w:t>E.E.O.C.</w:t>
      </w:r>
      <w:r w:rsidR="00813353">
        <w:rPr>
          <w:rFonts w:cs="Times New Roman"/>
          <w:szCs w:val="24"/>
        </w:rPr>
        <w:t xml:space="preserve">, </w:t>
      </w:r>
      <w:r w:rsidR="000550DB">
        <w:rPr>
          <w:rFonts w:cs="Times New Roman"/>
          <w:szCs w:val="24"/>
        </w:rPr>
        <w:t xml:space="preserve">644 F.3d at 1044. </w:t>
      </w:r>
      <w:r w:rsidR="005B5916" w:rsidRPr="00813353">
        <w:rPr>
          <w:rFonts w:cs="Times New Roman"/>
          <w:szCs w:val="24"/>
        </w:rPr>
        <w:t>The</w:t>
      </w:r>
      <w:r w:rsidR="005B5916" w:rsidRPr="000E178C">
        <w:rPr>
          <w:rFonts w:cs="Times New Roman"/>
          <w:szCs w:val="24"/>
        </w:rPr>
        <w:t xml:space="preserve"> inquiry is not whether the employer’s reasons were fair or correct, but whether </w:t>
      </w:r>
      <w:r w:rsidR="005F7CDA" w:rsidRPr="000E178C">
        <w:rPr>
          <w:rFonts w:cs="Times New Roman"/>
          <w:szCs w:val="24"/>
        </w:rPr>
        <w:t>the employer believed those reasons and acted in good faith</w:t>
      </w:r>
      <w:r w:rsidR="007041F9" w:rsidRPr="000E178C">
        <w:rPr>
          <w:rFonts w:cs="Times New Roman"/>
          <w:szCs w:val="24"/>
        </w:rPr>
        <w:t>.</w:t>
      </w:r>
      <w:r w:rsidR="007041F9" w:rsidRPr="000E178C">
        <w:rPr>
          <w:rFonts w:cs="Times New Roman"/>
          <w:i/>
          <w:szCs w:val="24"/>
        </w:rPr>
        <w:t xml:space="preserve"> Proctor</w:t>
      </w:r>
      <w:r w:rsidR="007041F9" w:rsidRPr="000E178C">
        <w:rPr>
          <w:rFonts w:cs="Times New Roman"/>
          <w:szCs w:val="24"/>
        </w:rPr>
        <w:t xml:space="preserve">, 502 F.3d at </w:t>
      </w:r>
      <w:r w:rsidR="005F7CDA" w:rsidRPr="000E178C">
        <w:rPr>
          <w:rFonts w:cs="Times New Roman"/>
          <w:szCs w:val="24"/>
        </w:rPr>
        <w:t>1211.</w:t>
      </w:r>
      <w:r w:rsidR="00DB46AA" w:rsidRPr="000E178C">
        <w:rPr>
          <w:rFonts w:cs="Times New Roman"/>
          <w:szCs w:val="24"/>
        </w:rPr>
        <w:fldChar w:fldCharType="begin"/>
      </w:r>
      <w:r w:rsidR="00DB46AA" w:rsidRPr="000E178C">
        <w:rPr>
          <w:rFonts w:cs="Times New Roman"/>
          <w:szCs w:val="24"/>
        </w:rPr>
        <w:instrText xml:space="preserve"> TA \s "Proctor v. United Parcel Serv., 502 F.3d 1200, 1208 (10th Cir. 2007)" </w:instrText>
      </w:r>
      <w:r w:rsidR="00DB46AA" w:rsidRPr="000E178C">
        <w:rPr>
          <w:rFonts w:cs="Times New Roman"/>
          <w:szCs w:val="24"/>
        </w:rPr>
        <w:fldChar w:fldCharType="end"/>
      </w:r>
      <w:r w:rsidR="00AE6D09" w:rsidRPr="000E178C">
        <w:rPr>
          <w:rFonts w:cs="Times New Roman"/>
          <w:szCs w:val="24"/>
        </w:rPr>
        <w:t xml:space="preserve"> </w:t>
      </w:r>
    </w:p>
    <w:p w14:paraId="6DDF200F" w14:textId="34562897" w:rsidR="0067582C" w:rsidRPr="000E178C" w:rsidRDefault="001075D4" w:rsidP="0067582C">
      <w:pPr>
        <w:rPr>
          <w:rFonts w:cs="Times New Roman"/>
          <w:color w:val="000000"/>
          <w:szCs w:val="24"/>
        </w:rPr>
      </w:pPr>
      <w:r w:rsidRPr="000E178C">
        <w:rPr>
          <w:rFonts w:cs="Times New Roman"/>
          <w:szCs w:val="24"/>
        </w:rPr>
        <w:lastRenderedPageBreak/>
        <w:t xml:space="preserve">SSS </w:t>
      </w:r>
      <w:r w:rsidR="00E470BF" w:rsidRPr="000E178C">
        <w:rPr>
          <w:rFonts w:cs="Times New Roman"/>
          <w:szCs w:val="24"/>
        </w:rPr>
        <w:t>alleges it</w:t>
      </w:r>
      <w:r w:rsidRPr="000E178C">
        <w:rPr>
          <w:rFonts w:cs="Times New Roman"/>
          <w:szCs w:val="24"/>
        </w:rPr>
        <w:t xml:space="preserve"> terminat</w:t>
      </w:r>
      <w:r w:rsidR="00E470BF" w:rsidRPr="000E178C">
        <w:rPr>
          <w:rFonts w:cs="Times New Roman"/>
          <w:szCs w:val="24"/>
        </w:rPr>
        <w:t>ed</w:t>
      </w:r>
      <w:r w:rsidRPr="000E178C">
        <w:rPr>
          <w:rFonts w:cs="Times New Roman"/>
          <w:szCs w:val="24"/>
        </w:rPr>
        <w:t xml:space="preserve"> Mr. Hernandez </w:t>
      </w:r>
      <w:r w:rsidR="00E470BF" w:rsidRPr="000E178C">
        <w:rPr>
          <w:rFonts w:cs="Times New Roman"/>
          <w:szCs w:val="24"/>
        </w:rPr>
        <w:t>because of</w:t>
      </w:r>
      <w:r w:rsidRPr="000E178C">
        <w:rPr>
          <w:rFonts w:cs="Times New Roman"/>
          <w:szCs w:val="24"/>
        </w:rPr>
        <w:t xml:space="preserve"> </w:t>
      </w:r>
      <w:r w:rsidR="002A37B6" w:rsidRPr="000E178C">
        <w:rPr>
          <w:rFonts w:cs="Times New Roman"/>
          <w:szCs w:val="24"/>
        </w:rPr>
        <w:t xml:space="preserve">missed work, </w:t>
      </w:r>
      <w:r w:rsidRPr="000E178C">
        <w:rPr>
          <w:rFonts w:cs="Times New Roman"/>
          <w:szCs w:val="24"/>
        </w:rPr>
        <w:t xml:space="preserve">poor team relationships, </w:t>
      </w:r>
      <w:r w:rsidR="002A37B6" w:rsidRPr="000E178C">
        <w:rPr>
          <w:rFonts w:cs="Times New Roman"/>
          <w:szCs w:val="24"/>
        </w:rPr>
        <w:t>missed deadlines</w:t>
      </w:r>
      <w:r w:rsidR="00BD05E2" w:rsidRPr="000E178C">
        <w:rPr>
          <w:rFonts w:cs="Times New Roman"/>
          <w:szCs w:val="24"/>
        </w:rPr>
        <w:t>, however, these reasons are pretextual</w:t>
      </w:r>
      <w:r w:rsidR="002A37B6" w:rsidRPr="000E178C">
        <w:rPr>
          <w:rFonts w:cs="Times New Roman"/>
          <w:szCs w:val="24"/>
        </w:rPr>
        <w:t>. R. at 7</w:t>
      </w:r>
      <w:r w:rsidR="00546383" w:rsidRPr="000E178C">
        <w:rPr>
          <w:rFonts w:cs="Times New Roman"/>
          <w:szCs w:val="24"/>
        </w:rPr>
        <w:t>.</w:t>
      </w:r>
      <w:r w:rsidR="006C227C" w:rsidRPr="000E178C">
        <w:rPr>
          <w:rFonts w:cs="Times New Roman"/>
          <w:szCs w:val="24"/>
        </w:rPr>
        <w:t xml:space="preserve"> </w:t>
      </w:r>
      <w:r w:rsidR="00EA5713" w:rsidRPr="000E178C">
        <w:rPr>
          <w:rFonts w:cs="Times New Roman"/>
          <w:szCs w:val="24"/>
        </w:rPr>
        <w:t xml:space="preserve">In </w:t>
      </w:r>
      <w:r w:rsidR="00EA5713" w:rsidRPr="000E178C">
        <w:rPr>
          <w:rFonts w:cs="Times New Roman"/>
          <w:i/>
          <w:noProof/>
          <w:szCs w:val="24"/>
        </w:rPr>
        <w:t>Morgan v. Hilti, Inc.</w:t>
      </w:r>
      <w:r w:rsidR="00EA5713" w:rsidRPr="000E178C">
        <w:rPr>
          <w:rFonts w:cs="Times New Roman"/>
          <w:noProof/>
          <w:szCs w:val="24"/>
        </w:rPr>
        <w:t>, 108 F.3d 1319, 1324 (10th Cir. 1997)</w:t>
      </w:r>
      <w:r w:rsidR="00AE39F9" w:rsidRPr="000E178C">
        <w:rPr>
          <w:rFonts w:cs="Times New Roman"/>
          <w:noProof/>
          <w:szCs w:val="24"/>
        </w:rPr>
        <w:t xml:space="preserve"> </w:t>
      </w:r>
      <w:r w:rsidR="00E42E42" w:rsidRPr="000E178C">
        <w:rPr>
          <w:rFonts w:cs="Times New Roman"/>
          <w:noProof/>
          <w:szCs w:val="24"/>
        </w:rPr>
        <w:t>an employer’s reason for termination was noted to be non-pretextual because</w:t>
      </w:r>
      <w:r w:rsidR="00234830" w:rsidRPr="000E178C">
        <w:rPr>
          <w:rFonts w:cs="Times New Roman"/>
          <w:noProof/>
          <w:szCs w:val="24"/>
        </w:rPr>
        <w:t xml:space="preserve"> </w:t>
      </w:r>
      <w:r w:rsidR="00A600AA" w:rsidRPr="000E178C">
        <w:rPr>
          <w:rFonts w:cs="Times New Roman"/>
          <w:noProof/>
          <w:szCs w:val="24"/>
        </w:rPr>
        <w:t xml:space="preserve">there had been oral and written warnings about the consequences </w:t>
      </w:r>
      <w:r w:rsidR="00A56F21" w:rsidRPr="000E178C">
        <w:rPr>
          <w:rFonts w:cs="Times New Roman"/>
          <w:noProof/>
          <w:szCs w:val="24"/>
        </w:rPr>
        <w:t>of absentism</w:t>
      </w:r>
      <w:r w:rsidR="00F7124D" w:rsidRPr="000E178C">
        <w:rPr>
          <w:rFonts w:cs="Times New Roman"/>
          <w:noProof/>
          <w:szCs w:val="24"/>
        </w:rPr>
        <w:t>, showing a</w:t>
      </w:r>
      <w:r w:rsidR="00F6175A" w:rsidRPr="000E178C">
        <w:rPr>
          <w:rFonts w:cs="Times New Roman"/>
          <w:noProof/>
          <w:szCs w:val="24"/>
        </w:rPr>
        <w:t>n extended and</w:t>
      </w:r>
      <w:r w:rsidR="00F7124D" w:rsidRPr="000E178C">
        <w:rPr>
          <w:rFonts w:cs="Times New Roman"/>
          <w:noProof/>
          <w:szCs w:val="24"/>
        </w:rPr>
        <w:t xml:space="preserve"> detailed discplinary </w:t>
      </w:r>
      <w:r w:rsidR="00165EB9" w:rsidRPr="000E178C">
        <w:rPr>
          <w:rFonts w:cs="Times New Roman"/>
          <w:noProof/>
          <w:szCs w:val="24"/>
        </w:rPr>
        <w:t>process</w:t>
      </w:r>
      <w:r w:rsidR="00B76E7E" w:rsidRPr="000E178C">
        <w:rPr>
          <w:rFonts w:cs="Times New Roman"/>
          <w:noProof/>
          <w:szCs w:val="24"/>
        </w:rPr>
        <w:t xml:space="preserve">. </w:t>
      </w:r>
      <w:r w:rsidR="00E0300F" w:rsidRPr="000E178C">
        <w:rPr>
          <w:rFonts w:cs="Times New Roman"/>
          <w:noProof/>
          <w:szCs w:val="24"/>
        </w:rPr>
        <w:t xml:space="preserve">In </w:t>
      </w:r>
      <w:r w:rsidR="00E0300F" w:rsidRPr="000E178C">
        <w:rPr>
          <w:rFonts w:cs="Times New Roman"/>
          <w:i/>
          <w:color w:val="000000"/>
          <w:szCs w:val="24"/>
        </w:rPr>
        <w:t>Argo v. Blue Cross &amp; Blue Shield of Kansas, Inc.</w:t>
      </w:r>
      <w:r w:rsidR="00E0300F" w:rsidRPr="000E178C">
        <w:rPr>
          <w:rFonts w:cs="Times New Roman"/>
          <w:color w:val="000000"/>
          <w:szCs w:val="24"/>
        </w:rPr>
        <w:t xml:space="preserve">, 452 F.3d 1193, 1203 (10th Cir. 2006), the plaintiff’s performance had declined for nearly a year, and received repeated warnings about tardiness and failing to perform work. </w:t>
      </w:r>
      <w:r w:rsidR="00B76E7E" w:rsidRPr="000E178C">
        <w:rPr>
          <w:rFonts w:cs="Times New Roman"/>
          <w:noProof/>
          <w:szCs w:val="24"/>
        </w:rPr>
        <w:t xml:space="preserve">Here, unlike </w:t>
      </w:r>
      <w:r w:rsidR="00E0300F" w:rsidRPr="000E178C">
        <w:rPr>
          <w:rFonts w:cs="Times New Roman"/>
          <w:i/>
          <w:noProof/>
          <w:szCs w:val="24"/>
        </w:rPr>
        <w:t>Argo</w:t>
      </w:r>
      <w:r w:rsidR="006F4310" w:rsidRPr="000E178C">
        <w:rPr>
          <w:rFonts w:cs="Times New Roman"/>
          <w:noProof/>
          <w:szCs w:val="24"/>
        </w:rPr>
        <w:t xml:space="preserve"> and </w:t>
      </w:r>
      <w:r w:rsidR="006F4310" w:rsidRPr="000E178C">
        <w:rPr>
          <w:rFonts w:cs="Times New Roman"/>
          <w:i/>
          <w:noProof/>
          <w:szCs w:val="24"/>
        </w:rPr>
        <w:t>Morgan</w:t>
      </w:r>
      <w:r w:rsidR="00B76E7E" w:rsidRPr="000E178C">
        <w:rPr>
          <w:rFonts w:cs="Times New Roman"/>
          <w:noProof/>
          <w:szCs w:val="24"/>
        </w:rPr>
        <w:t xml:space="preserve">, </w:t>
      </w:r>
      <w:r w:rsidR="00D73F63" w:rsidRPr="000E178C">
        <w:rPr>
          <w:rFonts w:cs="Times New Roman"/>
          <w:noProof/>
          <w:szCs w:val="24"/>
        </w:rPr>
        <w:t xml:space="preserve">there </w:t>
      </w:r>
      <w:r w:rsidR="007574E0" w:rsidRPr="000E178C">
        <w:rPr>
          <w:rFonts w:cs="Times New Roman"/>
          <w:noProof/>
          <w:szCs w:val="24"/>
        </w:rPr>
        <w:t>has been no formal disciplinary incidents at any time</w:t>
      </w:r>
      <w:r w:rsidR="008059F0" w:rsidRPr="000E178C">
        <w:rPr>
          <w:rFonts w:cs="Times New Roman"/>
          <w:noProof/>
          <w:szCs w:val="24"/>
        </w:rPr>
        <w:t xml:space="preserve">. </w:t>
      </w:r>
      <w:r w:rsidR="006F4310" w:rsidRPr="000E178C">
        <w:rPr>
          <w:rFonts w:cs="Times New Roman"/>
          <w:i/>
          <w:noProof/>
          <w:szCs w:val="24"/>
        </w:rPr>
        <w:t>Argo</w:t>
      </w:r>
      <w:r w:rsidR="006F4310" w:rsidRPr="000E178C">
        <w:rPr>
          <w:rFonts w:cs="Times New Roman"/>
          <w:noProof/>
          <w:szCs w:val="24"/>
        </w:rPr>
        <w:t>,</w:t>
      </w:r>
      <w:r w:rsidR="006F4310" w:rsidRPr="000E178C">
        <w:rPr>
          <w:rFonts w:cs="Times New Roman"/>
          <w:color w:val="000000"/>
          <w:szCs w:val="24"/>
        </w:rPr>
        <w:t xml:space="preserve"> </w:t>
      </w:r>
      <w:r w:rsidR="00E0300F" w:rsidRPr="000E178C">
        <w:rPr>
          <w:rFonts w:cs="Times New Roman"/>
          <w:color w:val="000000"/>
          <w:szCs w:val="24"/>
        </w:rPr>
        <w:t>452 F.3d at 1203</w:t>
      </w:r>
      <w:r w:rsidR="007E2987" w:rsidRPr="000E178C">
        <w:rPr>
          <w:rFonts w:cs="Times New Roman"/>
          <w:noProof/>
          <w:szCs w:val="24"/>
        </w:rPr>
        <w:t xml:space="preserve">; </w:t>
      </w:r>
      <w:r w:rsidR="006F4310" w:rsidRPr="000E178C">
        <w:rPr>
          <w:rFonts w:cs="Times New Roman"/>
          <w:i/>
          <w:noProof/>
          <w:szCs w:val="24"/>
        </w:rPr>
        <w:t>Morgan</w:t>
      </w:r>
      <w:r w:rsidR="006F4310" w:rsidRPr="000E178C">
        <w:rPr>
          <w:rFonts w:cs="Times New Roman"/>
          <w:noProof/>
          <w:szCs w:val="24"/>
        </w:rPr>
        <w:t xml:space="preserve">, 108 F.3d at </w:t>
      </w:r>
      <w:r w:rsidR="00EA3D4B" w:rsidRPr="000E178C">
        <w:rPr>
          <w:rFonts w:cs="Times New Roman"/>
          <w:noProof/>
          <w:szCs w:val="24"/>
        </w:rPr>
        <w:t>1324;</w:t>
      </w:r>
      <w:r w:rsidR="006F4310" w:rsidRPr="000E178C">
        <w:rPr>
          <w:rFonts w:cs="Times New Roman"/>
          <w:noProof/>
          <w:szCs w:val="24"/>
        </w:rPr>
        <w:t xml:space="preserve"> </w:t>
      </w:r>
      <w:r w:rsidR="007E2987" w:rsidRPr="000E178C">
        <w:rPr>
          <w:rFonts w:cs="Times New Roman"/>
          <w:noProof/>
          <w:szCs w:val="24"/>
        </w:rPr>
        <w:t>R. at 13</w:t>
      </w:r>
      <w:r w:rsidR="00A956B8" w:rsidRPr="000E178C">
        <w:rPr>
          <w:rFonts w:cs="Times New Roman"/>
          <w:noProof/>
          <w:szCs w:val="24"/>
        </w:rPr>
        <w:t>.</w:t>
      </w:r>
      <w:r w:rsidR="008059F0" w:rsidRPr="000E178C">
        <w:rPr>
          <w:rFonts w:cs="Times New Roman"/>
          <w:noProof/>
          <w:szCs w:val="24"/>
        </w:rPr>
        <w:t xml:space="preserve"> Ms. Gryphon and Mr. Hernandez discuss</w:t>
      </w:r>
      <w:r w:rsidR="00444F27" w:rsidRPr="000E178C">
        <w:rPr>
          <w:rFonts w:cs="Times New Roman"/>
          <w:noProof/>
          <w:szCs w:val="24"/>
        </w:rPr>
        <w:t>ed</w:t>
      </w:r>
      <w:r w:rsidR="001D18D1" w:rsidRPr="000E178C">
        <w:rPr>
          <w:rFonts w:cs="Times New Roman"/>
          <w:noProof/>
          <w:szCs w:val="24"/>
        </w:rPr>
        <w:t xml:space="preserve"> his absences before his </w:t>
      </w:r>
      <w:r w:rsidR="0042443B" w:rsidRPr="000E178C">
        <w:rPr>
          <w:rFonts w:cs="Times New Roman"/>
          <w:noProof/>
          <w:szCs w:val="24"/>
        </w:rPr>
        <w:t xml:space="preserve">EEOC filing, </w:t>
      </w:r>
      <w:r w:rsidR="00E93C8F" w:rsidRPr="000E178C">
        <w:rPr>
          <w:rFonts w:cs="Times New Roman"/>
          <w:noProof/>
          <w:szCs w:val="24"/>
        </w:rPr>
        <w:t xml:space="preserve">but </w:t>
      </w:r>
      <w:r w:rsidR="0042443B" w:rsidRPr="000E178C">
        <w:rPr>
          <w:rFonts w:cs="Times New Roman"/>
          <w:noProof/>
          <w:szCs w:val="24"/>
        </w:rPr>
        <w:t>there were no consequences</w:t>
      </w:r>
      <w:r w:rsidR="008059F0" w:rsidRPr="000E178C">
        <w:rPr>
          <w:rFonts w:cs="Times New Roman"/>
          <w:noProof/>
          <w:szCs w:val="24"/>
        </w:rPr>
        <w:t xml:space="preserve"> </w:t>
      </w:r>
      <w:r w:rsidR="0042443B" w:rsidRPr="000E178C">
        <w:rPr>
          <w:rFonts w:cs="Times New Roman"/>
          <w:noProof/>
          <w:szCs w:val="24"/>
        </w:rPr>
        <w:t xml:space="preserve">named for his behavior, </w:t>
      </w:r>
      <w:r w:rsidR="004119EB" w:rsidRPr="000E178C">
        <w:rPr>
          <w:rFonts w:cs="Times New Roman"/>
          <w:noProof/>
          <w:szCs w:val="24"/>
        </w:rPr>
        <w:t xml:space="preserve">or formal written warnings, </w:t>
      </w:r>
      <w:r w:rsidR="00957703" w:rsidRPr="000E178C">
        <w:rPr>
          <w:rFonts w:cs="Times New Roman"/>
          <w:noProof/>
          <w:szCs w:val="24"/>
        </w:rPr>
        <w:t xml:space="preserve">which would </w:t>
      </w:r>
      <w:r w:rsidR="004119EB" w:rsidRPr="000E178C">
        <w:rPr>
          <w:rFonts w:cs="Times New Roman"/>
          <w:noProof/>
          <w:szCs w:val="24"/>
        </w:rPr>
        <w:t>show adhesion to policy</w:t>
      </w:r>
      <w:r w:rsidR="005E4967" w:rsidRPr="000E178C">
        <w:rPr>
          <w:rFonts w:cs="Times New Roman"/>
          <w:noProof/>
          <w:szCs w:val="24"/>
        </w:rPr>
        <w:t xml:space="preserve"> and so the reasons for termination are pretextual.</w:t>
      </w:r>
      <w:r w:rsidR="007E2987" w:rsidRPr="000E178C">
        <w:rPr>
          <w:rFonts w:cs="Times New Roman"/>
          <w:noProof/>
          <w:szCs w:val="24"/>
        </w:rPr>
        <w:t xml:space="preserve"> R. at 16.</w:t>
      </w:r>
      <w:r w:rsidR="00B427B5" w:rsidRPr="000E178C">
        <w:rPr>
          <w:rFonts w:cs="Times New Roman"/>
          <w:noProof/>
          <w:szCs w:val="24"/>
        </w:rPr>
        <w:t xml:space="preserve"> </w:t>
      </w:r>
    </w:p>
    <w:p w14:paraId="5F2ECB58" w14:textId="49B80A17" w:rsidR="00494DB3" w:rsidRPr="000E178C" w:rsidRDefault="0067582C" w:rsidP="00024457">
      <w:pPr>
        <w:rPr>
          <w:rFonts w:cs="Times New Roman"/>
          <w:szCs w:val="24"/>
        </w:rPr>
      </w:pPr>
      <w:r w:rsidRPr="000E178C">
        <w:rPr>
          <w:rFonts w:cs="Times New Roman"/>
          <w:noProof/>
          <w:szCs w:val="24"/>
        </w:rPr>
        <w:t xml:space="preserve"> </w:t>
      </w:r>
      <w:commentRangeStart w:id="15"/>
      <w:r w:rsidR="00667240">
        <w:rPr>
          <w:rFonts w:cs="Times New Roman"/>
          <w:noProof/>
          <w:szCs w:val="24"/>
        </w:rPr>
        <w:t xml:space="preserve">[CASE WHERE COMPNAY DIDN”T GIVE NOTICE / FOLLOW POLICY]. </w:t>
      </w:r>
      <w:commentRangeEnd w:id="15"/>
      <w:r w:rsidR="00667240">
        <w:rPr>
          <w:rStyle w:val="CommentReference"/>
        </w:rPr>
        <w:commentReference w:id="15"/>
      </w:r>
      <w:r w:rsidR="00BE35D2" w:rsidRPr="000E178C">
        <w:rPr>
          <w:rFonts w:cs="Times New Roman"/>
          <w:szCs w:val="24"/>
        </w:rPr>
        <w:t>Here,</w:t>
      </w:r>
      <w:r w:rsidR="00333E30" w:rsidRPr="000E178C">
        <w:rPr>
          <w:rFonts w:cs="Times New Roman"/>
          <w:szCs w:val="24"/>
        </w:rPr>
        <w:t xml:space="preserve"> the Record holds no</w:t>
      </w:r>
      <w:r w:rsidR="00D17A38" w:rsidRPr="000E178C">
        <w:rPr>
          <w:rFonts w:cs="Times New Roman"/>
          <w:szCs w:val="24"/>
        </w:rPr>
        <w:t xml:space="preserve"> evidence of policy, however</w:t>
      </w:r>
      <w:r w:rsidR="00BE35D2" w:rsidRPr="000E178C">
        <w:rPr>
          <w:rFonts w:cs="Times New Roman"/>
          <w:szCs w:val="24"/>
        </w:rPr>
        <w:t xml:space="preserve"> Mr. Hernandez has noticed</w:t>
      </w:r>
      <w:r w:rsidR="00E764CC" w:rsidRPr="000E178C">
        <w:rPr>
          <w:rFonts w:cs="Times New Roman"/>
          <w:szCs w:val="24"/>
        </w:rPr>
        <w:t xml:space="preserve"> other employees have been </w:t>
      </w:r>
      <w:r w:rsidR="00115441" w:rsidRPr="000E178C">
        <w:rPr>
          <w:rFonts w:cs="Times New Roman"/>
          <w:szCs w:val="24"/>
        </w:rPr>
        <w:t>allowed</w:t>
      </w:r>
      <w:r w:rsidR="00E764CC" w:rsidRPr="000E178C">
        <w:rPr>
          <w:rFonts w:cs="Times New Roman"/>
          <w:szCs w:val="24"/>
        </w:rPr>
        <w:t xml:space="preserve"> to take time off for medical leave</w:t>
      </w:r>
      <w:r w:rsidR="0030224A" w:rsidRPr="000E178C">
        <w:rPr>
          <w:rFonts w:cs="Times New Roman"/>
          <w:szCs w:val="24"/>
        </w:rPr>
        <w:t xml:space="preserve">, </w:t>
      </w:r>
      <w:r w:rsidR="00A86C73" w:rsidRPr="000E178C">
        <w:rPr>
          <w:rFonts w:cs="Times New Roman"/>
          <w:szCs w:val="24"/>
        </w:rPr>
        <w:t xml:space="preserve">and he was not able to be granted a modified schedule </w:t>
      </w:r>
      <w:r w:rsidR="00271906" w:rsidRPr="000E178C">
        <w:rPr>
          <w:rFonts w:cs="Times New Roman"/>
          <w:szCs w:val="24"/>
        </w:rPr>
        <w:t>which raises a genuine issue of fact</w:t>
      </w:r>
      <w:r w:rsidR="000B6691" w:rsidRPr="000E178C">
        <w:rPr>
          <w:rFonts w:cs="Times New Roman"/>
          <w:szCs w:val="24"/>
        </w:rPr>
        <w:t xml:space="preserve">, </w:t>
      </w:r>
      <w:commentRangeStart w:id="16"/>
      <w:r w:rsidR="007B48A1" w:rsidRPr="000E178C">
        <w:rPr>
          <w:rFonts w:cs="Times New Roman"/>
          <w:szCs w:val="24"/>
        </w:rPr>
        <w:t>which requires this issue to be remanded</w:t>
      </w:r>
      <w:commentRangeEnd w:id="16"/>
      <w:r w:rsidR="007B48A1" w:rsidRPr="000E178C">
        <w:rPr>
          <w:rStyle w:val="CommentReference"/>
          <w:rFonts w:cs="Times New Roman"/>
          <w:sz w:val="24"/>
          <w:szCs w:val="24"/>
        </w:rPr>
        <w:commentReference w:id="16"/>
      </w:r>
      <w:r w:rsidR="00A86C73" w:rsidRPr="000E178C">
        <w:rPr>
          <w:rFonts w:cs="Times New Roman"/>
          <w:szCs w:val="24"/>
        </w:rPr>
        <w:t>.</w:t>
      </w:r>
      <w:r w:rsidR="00271906" w:rsidRPr="000E178C">
        <w:rPr>
          <w:rFonts w:cs="Times New Roman"/>
          <w:szCs w:val="24"/>
        </w:rPr>
        <w:t xml:space="preserve"> </w:t>
      </w:r>
      <w:r w:rsidR="0030224A" w:rsidRPr="000E178C">
        <w:rPr>
          <w:rFonts w:cs="Times New Roman"/>
          <w:szCs w:val="24"/>
        </w:rPr>
        <w:t xml:space="preserve">R. at 11. </w:t>
      </w:r>
      <w:r w:rsidR="007725E5" w:rsidRPr="00E47A54">
        <w:rPr>
          <w:rFonts w:cs="Times New Roman"/>
          <w:strike/>
          <w:szCs w:val="24"/>
        </w:rPr>
        <w:t>In</w:t>
      </w:r>
      <w:r w:rsidR="007725E5" w:rsidRPr="00E47A54">
        <w:rPr>
          <w:rFonts w:cs="Times New Roman"/>
          <w:i/>
          <w:strike/>
          <w:szCs w:val="24"/>
        </w:rPr>
        <w:t xml:space="preserve"> </w:t>
      </w:r>
      <w:commentRangeStart w:id="17"/>
      <w:r w:rsidR="00806A72" w:rsidRPr="00E47A54">
        <w:rPr>
          <w:rFonts w:cs="Times New Roman"/>
          <w:i/>
          <w:strike/>
          <w:szCs w:val="24"/>
        </w:rPr>
        <w:t xml:space="preserve">O'Neal v. Ferguson Const. Co., </w:t>
      </w:r>
      <w:r w:rsidR="00806A72" w:rsidRPr="00E47A54">
        <w:rPr>
          <w:rFonts w:cs="Times New Roman"/>
          <w:strike/>
          <w:szCs w:val="24"/>
        </w:rPr>
        <w:t>237 F.3d 1248, 1254 (10th Cir. 2001</w:t>
      </w:r>
      <w:commentRangeEnd w:id="17"/>
      <w:r w:rsidR="00806A72" w:rsidRPr="00E47A54">
        <w:rPr>
          <w:rStyle w:val="CommentReference"/>
          <w:rFonts w:cs="Times New Roman"/>
          <w:strike/>
          <w:sz w:val="24"/>
          <w:szCs w:val="24"/>
        </w:rPr>
        <w:commentReference w:id="17"/>
      </w:r>
      <w:r w:rsidR="00806A72" w:rsidRPr="00E47A54">
        <w:rPr>
          <w:rFonts w:cs="Times New Roman"/>
          <w:strike/>
          <w:szCs w:val="24"/>
        </w:rPr>
        <w:t>)</w:t>
      </w:r>
      <w:r w:rsidR="00E806ED" w:rsidRPr="00E47A54">
        <w:rPr>
          <w:rFonts w:cs="Times New Roman"/>
          <w:strike/>
          <w:szCs w:val="24"/>
        </w:rPr>
        <w:t>, the employer</w:t>
      </w:r>
      <w:r w:rsidR="00EA3D4B" w:rsidRPr="00E47A54">
        <w:rPr>
          <w:rFonts w:cs="Times New Roman"/>
          <w:strike/>
          <w:szCs w:val="24"/>
        </w:rPr>
        <w:t>’s reason for adverse action was deem pretextual because it</w:t>
      </w:r>
      <w:r w:rsidR="000A649D" w:rsidRPr="00E47A54">
        <w:rPr>
          <w:rFonts w:cs="Times New Roman"/>
          <w:strike/>
          <w:szCs w:val="24"/>
        </w:rPr>
        <w:t>,</w:t>
      </w:r>
      <w:r w:rsidR="00E806ED" w:rsidRPr="00E47A54">
        <w:rPr>
          <w:rFonts w:cs="Times New Roman"/>
          <w:strike/>
          <w:szCs w:val="24"/>
        </w:rPr>
        <w:t xml:space="preserve"> claimed</w:t>
      </w:r>
      <w:r w:rsidR="005D75E6" w:rsidRPr="00E47A54">
        <w:rPr>
          <w:rFonts w:cs="Times New Roman"/>
          <w:strike/>
          <w:szCs w:val="24"/>
        </w:rPr>
        <w:t xml:space="preserve"> less work was available for the </w:t>
      </w:r>
      <w:r w:rsidR="003C7280" w:rsidRPr="00E47A54">
        <w:rPr>
          <w:rFonts w:cs="Times New Roman"/>
          <w:strike/>
          <w:szCs w:val="24"/>
        </w:rPr>
        <w:t>plaintiff</w:t>
      </w:r>
      <w:r w:rsidR="005D75E6" w:rsidRPr="00E47A54">
        <w:rPr>
          <w:rFonts w:cs="Times New Roman"/>
          <w:strike/>
          <w:szCs w:val="24"/>
        </w:rPr>
        <w:t xml:space="preserve"> and so reduced the plaintiff’s hours, however,</w:t>
      </w:r>
      <w:r w:rsidR="00DF7C7F" w:rsidRPr="00E47A54">
        <w:rPr>
          <w:rFonts w:cs="Times New Roman"/>
          <w:strike/>
          <w:szCs w:val="24"/>
        </w:rPr>
        <w:t xml:space="preserve"> other employees testified that other employees were not being sent home without work or having hours reduced</w:t>
      </w:r>
      <w:r w:rsidR="003C7280" w:rsidRPr="00E47A54">
        <w:rPr>
          <w:rFonts w:cs="Times New Roman"/>
          <w:strike/>
          <w:szCs w:val="24"/>
        </w:rPr>
        <w:t xml:space="preserve">, and that other employees wanted the plaintiff’s </w:t>
      </w:r>
      <w:r w:rsidR="000A649D" w:rsidRPr="00E47A54">
        <w:rPr>
          <w:rFonts w:cs="Times New Roman"/>
          <w:strike/>
          <w:szCs w:val="24"/>
        </w:rPr>
        <w:t>help</w:t>
      </w:r>
      <w:r w:rsidR="003C7280" w:rsidRPr="00E47A54">
        <w:rPr>
          <w:rFonts w:cs="Times New Roman"/>
          <w:strike/>
          <w:szCs w:val="24"/>
        </w:rPr>
        <w:t>.</w:t>
      </w:r>
      <w:r w:rsidR="000A649D" w:rsidRPr="00E47A54">
        <w:rPr>
          <w:rFonts w:cs="Times New Roman"/>
          <w:strike/>
          <w:szCs w:val="24"/>
        </w:rPr>
        <w:t xml:space="preserve"> </w:t>
      </w:r>
      <w:commentRangeStart w:id="18"/>
      <w:r w:rsidR="000A649D" w:rsidRPr="00E47A54">
        <w:rPr>
          <w:rFonts w:cs="Times New Roman"/>
          <w:strike/>
          <w:szCs w:val="24"/>
        </w:rPr>
        <w:t xml:space="preserve">Here, like in </w:t>
      </w:r>
      <w:r w:rsidR="000A649D" w:rsidRPr="00E47A54">
        <w:rPr>
          <w:rFonts w:cs="Times New Roman"/>
          <w:i/>
          <w:strike/>
          <w:szCs w:val="24"/>
        </w:rPr>
        <w:t>O’Neal</w:t>
      </w:r>
      <w:r w:rsidR="000A649D" w:rsidRPr="00E47A54">
        <w:rPr>
          <w:rFonts w:cs="Times New Roman"/>
          <w:strike/>
          <w:szCs w:val="24"/>
        </w:rPr>
        <w:t>, SSS claims that the</w:t>
      </w:r>
      <w:r w:rsidR="00FF182D" w:rsidRPr="00E47A54">
        <w:rPr>
          <w:rFonts w:cs="Times New Roman"/>
          <w:strike/>
          <w:szCs w:val="24"/>
        </w:rPr>
        <w:t xml:space="preserve"> project was delayed because of Mr. Hernandez</w:t>
      </w:r>
      <w:r w:rsidR="00745570" w:rsidRPr="00E47A54">
        <w:rPr>
          <w:rFonts w:cs="Times New Roman"/>
          <w:strike/>
          <w:szCs w:val="24"/>
        </w:rPr>
        <w:t xml:space="preserve">, however there was another similarly trained employee that </w:t>
      </w:r>
      <w:r w:rsidR="00745570" w:rsidRPr="00E47A54">
        <w:rPr>
          <w:rFonts w:cs="Times New Roman"/>
          <w:strike/>
          <w:szCs w:val="24"/>
        </w:rPr>
        <w:lastRenderedPageBreak/>
        <w:t>could have helped with the project</w:t>
      </w:r>
      <w:r w:rsidR="00047F63" w:rsidRPr="00E47A54">
        <w:rPr>
          <w:rFonts w:cs="Times New Roman"/>
          <w:strike/>
          <w:szCs w:val="24"/>
        </w:rPr>
        <w:t xml:space="preserve"> </w:t>
      </w:r>
      <w:r w:rsidR="00241EAF" w:rsidRPr="00E47A54">
        <w:rPr>
          <w:rFonts w:cs="Times New Roman"/>
          <w:strike/>
          <w:szCs w:val="24"/>
        </w:rPr>
        <w:t xml:space="preserve">and </w:t>
      </w:r>
      <w:r w:rsidR="00047F63" w:rsidRPr="00E47A54">
        <w:rPr>
          <w:rFonts w:cs="Times New Roman"/>
          <w:strike/>
          <w:szCs w:val="24"/>
        </w:rPr>
        <w:t>result</w:t>
      </w:r>
      <w:r w:rsidR="00241EAF" w:rsidRPr="00E47A54">
        <w:rPr>
          <w:rFonts w:cs="Times New Roman"/>
          <w:strike/>
          <w:szCs w:val="24"/>
        </w:rPr>
        <w:t>ed</w:t>
      </w:r>
      <w:r w:rsidR="00047F63" w:rsidRPr="00E47A54">
        <w:rPr>
          <w:rFonts w:cs="Times New Roman"/>
          <w:strike/>
          <w:szCs w:val="24"/>
        </w:rPr>
        <w:t xml:space="preserve"> in </w:t>
      </w:r>
      <w:r w:rsidR="00241EAF" w:rsidRPr="00E47A54">
        <w:rPr>
          <w:rFonts w:cs="Times New Roman"/>
          <w:strike/>
          <w:szCs w:val="24"/>
        </w:rPr>
        <w:t xml:space="preserve">the </w:t>
      </w:r>
      <w:r w:rsidR="00047F63" w:rsidRPr="00E47A54">
        <w:rPr>
          <w:rFonts w:cs="Times New Roman"/>
          <w:strike/>
          <w:szCs w:val="24"/>
        </w:rPr>
        <w:t xml:space="preserve">project being completed on time. </w:t>
      </w:r>
      <w:r w:rsidR="00595471" w:rsidRPr="00E47A54">
        <w:rPr>
          <w:rFonts w:cs="Times New Roman"/>
          <w:strike/>
          <w:szCs w:val="24"/>
        </w:rPr>
        <w:t xml:space="preserve">237 F.3d at </w:t>
      </w:r>
      <w:r w:rsidR="00282BBC" w:rsidRPr="00E47A54">
        <w:rPr>
          <w:rFonts w:cs="Times New Roman"/>
          <w:strike/>
          <w:szCs w:val="24"/>
        </w:rPr>
        <w:t xml:space="preserve">1254; </w:t>
      </w:r>
      <w:r w:rsidR="00047F63" w:rsidRPr="00E47A54">
        <w:rPr>
          <w:rFonts w:cs="Times New Roman"/>
          <w:strike/>
          <w:szCs w:val="24"/>
        </w:rPr>
        <w:t>R. at 12, 18.</w:t>
      </w:r>
      <w:r w:rsidR="003C7280" w:rsidRPr="00E47A54">
        <w:rPr>
          <w:rFonts w:cs="Times New Roman"/>
          <w:strike/>
          <w:szCs w:val="24"/>
        </w:rPr>
        <w:t xml:space="preserve"> </w:t>
      </w:r>
      <w:r w:rsidR="00E806ED" w:rsidRPr="00E47A54">
        <w:rPr>
          <w:rFonts w:cs="Times New Roman"/>
          <w:strike/>
          <w:szCs w:val="24"/>
        </w:rPr>
        <w:t xml:space="preserve"> </w:t>
      </w:r>
      <w:commentRangeEnd w:id="18"/>
      <w:r w:rsidR="00595471" w:rsidRPr="00E47A54">
        <w:rPr>
          <w:rStyle w:val="CommentReference"/>
          <w:rFonts w:cs="Times New Roman"/>
          <w:strike/>
          <w:sz w:val="24"/>
          <w:szCs w:val="24"/>
        </w:rPr>
        <w:commentReference w:id="18"/>
      </w:r>
    </w:p>
    <w:p w14:paraId="45199123" w14:textId="19CF7F61" w:rsidR="00F94F9D" w:rsidRPr="000E178C" w:rsidRDefault="002F7277" w:rsidP="00024457">
      <w:pPr>
        <w:rPr>
          <w:rFonts w:cs="Times New Roman"/>
          <w:szCs w:val="24"/>
        </w:rPr>
      </w:pPr>
      <w:r w:rsidRPr="00E47A54">
        <w:rPr>
          <w:rFonts w:cs="Times New Roman"/>
          <w:noProof/>
          <w:szCs w:val="24"/>
        </w:rPr>
        <w:t>These inconsistent</w:t>
      </w:r>
      <w:r w:rsidR="00EC6F49" w:rsidRPr="00E47A54">
        <w:rPr>
          <w:rFonts w:cs="Times New Roman"/>
          <w:noProof/>
          <w:szCs w:val="24"/>
        </w:rPr>
        <w:t xml:space="preserve">cies show that SSS’s </w:t>
      </w:r>
      <w:r w:rsidR="00392EE5" w:rsidRPr="00E47A54">
        <w:rPr>
          <w:rFonts w:cs="Times New Roman"/>
          <w:noProof/>
          <w:szCs w:val="24"/>
        </w:rPr>
        <w:t xml:space="preserve">reasons for </w:t>
      </w:r>
      <w:r w:rsidR="00EC6F49" w:rsidRPr="00E47A54">
        <w:rPr>
          <w:rFonts w:cs="Times New Roman"/>
          <w:noProof/>
          <w:szCs w:val="24"/>
        </w:rPr>
        <w:t xml:space="preserve">termination and </w:t>
      </w:r>
      <w:r w:rsidR="00392EE5" w:rsidRPr="00E47A54">
        <w:rPr>
          <w:rFonts w:cs="Times New Roman"/>
          <w:noProof/>
          <w:szCs w:val="24"/>
        </w:rPr>
        <w:t xml:space="preserve">negative reference of Mr. Hernandez are merely pretext, and strengthen the causal connection between </w:t>
      </w:r>
      <w:r w:rsidR="00C5016E" w:rsidRPr="00E47A54">
        <w:rPr>
          <w:rFonts w:cs="Times New Roman"/>
          <w:noProof/>
          <w:szCs w:val="24"/>
        </w:rPr>
        <w:t xml:space="preserve">his EEOC filing, and both adverse actions.  </w:t>
      </w:r>
      <w:r w:rsidR="008077C6" w:rsidRPr="000E178C">
        <w:rPr>
          <w:rFonts w:cs="Times New Roman"/>
          <w:szCs w:val="24"/>
        </w:rPr>
        <w:tab/>
      </w:r>
    </w:p>
    <w:p w14:paraId="0255EAA9" w14:textId="33E6697D" w:rsidR="00B46775" w:rsidRPr="000E178C" w:rsidRDefault="00F718AC" w:rsidP="001B651E">
      <w:pPr>
        <w:pStyle w:val="Heading2"/>
        <w:numPr>
          <w:ilvl w:val="0"/>
          <w:numId w:val="7"/>
        </w:numPr>
        <w:spacing w:line="240" w:lineRule="auto"/>
        <w:ind w:left="720"/>
        <w:rPr>
          <w:rFonts w:cs="Times New Roman"/>
          <w:szCs w:val="24"/>
        </w:rPr>
      </w:pPr>
      <w:bookmarkStart w:id="19" w:name="_Toc509470360"/>
      <w:r w:rsidRPr="000E178C">
        <w:rPr>
          <w:rFonts w:cs="Times New Roman"/>
          <w:szCs w:val="24"/>
        </w:rPr>
        <w:t xml:space="preserve">SSS DRIMINATED AGAINST MR. HERNANDEZ BECAUSE </w:t>
      </w:r>
      <w:r w:rsidR="004A6448" w:rsidRPr="000E178C">
        <w:rPr>
          <w:rFonts w:cs="Times New Roman"/>
          <w:szCs w:val="24"/>
        </w:rPr>
        <w:t xml:space="preserve">IT HAD KNOWLEDGE OF HIS DISABILITY, HIS REQUEST FOR ACCOMMODATION WAS </w:t>
      </w:r>
      <w:commentRangeStart w:id="20"/>
      <w:r w:rsidR="004A6448" w:rsidRPr="000E178C">
        <w:rPr>
          <w:rFonts w:cs="Times New Roman"/>
          <w:szCs w:val="24"/>
        </w:rPr>
        <w:t>REASONABLE AND WAS DENIED</w:t>
      </w:r>
      <w:commentRangeEnd w:id="20"/>
      <w:r w:rsidR="00967EE7" w:rsidRPr="000E178C">
        <w:rPr>
          <w:rStyle w:val="CommentReference"/>
          <w:rFonts w:eastAsiaTheme="minorHAnsi" w:cs="Times New Roman"/>
          <w:color w:val="auto"/>
          <w:sz w:val="24"/>
          <w:szCs w:val="24"/>
        </w:rPr>
        <w:commentReference w:id="20"/>
      </w:r>
      <w:r w:rsidR="004A6448" w:rsidRPr="000E178C">
        <w:rPr>
          <w:rFonts w:cs="Times New Roman"/>
          <w:szCs w:val="24"/>
        </w:rPr>
        <w:t>, AND WOULD NOT HAVE IMPOSED UNDUE HARDSHIP</w:t>
      </w:r>
      <w:r w:rsidR="00B46775" w:rsidRPr="000E178C">
        <w:rPr>
          <w:rFonts w:cs="Times New Roman"/>
          <w:szCs w:val="24"/>
        </w:rPr>
        <w:t>.</w:t>
      </w:r>
      <w:bookmarkEnd w:id="19"/>
      <w:r w:rsidR="00B46775" w:rsidRPr="000E178C">
        <w:rPr>
          <w:rFonts w:cs="Times New Roman"/>
          <w:szCs w:val="24"/>
        </w:rPr>
        <w:t xml:space="preserve"> </w:t>
      </w:r>
      <w:r w:rsidR="001B651E" w:rsidRPr="000E178C">
        <w:rPr>
          <w:rFonts w:cs="Times New Roman"/>
          <w:szCs w:val="24"/>
        </w:rPr>
        <w:br/>
      </w:r>
    </w:p>
    <w:p w14:paraId="3CCCEF26" w14:textId="19EDCED0" w:rsidR="006971F7" w:rsidRPr="000E178C" w:rsidRDefault="006971F7" w:rsidP="002A7483">
      <w:pPr>
        <w:rPr>
          <w:rFonts w:cs="Times New Roman"/>
          <w:szCs w:val="24"/>
        </w:rPr>
      </w:pPr>
      <w:r w:rsidRPr="000E178C">
        <w:rPr>
          <w:rFonts w:cs="Times New Roman"/>
          <w:szCs w:val="24"/>
        </w:rPr>
        <w:t xml:space="preserve">Under </w:t>
      </w:r>
      <w:r w:rsidR="00CE6E31" w:rsidRPr="000E178C">
        <w:rPr>
          <w:rFonts w:cs="Times New Roman"/>
          <w:szCs w:val="24"/>
        </w:rPr>
        <w:t xml:space="preserve">the </w:t>
      </w:r>
      <w:r w:rsidRPr="000E178C">
        <w:rPr>
          <w:rFonts w:cs="Times New Roman"/>
          <w:szCs w:val="24"/>
        </w:rPr>
        <w:t>ADA, discrimination occurs if an employer fails to grant a reasonable accommodation to an otherwise qualified individual with disability, unless the employer can show that accommodation would impose an undue hardship. 42 U.S.C. § 12112(b)(5)(A)</w:t>
      </w:r>
      <w:r w:rsidRPr="000E178C">
        <w:rPr>
          <w:rFonts w:cs="Times New Roman"/>
          <w:szCs w:val="24"/>
        </w:rPr>
        <w:fldChar w:fldCharType="begin"/>
      </w:r>
      <w:r w:rsidRPr="000E178C">
        <w:rPr>
          <w:rFonts w:cs="Times New Roman"/>
          <w:szCs w:val="24"/>
        </w:rPr>
        <w:instrText xml:space="preserve"> TA \l "42 U.S.C. § 12112(b)(5)(A)" \s "42 U.S.C. § 12112(b)(5)(A)" \c 2 </w:instrText>
      </w:r>
      <w:r w:rsidRPr="000E178C">
        <w:rPr>
          <w:rFonts w:cs="Times New Roman"/>
          <w:szCs w:val="24"/>
        </w:rPr>
        <w:fldChar w:fldCharType="end"/>
      </w:r>
      <w:r w:rsidRPr="000E178C">
        <w:rPr>
          <w:rFonts w:cs="Times New Roman"/>
          <w:szCs w:val="24"/>
        </w:rPr>
        <w:t xml:space="preserve">. </w:t>
      </w:r>
      <w:r w:rsidR="00344484" w:rsidRPr="000E178C">
        <w:rPr>
          <w:rFonts w:cs="Times New Roman"/>
          <w:szCs w:val="24"/>
        </w:rPr>
        <w:t xml:space="preserve">Under the </w:t>
      </w:r>
      <w:r w:rsidR="00741BCC" w:rsidRPr="000E178C">
        <w:rPr>
          <w:rFonts w:cs="Times New Roman"/>
          <w:szCs w:val="24"/>
        </w:rPr>
        <w:t>ADA, t</w:t>
      </w:r>
      <w:r w:rsidRPr="000E178C">
        <w:rPr>
          <w:rFonts w:cs="Times New Roman"/>
          <w:szCs w:val="24"/>
        </w:rPr>
        <w:t>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would pose no undue hardship on Defendant’s business operations. 42 U.S.C. § 12112(b)</w:t>
      </w:r>
      <w:r w:rsidRPr="000E178C">
        <w:rPr>
          <w:rFonts w:cs="Times New Roman"/>
          <w:szCs w:val="24"/>
        </w:rPr>
        <w:fldChar w:fldCharType="begin"/>
      </w:r>
      <w:r w:rsidRPr="000E178C">
        <w:rPr>
          <w:rFonts w:cs="Times New Roman"/>
          <w:szCs w:val="24"/>
        </w:rPr>
        <w:instrText xml:space="preserve"> TA \l "42 U.S.C. § 12112(b)" \s "42 U.S.C. § 12112(b)" \c 2 </w:instrText>
      </w:r>
      <w:r w:rsidRPr="000E178C">
        <w:rPr>
          <w:rFonts w:cs="Times New Roman"/>
          <w:szCs w:val="24"/>
        </w:rPr>
        <w:fldChar w:fldCharType="end"/>
      </w:r>
      <w:r w:rsidRPr="000E178C">
        <w:rPr>
          <w:rFonts w:cs="Times New Roman"/>
          <w:szCs w:val="24"/>
        </w:rPr>
        <w:t xml:space="preserve">. </w:t>
      </w:r>
      <w:r w:rsidR="00741BCC" w:rsidRPr="000E178C">
        <w:rPr>
          <w:rFonts w:cs="Times New Roman"/>
          <w:szCs w:val="24"/>
        </w:rPr>
        <w:t xml:space="preserve">The Court has used several different standards </w:t>
      </w:r>
      <w:r w:rsidR="00037058" w:rsidRPr="000E178C">
        <w:rPr>
          <w:rFonts w:cs="Times New Roman"/>
          <w:szCs w:val="24"/>
        </w:rPr>
        <w:t>for what a plaintiff must establish for a prima facie case of</w:t>
      </w:r>
      <w:r w:rsidR="004B598B" w:rsidRPr="000E178C">
        <w:rPr>
          <w:rFonts w:cs="Times New Roman"/>
          <w:szCs w:val="24"/>
        </w:rPr>
        <w:t xml:space="preserve"> failure to reasonably accommodate claims. </w:t>
      </w:r>
      <w:proofErr w:type="spellStart"/>
      <w:r w:rsidR="009144AC" w:rsidRPr="000E178C">
        <w:rPr>
          <w:rFonts w:cs="Times New Roman"/>
          <w:i/>
          <w:szCs w:val="24"/>
        </w:rPr>
        <w:t>Selk</w:t>
      </w:r>
      <w:proofErr w:type="spellEnd"/>
      <w:r w:rsidR="009144AC" w:rsidRPr="000E178C">
        <w:rPr>
          <w:rFonts w:cs="Times New Roman"/>
          <w:i/>
          <w:szCs w:val="24"/>
        </w:rPr>
        <w:t xml:space="preserve"> v. Brigham Young Univ.</w:t>
      </w:r>
      <w:r w:rsidR="009144AC" w:rsidRPr="000E178C">
        <w:rPr>
          <w:rFonts w:cs="Times New Roman"/>
          <w:szCs w:val="24"/>
        </w:rPr>
        <w:t xml:space="preserve">, No. 2:13-CV-00326-CW, 2015 WL 150250, at *5 (D. Utah Jan. 12, 2015). </w:t>
      </w:r>
      <w:r w:rsidR="001824C5" w:rsidRPr="000E178C">
        <w:rPr>
          <w:rFonts w:cs="Times New Roman"/>
          <w:szCs w:val="24"/>
        </w:rPr>
        <w:t xml:space="preserve">The different tests </w:t>
      </w:r>
      <w:r w:rsidR="00C44898" w:rsidRPr="000E178C">
        <w:rPr>
          <w:rFonts w:cs="Times New Roman"/>
          <w:szCs w:val="24"/>
        </w:rPr>
        <w:t xml:space="preserve">vary, but generally require a plaintiff to show the following: (1) she is disabled; (2) she is otherwise qualified; and (3) she requested a plausibly reasonable accommodation. </w:t>
      </w:r>
      <w:r w:rsidR="0020765E" w:rsidRPr="000E178C">
        <w:rPr>
          <w:rFonts w:cs="Times New Roman"/>
          <w:i/>
          <w:szCs w:val="24"/>
        </w:rPr>
        <w:t xml:space="preserve">Compare </w:t>
      </w:r>
      <w:r w:rsidR="00C44898" w:rsidRPr="000E178C">
        <w:rPr>
          <w:rFonts w:cs="Times New Roman"/>
          <w:i/>
          <w:szCs w:val="24"/>
        </w:rPr>
        <w:t xml:space="preserve">Punt v. Kelly </w:t>
      </w:r>
      <w:proofErr w:type="spellStart"/>
      <w:r w:rsidR="00C44898" w:rsidRPr="000E178C">
        <w:rPr>
          <w:rFonts w:cs="Times New Roman"/>
          <w:i/>
          <w:szCs w:val="24"/>
        </w:rPr>
        <w:t>Servs</w:t>
      </w:r>
      <w:proofErr w:type="spellEnd"/>
      <w:r w:rsidR="00C44898" w:rsidRPr="000E178C">
        <w:rPr>
          <w:rFonts w:cs="Times New Roman"/>
          <w:i/>
          <w:szCs w:val="24"/>
        </w:rPr>
        <w:t>.</w:t>
      </w:r>
      <w:r w:rsidR="00C44898" w:rsidRPr="000E178C">
        <w:rPr>
          <w:rFonts w:cs="Times New Roman"/>
          <w:szCs w:val="24"/>
        </w:rPr>
        <w:t>, 862 F.3d 1040, 1050 (10th Cir. 2017)</w:t>
      </w:r>
      <w:r w:rsidR="005F6A26" w:rsidRPr="000E178C">
        <w:rPr>
          <w:rFonts w:cs="Times New Roman"/>
          <w:szCs w:val="24"/>
        </w:rPr>
        <w:t>, and</w:t>
      </w:r>
      <w:r w:rsidR="00C44898" w:rsidRPr="000E178C">
        <w:rPr>
          <w:rFonts w:cs="Times New Roman"/>
          <w:szCs w:val="24"/>
        </w:rPr>
        <w:t xml:space="preserve"> </w:t>
      </w:r>
      <w:r w:rsidR="00C44898" w:rsidRPr="000E178C">
        <w:rPr>
          <w:rFonts w:cs="Times New Roman"/>
          <w:i/>
          <w:szCs w:val="24"/>
        </w:rPr>
        <w:t>Sanchez v. Vilsack</w:t>
      </w:r>
      <w:r w:rsidR="00C44898" w:rsidRPr="000E178C">
        <w:rPr>
          <w:rFonts w:cs="Times New Roman"/>
          <w:szCs w:val="24"/>
        </w:rPr>
        <w:t>, 695 F.3d 1174, 1176 (10th Cir. 2012)</w:t>
      </w:r>
      <w:r w:rsidR="005F6A26" w:rsidRPr="000E178C">
        <w:rPr>
          <w:rFonts w:cs="Times New Roman"/>
          <w:szCs w:val="24"/>
        </w:rPr>
        <w:t xml:space="preserve">, </w:t>
      </w:r>
      <w:r w:rsidR="005F6A26" w:rsidRPr="000E178C">
        <w:rPr>
          <w:rFonts w:cs="Times New Roman"/>
          <w:i/>
          <w:szCs w:val="24"/>
        </w:rPr>
        <w:t>with</w:t>
      </w:r>
      <w:r w:rsidR="00C44898" w:rsidRPr="000E178C">
        <w:rPr>
          <w:rFonts w:cs="Times New Roman"/>
          <w:szCs w:val="24"/>
        </w:rPr>
        <w:t xml:space="preserve"> </w:t>
      </w:r>
      <w:r w:rsidR="004308A2" w:rsidRPr="000E178C">
        <w:rPr>
          <w:rFonts w:cs="Times New Roman"/>
          <w:i/>
          <w:szCs w:val="24"/>
        </w:rPr>
        <w:t>Spielman v. Blue Cross &amp; Blue Shield of Kansas, Inc.</w:t>
      </w:r>
      <w:r w:rsidR="004308A2" w:rsidRPr="000E178C">
        <w:rPr>
          <w:rFonts w:cs="Times New Roman"/>
          <w:szCs w:val="24"/>
        </w:rPr>
        <w:t xml:space="preserve">, 33 F. </w:t>
      </w:r>
      <w:proofErr w:type="spellStart"/>
      <w:r w:rsidR="004308A2" w:rsidRPr="000E178C">
        <w:rPr>
          <w:rFonts w:cs="Times New Roman"/>
          <w:szCs w:val="24"/>
        </w:rPr>
        <w:t>App'x</w:t>
      </w:r>
      <w:proofErr w:type="spellEnd"/>
      <w:r w:rsidR="004308A2" w:rsidRPr="000E178C">
        <w:rPr>
          <w:rFonts w:cs="Times New Roman"/>
          <w:szCs w:val="24"/>
        </w:rPr>
        <w:t xml:space="preserve"> 439, 443 (10th Cir. 2002)</w:t>
      </w:r>
      <w:r w:rsidR="009D2A4F" w:rsidRPr="000E178C">
        <w:rPr>
          <w:rFonts w:cs="Times New Roman"/>
          <w:szCs w:val="24"/>
        </w:rPr>
        <w:t xml:space="preserve">, </w:t>
      </w:r>
      <w:r w:rsidR="009D2A4F" w:rsidRPr="000E178C">
        <w:rPr>
          <w:rFonts w:cs="Times New Roman"/>
          <w:i/>
          <w:szCs w:val="24"/>
        </w:rPr>
        <w:t>and</w:t>
      </w:r>
      <w:r w:rsidR="009144AC" w:rsidRPr="000E178C">
        <w:rPr>
          <w:rFonts w:cs="Times New Roman"/>
          <w:szCs w:val="24"/>
        </w:rPr>
        <w:t xml:space="preserve"> </w:t>
      </w:r>
      <w:r w:rsidR="00A16CF2" w:rsidRPr="000E178C">
        <w:rPr>
          <w:rStyle w:val="Emphasis"/>
          <w:rFonts w:cs="Times New Roman"/>
          <w:szCs w:val="24"/>
        </w:rPr>
        <w:t xml:space="preserve">Allen v. </w:t>
      </w:r>
      <w:proofErr w:type="spellStart"/>
      <w:r w:rsidR="00A16CF2" w:rsidRPr="000E178C">
        <w:rPr>
          <w:rStyle w:val="Emphasis"/>
          <w:rFonts w:cs="Times New Roman"/>
          <w:szCs w:val="24"/>
        </w:rPr>
        <w:t>SouthCrest</w:t>
      </w:r>
      <w:proofErr w:type="spellEnd"/>
      <w:r w:rsidR="00A16CF2" w:rsidRPr="000E178C">
        <w:rPr>
          <w:rStyle w:val="Emphasis"/>
          <w:rFonts w:cs="Times New Roman"/>
          <w:szCs w:val="24"/>
        </w:rPr>
        <w:t xml:space="preserve"> Hosp.</w:t>
      </w:r>
      <w:r w:rsidR="00A16CF2" w:rsidRPr="000E178C">
        <w:rPr>
          <w:rStyle w:val="Emphasis"/>
          <w:rFonts w:cs="Times New Roman"/>
          <w:i w:val="0"/>
          <w:szCs w:val="24"/>
        </w:rPr>
        <w:t>,</w:t>
      </w:r>
      <w:r w:rsidR="00A16CF2" w:rsidRPr="000E178C">
        <w:rPr>
          <w:rFonts w:cs="Times New Roman"/>
          <w:szCs w:val="24"/>
        </w:rPr>
        <w:t> 455 Fed. Appx. 827, 834 (10th Cir.</w:t>
      </w:r>
      <w:r w:rsidR="00FB0FDB" w:rsidRPr="000E178C">
        <w:rPr>
          <w:rFonts w:cs="Times New Roman"/>
          <w:szCs w:val="24"/>
        </w:rPr>
        <w:t xml:space="preserve"> </w:t>
      </w:r>
      <w:r w:rsidR="00A16CF2" w:rsidRPr="000E178C">
        <w:rPr>
          <w:rFonts w:cs="Times New Roman"/>
          <w:szCs w:val="24"/>
        </w:rPr>
        <w:t>2011)</w:t>
      </w:r>
      <w:r w:rsidR="00790773" w:rsidRPr="000E178C">
        <w:rPr>
          <w:rFonts w:cs="Times New Roman"/>
          <w:szCs w:val="24"/>
        </w:rPr>
        <w:t>.</w:t>
      </w:r>
      <w:r w:rsidR="00006690" w:rsidRPr="000E178C">
        <w:rPr>
          <w:rFonts w:cs="Times New Roman"/>
          <w:szCs w:val="24"/>
        </w:rPr>
        <w:t xml:space="preserve"> </w:t>
      </w:r>
      <w:r w:rsidR="0067765A" w:rsidRPr="000E178C">
        <w:rPr>
          <w:rFonts w:cs="Times New Roman"/>
          <w:szCs w:val="24"/>
        </w:rPr>
        <w:t>Once a</w:t>
      </w:r>
      <w:r w:rsidR="000F737B" w:rsidRPr="000E178C">
        <w:rPr>
          <w:rFonts w:cs="Times New Roman"/>
          <w:szCs w:val="24"/>
        </w:rPr>
        <w:t xml:space="preserve"> plaintiff establishes a prima facie case</w:t>
      </w:r>
      <w:r w:rsidR="002826C6" w:rsidRPr="000E178C">
        <w:rPr>
          <w:rFonts w:cs="Times New Roman"/>
          <w:szCs w:val="24"/>
        </w:rPr>
        <w:t xml:space="preserve">, the burden </w:t>
      </w:r>
      <w:r w:rsidR="000D6F46" w:rsidRPr="000E178C">
        <w:rPr>
          <w:rFonts w:cs="Times New Roman"/>
          <w:szCs w:val="24"/>
        </w:rPr>
        <w:t>shifts</w:t>
      </w:r>
      <w:r w:rsidR="002826C6" w:rsidRPr="000E178C">
        <w:rPr>
          <w:rFonts w:cs="Times New Roman"/>
          <w:szCs w:val="24"/>
        </w:rPr>
        <w:t xml:space="preserve"> to the defendant to rebut one or</w:t>
      </w:r>
      <w:r w:rsidR="004E546E" w:rsidRPr="000E178C">
        <w:rPr>
          <w:rFonts w:cs="Times New Roman"/>
          <w:szCs w:val="24"/>
        </w:rPr>
        <w:t xml:space="preserve"> more</w:t>
      </w:r>
      <w:r w:rsidR="002826C6" w:rsidRPr="000E178C">
        <w:rPr>
          <w:rFonts w:cs="Times New Roman"/>
          <w:szCs w:val="24"/>
        </w:rPr>
        <w:t xml:space="preserve"> elements of the </w:t>
      </w:r>
      <w:r w:rsidR="00AC4D64" w:rsidRPr="000E178C">
        <w:rPr>
          <w:rFonts w:cs="Times New Roman"/>
          <w:szCs w:val="24"/>
        </w:rPr>
        <w:t>case or</w:t>
      </w:r>
      <w:r w:rsidR="002826C6" w:rsidRPr="000E178C">
        <w:rPr>
          <w:rFonts w:cs="Times New Roman"/>
          <w:szCs w:val="24"/>
        </w:rPr>
        <w:t xml:space="preserve"> </w:t>
      </w:r>
      <w:r w:rsidR="000D6F46" w:rsidRPr="000E178C">
        <w:rPr>
          <w:rFonts w:cs="Times New Roman"/>
          <w:szCs w:val="24"/>
        </w:rPr>
        <w:t xml:space="preserve">establish an affirmative defense such as undue hardship. </w:t>
      </w:r>
      <w:r w:rsidR="000D6F46" w:rsidRPr="000E178C">
        <w:rPr>
          <w:rFonts w:cs="Times New Roman"/>
          <w:i/>
          <w:szCs w:val="24"/>
        </w:rPr>
        <w:t>Punt</w:t>
      </w:r>
      <w:r w:rsidR="000D6F46" w:rsidRPr="000E178C">
        <w:rPr>
          <w:rFonts w:cs="Times New Roman"/>
          <w:szCs w:val="24"/>
        </w:rPr>
        <w:t xml:space="preserve">, 862 F.3d at 1050. </w:t>
      </w:r>
      <w:r w:rsidR="009E3B22" w:rsidRPr="000E178C">
        <w:rPr>
          <w:rFonts w:cs="Times New Roman"/>
          <w:szCs w:val="24"/>
        </w:rPr>
        <w:t xml:space="preserve">Failure to accommodate does not require discriminatory intent. </w:t>
      </w:r>
      <w:r w:rsidR="000D6F46" w:rsidRPr="000E178C">
        <w:rPr>
          <w:rFonts w:cs="Times New Roman"/>
          <w:i/>
          <w:szCs w:val="24"/>
        </w:rPr>
        <w:t>Id.</w:t>
      </w:r>
      <w:r w:rsidR="009E3B22" w:rsidRPr="000E178C">
        <w:rPr>
          <w:rFonts w:cs="Times New Roman"/>
          <w:szCs w:val="24"/>
        </w:rPr>
        <w:t xml:space="preserve"> </w:t>
      </w:r>
      <w:r w:rsidR="006A3A9E" w:rsidRPr="000E178C">
        <w:rPr>
          <w:rFonts w:cs="Times New Roman"/>
          <w:szCs w:val="24"/>
        </w:rPr>
        <w:t>Under</w:t>
      </w:r>
      <w:r w:rsidR="00216171" w:rsidRPr="000E178C">
        <w:rPr>
          <w:rFonts w:cs="Times New Roman"/>
          <w:szCs w:val="24"/>
        </w:rPr>
        <w:t xml:space="preserve"> any of the tests, it can be shown that SSS failed to acc</w:t>
      </w:r>
      <w:r w:rsidR="005319C4" w:rsidRPr="000E178C">
        <w:rPr>
          <w:rFonts w:cs="Times New Roman"/>
          <w:szCs w:val="24"/>
        </w:rPr>
        <w:t>ommodate Mr. Hernandez.</w:t>
      </w:r>
      <w:r w:rsidR="00216171" w:rsidRPr="000E178C">
        <w:rPr>
          <w:rFonts w:cs="Times New Roman"/>
          <w:szCs w:val="24"/>
        </w:rPr>
        <w:t xml:space="preserve"> </w:t>
      </w:r>
    </w:p>
    <w:p w14:paraId="5323CCA4" w14:textId="38312C56" w:rsidR="00C31433" w:rsidRPr="000E178C" w:rsidRDefault="00C31433" w:rsidP="002A7483">
      <w:pPr>
        <w:rPr>
          <w:rFonts w:cs="Times New Roman"/>
          <w:szCs w:val="24"/>
        </w:rPr>
      </w:pPr>
      <w:commentRangeStart w:id="21"/>
      <w:r w:rsidRPr="000E178C">
        <w:rPr>
          <w:rFonts w:cs="Times New Roman"/>
          <w:szCs w:val="24"/>
        </w:rPr>
        <w:t xml:space="preserve">A qualified individual </w:t>
      </w:r>
      <w:r w:rsidR="00C5219C" w:rsidRPr="000E178C">
        <w:rPr>
          <w:rFonts w:cs="Times New Roman"/>
          <w:szCs w:val="24"/>
        </w:rPr>
        <w:t xml:space="preserve">satisfies the </w:t>
      </w:r>
      <w:r w:rsidR="00193048" w:rsidRPr="000E178C">
        <w:rPr>
          <w:rFonts w:cs="Times New Roman"/>
          <w:szCs w:val="24"/>
        </w:rPr>
        <w:t>requisite</w:t>
      </w:r>
      <w:r w:rsidR="00C5219C" w:rsidRPr="000E178C">
        <w:rPr>
          <w:rFonts w:cs="Times New Roman"/>
          <w:szCs w:val="24"/>
        </w:rPr>
        <w:t xml:space="preserve"> skill, experience, education and other </w:t>
      </w:r>
      <w:r w:rsidR="00467017" w:rsidRPr="000E178C">
        <w:rPr>
          <w:rFonts w:cs="Times New Roman"/>
          <w:szCs w:val="24"/>
        </w:rPr>
        <w:t xml:space="preserve">job requirements. 29 C.F.R. § 1630.2(m). </w:t>
      </w:r>
      <w:r w:rsidR="004F2C28" w:rsidRPr="000E178C">
        <w:rPr>
          <w:rFonts w:cs="Times New Roman"/>
          <w:szCs w:val="24"/>
        </w:rPr>
        <w:t>A</w:t>
      </w:r>
      <w:r w:rsidR="00CA4BDD" w:rsidRPr="000E178C">
        <w:rPr>
          <w:rFonts w:cs="Times New Roman"/>
          <w:szCs w:val="24"/>
        </w:rPr>
        <w:t xml:space="preserve"> two-part analysis </w:t>
      </w:r>
      <w:r w:rsidR="004F2C28" w:rsidRPr="000E178C">
        <w:rPr>
          <w:rFonts w:cs="Times New Roman"/>
          <w:szCs w:val="24"/>
        </w:rPr>
        <w:t xml:space="preserve">is used </w:t>
      </w:r>
      <w:r w:rsidR="00CA4BDD" w:rsidRPr="000E178C">
        <w:rPr>
          <w:rFonts w:cs="Times New Roman"/>
          <w:szCs w:val="24"/>
        </w:rPr>
        <w:t>to determine whether a person is qualified under the ADA</w:t>
      </w:r>
      <w:r w:rsidR="00666221" w:rsidRPr="000E178C">
        <w:rPr>
          <w:rFonts w:cs="Times New Roman"/>
          <w:szCs w:val="24"/>
        </w:rPr>
        <w:t xml:space="preserve">: </w:t>
      </w:r>
      <w:r w:rsidR="00997F64" w:rsidRPr="000E178C">
        <w:rPr>
          <w:rFonts w:cs="Times New Roman"/>
          <w:szCs w:val="24"/>
        </w:rPr>
        <w:t xml:space="preserve">(1) </w:t>
      </w:r>
      <w:r w:rsidR="00666221" w:rsidRPr="000E178C">
        <w:rPr>
          <w:rFonts w:cs="Times New Roman"/>
          <w:color w:val="000000"/>
          <w:szCs w:val="24"/>
        </w:rPr>
        <w:t>the court determines whether the individual can perform the essential function</w:t>
      </w:r>
      <w:r w:rsidR="001A7CDB" w:rsidRPr="000E178C">
        <w:rPr>
          <w:rFonts w:cs="Times New Roman"/>
          <w:color w:val="000000"/>
          <w:szCs w:val="24"/>
        </w:rPr>
        <w:t>s</w:t>
      </w:r>
      <w:r w:rsidR="00666221" w:rsidRPr="000E178C">
        <w:rPr>
          <w:rFonts w:cs="Times New Roman"/>
          <w:color w:val="000000"/>
          <w:szCs w:val="24"/>
        </w:rPr>
        <w:t xml:space="preserve"> of the job</w:t>
      </w:r>
      <w:r w:rsidR="00997F64" w:rsidRPr="000E178C">
        <w:rPr>
          <w:rFonts w:cs="Times New Roman"/>
          <w:color w:val="000000"/>
          <w:szCs w:val="24"/>
        </w:rPr>
        <w:t>; and (2)</w:t>
      </w:r>
      <w:r w:rsidR="00666221" w:rsidRPr="000E178C">
        <w:rPr>
          <w:rFonts w:cs="Times New Roman"/>
          <w:color w:val="000000"/>
          <w:szCs w:val="24"/>
        </w:rPr>
        <w:t xml:space="preserve"> if </w:t>
      </w:r>
      <w:r w:rsidR="00A17612" w:rsidRPr="000E178C">
        <w:rPr>
          <w:rFonts w:cs="Times New Roman"/>
          <w:color w:val="000000"/>
          <w:szCs w:val="24"/>
        </w:rPr>
        <w:t xml:space="preserve">(and only if) </w:t>
      </w:r>
      <w:r w:rsidR="00666221" w:rsidRPr="000E178C">
        <w:rPr>
          <w:rFonts w:cs="Times New Roman"/>
          <w:color w:val="000000"/>
          <w:szCs w:val="24"/>
        </w:rPr>
        <w:t xml:space="preserve">the individual </w:t>
      </w:r>
      <w:r w:rsidR="001A7CDB" w:rsidRPr="000E178C">
        <w:rPr>
          <w:rFonts w:cs="Times New Roman"/>
          <w:color w:val="000000"/>
          <w:szCs w:val="24"/>
        </w:rPr>
        <w:t>cannot</w:t>
      </w:r>
      <w:r w:rsidR="00666221" w:rsidRPr="000E178C">
        <w:rPr>
          <w:rFonts w:cs="Times New Roman"/>
          <w:color w:val="000000"/>
          <w:szCs w:val="24"/>
        </w:rPr>
        <w:t xml:space="preserve">, </w:t>
      </w:r>
      <w:r w:rsidR="001A7CDB" w:rsidRPr="000E178C">
        <w:rPr>
          <w:rFonts w:cs="Times New Roman"/>
          <w:color w:val="000000"/>
          <w:szCs w:val="24"/>
        </w:rPr>
        <w:t xml:space="preserve">the </w:t>
      </w:r>
      <w:r w:rsidR="004D279B" w:rsidRPr="000E178C">
        <w:rPr>
          <w:rFonts w:cs="Times New Roman"/>
          <w:color w:val="000000"/>
          <w:szCs w:val="24"/>
        </w:rPr>
        <w:t>Court</w:t>
      </w:r>
      <w:r w:rsidR="00666221" w:rsidRPr="000E178C">
        <w:rPr>
          <w:rFonts w:cs="Times New Roman"/>
          <w:color w:val="000000"/>
          <w:szCs w:val="24"/>
        </w:rPr>
        <w:t xml:space="preserve"> must determine whether any reasonable accommodation by the employer would allow the employee to perform those functions.</w:t>
      </w:r>
      <w:r w:rsidR="0090263B" w:rsidRPr="000E178C">
        <w:rPr>
          <w:rFonts w:cs="Times New Roman"/>
          <w:i/>
          <w:color w:val="000000"/>
          <w:szCs w:val="24"/>
        </w:rPr>
        <w:t xml:space="preserve"> Davidson v. Am. Online, Inc.</w:t>
      </w:r>
      <w:r w:rsidR="0090263B" w:rsidRPr="000E178C">
        <w:rPr>
          <w:rFonts w:cs="Times New Roman"/>
          <w:color w:val="000000"/>
          <w:szCs w:val="24"/>
        </w:rPr>
        <w:t>, 337 F.3d 1179, 1190 (10th Cir. 2003) (</w:t>
      </w:r>
      <w:r w:rsidR="00905B33" w:rsidRPr="000E178C">
        <w:rPr>
          <w:rFonts w:cs="Times New Roman"/>
          <w:color w:val="000000"/>
          <w:szCs w:val="24"/>
        </w:rPr>
        <w:t>finding</w:t>
      </w:r>
      <w:r w:rsidR="00C00593" w:rsidRPr="000E178C">
        <w:rPr>
          <w:rFonts w:cs="Times New Roman"/>
          <w:color w:val="000000"/>
          <w:szCs w:val="24"/>
        </w:rPr>
        <w:t xml:space="preserve"> a genuine issue of material fact whether </w:t>
      </w:r>
      <w:r w:rsidR="00577007" w:rsidRPr="000E178C">
        <w:rPr>
          <w:rFonts w:cs="Times New Roman"/>
          <w:color w:val="000000"/>
          <w:szCs w:val="24"/>
        </w:rPr>
        <w:t>“</w:t>
      </w:r>
      <w:proofErr w:type="spellStart"/>
      <w:r w:rsidR="00C00593" w:rsidRPr="000E178C">
        <w:rPr>
          <w:rFonts w:cs="Times New Roman"/>
          <w:color w:val="000000"/>
          <w:szCs w:val="24"/>
        </w:rPr>
        <w:t>voicephone</w:t>
      </w:r>
      <w:proofErr w:type="spellEnd"/>
      <w:r w:rsidR="00577007" w:rsidRPr="000E178C">
        <w:rPr>
          <w:rFonts w:cs="Times New Roman"/>
          <w:color w:val="000000"/>
          <w:szCs w:val="24"/>
        </w:rPr>
        <w:t>”</w:t>
      </w:r>
      <w:r w:rsidR="00C00593" w:rsidRPr="000E178C">
        <w:rPr>
          <w:rFonts w:cs="Times New Roman"/>
          <w:color w:val="000000"/>
          <w:szCs w:val="24"/>
        </w:rPr>
        <w:t xml:space="preserve"> experience was essential function of non-voice phone positions</w:t>
      </w:r>
      <w:r w:rsidR="001E0902" w:rsidRPr="000E178C">
        <w:rPr>
          <w:rFonts w:cs="Times New Roman"/>
          <w:color w:val="000000"/>
          <w:szCs w:val="24"/>
        </w:rPr>
        <w:t xml:space="preserve">). </w:t>
      </w:r>
      <w:r w:rsidR="0090263B" w:rsidRPr="000E178C">
        <w:rPr>
          <w:rFonts w:cs="Times New Roman"/>
          <w:color w:val="000000"/>
          <w:szCs w:val="24"/>
        </w:rPr>
        <w:t xml:space="preserve"> </w:t>
      </w:r>
      <w:r w:rsidR="004F14F3" w:rsidRPr="000E178C">
        <w:rPr>
          <w:rFonts w:cs="Times New Roman"/>
          <w:color w:val="000000"/>
          <w:szCs w:val="24"/>
        </w:rPr>
        <w:t>Here, Mr. Hernandez</w:t>
      </w:r>
      <w:r w:rsidR="00847390" w:rsidRPr="000E178C">
        <w:rPr>
          <w:rFonts w:cs="Times New Roman"/>
          <w:color w:val="000000"/>
          <w:szCs w:val="24"/>
        </w:rPr>
        <w:t xml:space="preserve"> has strong analytical abilities</w:t>
      </w:r>
      <w:r w:rsidR="001917DE" w:rsidRPr="000E178C">
        <w:rPr>
          <w:rFonts w:cs="Times New Roman"/>
          <w:color w:val="000000"/>
          <w:szCs w:val="24"/>
        </w:rPr>
        <w:t xml:space="preserve">, </w:t>
      </w:r>
      <w:r w:rsidR="005F3081" w:rsidRPr="000E178C">
        <w:rPr>
          <w:rFonts w:cs="Times New Roman"/>
          <w:color w:val="000000"/>
          <w:szCs w:val="24"/>
        </w:rPr>
        <w:t>was</w:t>
      </w:r>
      <w:r w:rsidR="00706B49" w:rsidRPr="000E178C">
        <w:rPr>
          <w:rFonts w:cs="Times New Roman"/>
          <w:color w:val="000000"/>
          <w:szCs w:val="24"/>
        </w:rPr>
        <w:t xml:space="preserve"> an important member of a team</w:t>
      </w:r>
      <w:r w:rsidR="005F3081" w:rsidRPr="000E178C">
        <w:rPr>
          <w:rFonts w:cs="Times New Roman"/>
          <w:color w:val="000000"/>
          <w:szCs w:val="24"/>
        </w:rPr>
        <w:t xml:space="preserve">, </w:t>
      </w:r>
      <w:r w:rsidR="00331103" w:rsidRPr="000E178C">
        <w:rPr>
          <w:rFonts w:cs="Times New Roman"/>
          <w:color w:val="000000"/>
          <w:szCs w:val="24"/>
        </w:rPr>
        <w:t xml:space="preserve">and worked in his position for two years, </w:t>
      </w:r>
      <w:r w:rsidR="00B627FF" w:rsidRPr="000E178C">
        <w:rPr>
          <w:rFonts w:cs="Times New Roman"/>
          <w:color w:val="000000"/>
          <w:szCs w:val="24"/>
        </w:rPr>
        <w:t>show</w:t>
      </w:r>
      <w:r w:rsidR="001917DE" w:rsidRPr="000E178C">
        <w:rPr>
          <w:rFonts w:cs="Times New Roman"/>
          <w:color w:val="000000"/>
          <w:szCs w:val="24"/>
        </w:rPr>
        <w:t>ing</w:t>
      </w:r>
      <w:r w:rsidR="00B627FF" w:rsidRPr="000E178C">
        <w:rPr>
          <w:rFonts w:cs="Times New Roman"/>
          <w:color w:val="000000"/>
          <w:szCs w:val="24"/>
        </w:rPr>
        <w:t xml:space="preserve"> SSS believed him to be qualified</w:t>
      </w:r>
      <w:r w:rsidR="001917DE" w:rsidRPr="000E178C">
        <w:rPr>
          <w:rFonts w:cs="Times New Roman"/>
          <w:color w:val="000000"/>
          <w:szCs w:val="24"/>
        </w:rPr>
        <w:t xml:space="preserve"> and capable of perform</w:t>
      </w:r>
      <w:r w:rsidR="003E2298" w:rsidRPr="000E178C">
        <w:rPr>
          <w:rFonts w:cs="Times New Roman"/>
          <w:color w:val="000000"/>
          <w:szCs w:val="24"/>
        </w:rPr>
        <w:t>ing</w:t>
      </w:r>
      <w:r w:rsidR="001917DE" w:rsidRPr="000E178C">
        <w:rPr>
          <w:rFonts w:cs="Times New Roman"/>
          <w:color w:val="000000"/>
          <w:szCs w:val="24"/>
        </w:rPr>
        <w:t xml:space="preserve"> the essential functions of his position</w:t>
      </w:r>
      <w:r w:rsidR="003E2298" w:rsidRPr="000E178C">
        <w:rPr>
          <w:rFonts w:cs="Times New Roman"/>
          <w:color w:val="000000"/>
          <w:szCs w:val="24"/>
        </w:rPr>
        <w:t xml:space="preserve"> </w:t>
      </w:r>
      <w:r w:rsidR="00050F87" w:rsidRPr="000E178C">
        <w:rPr>
          <w:rFonts w:cs="Times New Roman"/>
          <w:color w:val="000000"/>
          <w:szCs w:val="24"/>
        </w:rPr>
        <w:t>and is not at issue here</w:t>
      </w:r>
      <w:r w:rsidR="00B627FF" w:rsidRPr="000E178C">
        <w:rPr>
          <w:rFonts w:cs="Times New Roman"/>
          <w:color w:val="000000"/>
          <w:szCs w:val="24"/>
        </w:rPr>
        <w:t xml:space="preserve">. </w:t>
      </w:r>
      <w:commentRangeEnd w:id="21"/>
      <w:r w:rsidR="00705F57" w:rsidRPr="000E178C">
        <w:rPr>
          <w:rStyle w:val="CommentReference"/>
          <w:rFonts w:cs="Times New Roman"/>
          <w:sz w:val="24"/>
          <w:szCs w:val="24"/>
        </w:rPr>
        <w:commentReference w:id="21"/>
      </w:r>
    </w:p>
    <w:p w14:paraId="2E38E1A7" w14:textId="389416D7" w:rsidR="00B46775" w:rsidRPr="000E178C" w:rsidRDefault="008F417F" w:rsidP="00B13F66">
      <w:pPr>
        <w:pStyle w:val="Heading3"/>
        <w:numPr>
          <w:ilvl w:val="0"/>
          <w:numId w:val="11"/>
        </w:numPr>
        <w:spacing w:line="240" w:lineRule="auto"/>
        <w:ind w:left="1440" w:hanging="720"/>
        <w:rPr>
          <w:rFonts w:cs="Times New Roman"/>
        </w:rPr>
      </w:pPr>
      <w:bookmarkStart w:id="22" w:name="_Toc509470361"/>
      <w:commentRangeStart w:id="23"/>
      <w:r w:rsidRPr="000E178C">
        <w:rPr>
          <w:rFonts w:cs="Times New Roman"/>
        </w:rPr>
        <w:t xml:space="preserve">Mr. Hernandez </w:t>
      </w:r>
      <w:r w:rsidR="00600D57" w:rsidRPr="000E178C">
        <w:rPr>
          <w:rFonts w:cs="Times New Roman"/>
        </w:rPr>
        <w:t>I</w:t>
      </w:r>
      <w:r w:rsidRPr="000E178C">
        <w:rPr>
          <w:rFonts w:cs="Times New Roman"/>
        </w:rPr>
        <w:t>s Disabled Because Nor</w:t>
      </w:r>
      <w:r w:rsidR="00861069" w:rsidRPr="000E178C">
        <w:rPr>
          <w:rFonts w:cs="Times New Roman"/>
        </w:rPr>
        <w:t xml:space="preserve">mal Cell Growth, Seeing, Concentrating, and Interacting </w:t>
      </w:r>
      <w:r w:rsidR="00B13F66" w:rsidRPr="000E178C">
        <w:rPr>
          <w:rFonts w:cs="Times New Roman"/>
        </w:rPr>
        <w:t>with</w:t>
      </w:r>
      <w:r w:rsidR="00861069" w:rsidRPr="000E178C">
        <w:rPr>
          <w:rFonts w:cs="Times New Roman"/>
        </w:rPr>
        <w:t xml:space="preserve"> Others Are </w:t>
      </w:r>
      <w:r w:rsidR="0062713C" w:rsidRPr="000E178C">
        <w:rPr>
          <w:rFonts w:cs="Times New Roman"/>
        </w:rPr>
        <w:t xml:space="preserve">Major Life Activities </w:t>
      </w:r>
      <w:r w:rsidR="00600D57" w:rsidRPr="000E178C">
        <w:rPr>
          <w:rFonts w:cs="Times New Roman"/>
        </w:rPr>
        <w:t>T</w:t>
      </w:r>
      <w:r w:rsidR="0062713C" w:rsidRPr="000E178C">
        <w:rPr>
          <w:rFonts w:cs="Times New Roman"/>
        </w:rPr>
        <w:t xml:space="preserve">hat Are Impaired by Cancer, and SSS Had Knowledge </w:t>
      </w:r>
      <w:r w:rsidR="00881327" w:rsidRPr="000E178C">
        <w:rPr>
          <w:rFonts w:cs="Times New Roman"/>
        </w:rPr>
        <w:t>of These Impairments</w:t>
      </w:r>
      <w:r w:rsidR="00F6758B" w:rsidRPr="000E178C">
        <w:rPr>
          <w:rFonts w:cs="Times New Roman"/>
        </w:rPr>
        <w:t xml:space="preserve"> </w:t>
      </w:r>
      <w:r w:rsidR="00E567A2" w:rsidRPr="000E178C">
        <w:rPr>
          <w:rFonts w:cs="Times New Roman"/>
        </w:rPr>
        <w:t>as</w:t>
      </w:r>
      <w:r w:rsidR="00F6758B" w:rsidRPr="000E178C">
        <w:rPr>
          <w:rFonts w:cs="Times New Roman"/>
        </w:rPr>
        <w:t xml:space="preserve"> He Told His Supervisor </w:t>
      </w:r>
      <w:r w:rsidR="00AC33E6" w:rsidRPr="000E178C">
        <w:rPr>
          <w:rFonts w:cs="Times New Roman"/>
        </w:rPr>
        <w:t>About Them and His Potential Diagnosis</w:t>
      </w:r>
      <w:r w:rsidR="00881327" w:rsidRPr="000E178C">
        <w:rPr>
          <w:rFonts w:cs="Times New Roman"/>
        </w:rPr>
        <w:t xml:space="preserve">. </w:t>
      </w:r>
      <w:bookmarkEnd w:id="22"/>
      <w:commentRangeEnd w:id="23"/>
      <w:r w:rsidR="00627325">
        <w:rPr>
          <w:rStyle w:val="CommentReference"/>
          <w:rFonts w:eastAsiaTheme="minorHAnsi" w:cstheme="minorBidi"/>
          <w:color w:val="auto"/>
          <w:u w:val="none"/>
        </w:rPr>
        <w:commentReference w:id="23"/>
      </w:r>
      <w:r w:rsidR="00B13F66" w:rsidRPr="000E178C">
        <w:rPr>
          <w:rFonts w:cs="Times New Roman"/>
        </w:rPr>
        <w:br/>
      </w:r>
    </w:p>
    <w:p w14:paraId="59886E51" w14:textId="50E0CA19" w:rsidR="00557BA9" w:rsidRPr="000E178C" w:rsidRDefault="00557BA9" w:rsidP="00557BA9">
      <w:pPr>
        <w:rPr>
          <w:rFonts w:cs="Times New Roman"/>
          <w:color w:val="000000"/>
          <w:szCs w:val="24"/>
        </w:rPr>
      </w:pPr>
      <w:r w:rsidRPr="000E178C">
        <w:rPr>
          <w:rFonts w:cs="Times New Roman"/>
          <w:szCs w:val="24"/>
        </w:rPr>
        <w:t>A disability is a “physical or mental impairment that substantially limits one or more major life activities”, including normal cell growth</w:t>
      </w:r>
      <w:r w:rsidR="00916F27" w:rsidRPr="000E178C">
        <w:rPr>
          <w:rFonts w:cs="Times New Roman"/>
          <w:szCs w:val="24"/>
        </w:rPr>
        <w:t>,</w:t>
      </w:r>
      <w:r w:rsidR="00753C5F" w:rsidRPr="000E178C">
        <w:rPr>
          <w:rFonts w:cs="Times New Roman"/>
          <w:szCs w:val="24"/>
        </w:rPr>
        <w:t xml:space="preserve"> seeing,</w:t>
      </w:r>
      <w:r w:rsidR="00916F27" w:rsidRPr="000E178C">
        <w:rPr>
          <w:rFonts w:cs="Times New Roman"/>
          <w:szCs w:val="24"/>
        </w:rPr>
        <w:t xml:space="preserve"> concentrating, </w:t>
      </w:r>
      <w:r w:rsidR="006513C3" w:rsidRPr="000E178C">
        <w:rPr>
          <w:rFonts w:cs="Times New Roman"/>
          <w:szCs w:val="24"/>
        </w:rPr>
        <w:t>interacting with others, and working</w:t>
      </w:r>
      <w:r w:rsidRPr="000E178C">
        <w:rPr>
          <w:rFonts w:cs="Times New Roman"/>
          <w:szCs w:val="24"/>
        </w:rPr>
        <w:t>. 42 U.S.C. §12102(1)(A)</w:t>
      </w:r>
      <w:r w:rsidR="00706DC2" w:rsidRPr="000E178C">
        <w:rPr>
          <w:rFonts w:cs="Times New Roman"/>
          <w:szCs w:val="24"/>
        </w:rPr>
        <w:t xml:space="preserve">, </w:t>
      </w:r>
      <w:r w:rsidRPr="000E178C">
        <w:rPr>
          <w:rFonts w:cs="Times New Roman"/>
          <w:szCs w:val="24"/>
        </w:rPr>
        <w:t>(2)(B)</w:t>
      </w:r>
      <w:r w:rsidR="00753C5F" w:rsidRPr="000E178C">
        <w:rPr>
          <w:rFonts w:cs="Times New Roman"/>
          <w:szCs w:val="24"/>
        </w:rPr>
        <w:t xml:space="preserve">; </w:t>
      </w:r>
      <w:r w:rsidR="003E6633" w:rsidRPr="000E178C">
        <w:rPr>
          <w:rFonts w:cs="Times New Roman"/>
          <w:szCs w:val="24"/>
        </w:rPr>
        <w:t>29 C.F.R. § 1630.2</w:t>
      </w:r>
      <w:r w:rsidR="00D72B9F" w:rsidRPr="000E178C">
        <w:rPr>
          <w:rFonts w:cs="Times New Roman"/>
          <w:szCs w:val="24"/>
        </w:rPr>
        <w:t>(h)(1)</w:t>
      </w:r>
      <w:r w:rsidR="00A071AE" w:rsidRPr="000E178C">
        <w:rPr>
          <w:rFonts w:cs="Times New Roman"/>
          <w:szCs w:val="24"/>
        </w:rPr>
        <w:t>.</w:t>
      </w:r>
      <w:r w:rsidR="00706DC2" w:rsidRPr="000E178C">
        <w:rPr>
          <w:rFonts w:cs="Times New Roman"/>
          <w:szCs w:val="24"/>
        </w:rPr>
        <w:t xml:space="preserve"> </w:t>
      </w:r>
      <w:r w:rsidR="00DD182B" w:rsidRPr="000E178C">
        <w:rPr>
          <w:rFonts w:cs="Times New Roman"/>
          <w:szCs w:val="24"/>
        </w:rPr>
        <w:t xml:space="preserve">In bringing a prima facie case, </w:t>
      </w:r>
      <w:r w:rsidR="00DB0E03" w:rsidRPr="000E178C">
        <w:rPr>
          <w:rFonts w:cs="Times New Roman"/>
          <w:szCs w:val="24"/>
        </w:rPr>
        <w:t>employees</w:t>
      </w:r>
      <w:r w:rsidR="00DD182B" w:rsidRPr="000E178C">
        <w:rPr>
          <w:rFonts w:cs="Times New Roman"/>
          <w:szCs w:val="24"/>
        </w:rPr>
        <w:t xml:space="preserve"> must show </w:t>
      </w:r>
      <w:r w:rsidR="004D03DC" w:rsidRPr="000E178C">
        <w:rPr>
          <w:rFonts w:cs="Times New Roman"/>
          <w:szCs w:val="24"/>
        </w:rPr>
        <w:t xml:space="preserve">substantial limitations on major life activities, but not inabilities. </w:t>
      </w:r>
      <w:r w:rsidR="004431CB" w:rsidRPr="000E178C">
        <w:rPr>
          <w:rStyle w:val="Emphasis"/>
          <w:rFonts w:cs="Times New Roman"/>
          <w:szCs w:val="24"/>
        </w:rPr>
        <w:t xml:space="preserve">Albertson's, Inc. v. </w:t>
      </w:r>
      <w:proofErr w:type="spellStart"/>
      <w:r w:rsidR="004431CB" w:rsidRPr="000E178C">
        <w:rPr>
          <w:rStyle w:val="Emphasis"/>
          <w:rFonts w:cs="Times New Roman"/>
          <w:szCs w:val="24"/>
        </w:rPr>
        <w:t>Kirkingburg</w:t>
      </w:r>
      <w:proofErr w:type="spellEnd"/>
      <w:r w:rsidR="004431CB" w:rsidRPr="000E178C">
        <w:rPr>
          <w:rStyle w:val="Emphasis"/>
          <w:rFonts w:cs="Times New Roman"/>
          <w:szCs w:val="24"/>
        </w:rPr>
        <w:t>,</w:t>
      </w:r>
      <w:r w:rsidR="004431CB" w:rsidRPr="000E178C">
        <w:rPr>
          <w:rFonts w:cs="Times New Roman"/>
          <w:szCs w:val="24"/>
        </w:rPr>
        <w:t> 527 U.S. 555, 565 (1999)</w:t>
      </w:r>
      <w:r w:rsidR="006067A1" w:rsidRPr="000E178C">
        <w:rPr>
          <w:rFonts w:cs="Times New Roman"/>
          <w:szCs w:val="24"/>
        </w:rPr>
        <w:t xml:space="preserve"> (holding </w:t>
      </w:r>
      <w:r w:rsidR="006419D6" w:rsidRPr="000E178C">
        <w:rPr>
          <w:rFonts w:cs="Times New Roman"/>
          <w:szCs w:val="24"/>
        </w:rPr>
        <w:t>that</w:t>
      </w:r>
      <w:r w:rsidR="00063328" w:rsidRPr="000E178C">
        <w:rPr>
          <w:rFonts w:cs="Times New Roman"/>
          <w:szCs w:val="24"/>
        </w:rPr>
        <w:t xml:space="preserve"> vision that was effectively monocular was a substantial </w:t>
      </w:r>
      <w:r w:rsidR="00CC00EB" w:rsidRPr="000E178C">
        <w:rPr>
          <w:rFonts w:cs="Times New Roman"/>
          <w:szCs w:val="24"/>
        </w:rPr>
        <w:t>limitation</w:t>
      </w:r>
      <w:r w:rsidR="006067A1" w:rsidRPr="000E178C">
        <w:rPr>
          <w:rFonts w:cs="Times New Roman"/>
          <w:szCs w:val="24"/>
        </w:rPr>
        <w:t>)</w:t>
      </w:r>
      <w:r w:rsidR="004431CB" w:rsidRPr="000E178C">
        <w:rPr>
          <w:rFonts w:cs="Times New Roman"/>
          <w:szCs w:val="24"/>
        </w:rPr>
        <w:t xml:space="preserve">. </w:t>
      </w:r>
      <w:r w:rsidR="00E92634" w:rsidRPr="000E178C">
        <w:rPr>
          <w:rFonts w:cs="Times New Roman"/>
          <w:szCs w:val="24"/>
        </w:rPr>
        <w:t xml:space="preserve">Three factors are considered when determining </w:t>
      </w:r>
      <w:r w:rsidR="00115BCE" w:rsidRPr="000E178C">
        <w:rPr>
          <w:rFonts w:cs="Times New Roman"/>
          <w:szCs w:val="24"/>
        </w:rPr>
        <w:t xml:space="preserve">a substantially limited </w:t>
      </w:r>
      <w:r w:rsidR="00A15FD2" w:rsidRPr="000E178C">
        <w:rPr>
          <w:rFonts w:cs="Times New Roman"/>
          <w:szCs w:val="24"/>
        </w:rPr>
        <w:t>impairment</w:t>
      </w:r>
      <w:r w:rsidR="00115BCE" w:rsidRPr="000E178C">
        <w:rPr>
          <w:rFonts w:cs="Times New Roman"/>
          <w:szCs w:val="24"/>
        </w:rPr>
        <w:t xml:space="preserve">: (1) its nature and severity, (2) how long it will last or is expected to last, and (3) its permanent or </w:t>
      </w:r>
      <w:r w:rsidR="00107B75" w:rsidRPr="000E178C">
        <w:rPr>
          <w:rFonts w:cs="Times New Roman"/>
          <w:szCs w:val="24"/>
        </w:rPr>
        <w:t>long-term</w:t>
      </w:r>
      <w:r w:rsidR="00115BCE" w:rsidRPr="000E178C">
        <w:rPr>
          <w:rFonts w:cs="Times New Roman"/>
          <w:szCs w:val="24"/>
        </w:rPr>
        <w:t xml:space="preserve"> </w:t>
      </w:r>
      <w:r w:rsidR="00A15FD2" w:rsidRPr="000E178C">
        <w:rPr>
          <w:rFonts w:cs="Times New Roman"/>
          <w:szCs w:val="24"/>
        </w:rPr>
        <w:t>impact or</w:t>
      </w:r>
      <w:r w:rsidR="00115BCE" w:rsidRPr="000E178C">
        <w:rPr>
          <w:rFonts w:cs="Times New Roman"/>
          <w:szCs w:val="24"/>
        </w:rPr>
        <w:t xml:space="preserve"> expected impact. 29 C.F.R. § 1630.2(j)(2)</w:t>
      </w:r>
      <w:r w:rsidR="00107B75" w:rsidRPr="000E178C">
        <w:rPr>
          <w:rFonts w:cs="Times New Roman"/>
          <w:szCs w:val="24"/>
        </w:rPr>
        <w:t xml:space="preserve">; </w:t>
      </w:r>
      <w:r w:rsidR="00107B75" w:rsidRPr="000E178C">
        <w:rPr>
          <w:rFonts w:cs="Times New Roman"/>
          <w:i/>
          <w:szCs w:val="24"/>
        </w:rPr>
        <w:t xml:space="preserve">Dutton v. Johnson </w:t>
      </w:r>
      <w:proofErr w:type="spellStart"/>
      <w:r w:rsidR="00107B75" w:rsidRPr="000E178C">
        <w:rPr>
          <w:rFonts w:cs="Times New Roman"/>
          <w:i/>
          <w:szCs w:val="24"/>
        </w:rPr>
        <w:t>Cty</w:t>
      </w:r>
      <w:proofErr w:type="spellEnd"/>
      <w:r w:rsidR="00107B75" w:rsidRPr="000E178C">
        <w:rPr>
          <w:rFonts w:cs="Times New Roman"/>
          <w:i/>
          <w:szCs w:val="24"/>
        </w:rPr>
        <w:t xml:space="preserve">. Bd. of </w:t>
      </w:r>
      <w:proofErr w:type="spellStart"/>
      <w:r w:rsidR="00107B75" w:rsidRPr="000E178C">
        <w:rPr>
          <w:rFonts w:cs="Times New Roman"/>
          <w:i/>
          <w:szCs w:val="24"/>
        </w:rPr>
        <w:t>Cty</w:t>
      </w:r>
      <w:proofErr w:type="spellEnd"/>
      <w:r w:rsidR="00107B75" w:rsidRPr="000E178C">
        <w:rPr>
          <w:rFonts w:cs="Times New Roman"/>
          <w:i/>
          <w:szCs w:val="24"/>
        </w:rPr>
        <w:t>. Comm'rs</w:t>
      </w:r>
      <w:r w:rsidR="00107B75" w:rsidRPr="000E178C">
        <w:rPr>
          <w:rFonts w:cs="Times New Roman"/>
          <w:szCs w:val="24"/>
        </w:rPr>
        <w:t>, 859 F. Supp. 498, 506 (D. Kan. 1994)</w:t>
      </w:r>
      <w:r w:rsidR="00115BCE" w:rsidRPr="000E178C">
        <w:rPr>
          <w:rFonts w:cs="Times New Roman"/>
          <w:szCs w:val="24"/>
        </w:rPr>
        <w:t xml:space="preserve">. </w:t>
      </w:r>
      <w:r w:rsidR="00673C57" w:rsidRPr="000E178C">
        <w:rPr>
          <w:rFonts w:cs="Times New Roman"/>
          <w:szCs w:val="24"/>
        </w:rPr>
        <w:t xml:space="preserve">Cancer substantially limits normal cell growth, even in remission. 29 C.F.R. § 1630.2 (j)(1)(vii) &amp; (3)(iii). </w:t>
      </w:r>
      <w:r w:rsidR="001F4821" w:rsidRPr="000E178C">
        <w:rPr>
          <w:rFonts w:cs="Times New Roman"/>
          <w:szCs w:val="24"/>
        </w:rPr>
        <w:t xml:space="preserve">Employers must know of the disability to accommodate it. </w:t>
      </w:r>
      <w:r w:rsidR="001F4821" w:rsidRPr="000E178C">
        <w:rPr>
          <w:rFonts w:cs="Times New Roman"/>
          <w:color w:val="000000"/>
          <w:szCs w:val="24"/>
        </w:rPr>
        <w:t>29 C.F.R. § 1630.9</w:t>
      </w:r>
      <w:r w:rsidR="009B7A27" w:rsidRPr="000E178C">
        <w:rPr>
          <w:rFonts w:cs="Times New Roman"/>
          <w:color w:val="000000"/>
          <w:szCs w:val="24"/>
        </w:rPr>
        <w:t>(a)</w:t>
      </w:r>
      <w:r w:rsidR="00C91E65" w:rsidRPr="000E178C">
        <w:rPr>
          <w:rFonts w:cs="Times New Roman"/>
          <w:color w:val="000000"/>
          <w:szCs w:val="24"/>
        </w:rPr>
        <w:t>;</w:t>
      </w:r>
      <w:r w:rsidR="00C41925" w:rsidRPr="000E178C">
        <w:rPr>
          <w:rFonts w:cs="Times New Roman"/>
          <w:szCs w:val="24"/>
        </w:rPr>
        <w:t xml:space="preserve"> </w:t>
      </w:r>
      <w:r w:rsidR="00D26635" w:rsidRPr="000E178C">
        <w:rPr>
          <w:rFonts w:cs="Times New Roman"/>
          <w:i/>
          <w:szCs w:val="24"/>
        </w:rPr>
        <w:t>Spielman</w:t>
      </w:r>
      <w:r w:rsidR="00D26635" w:rsidRPr="000E178C">
        <w:rPr>
          <w:rFonts w:cs="Times New Roman"/>
          <w:szCs w:val="24"/>
        </w:rPr>
        <w:t xml:space="preserve">, 33 F. </w:t>
      </w:r>
      <w:proofErr w:type="spellStart"/>
      <w:r w:rsidR="00D26635" w:rsidRPr="000E178C">
        <w:rPr>
          <w:rFonts w:cs="Times New Roman"/>
          <w:szCs w:val="24"/>
        </w:rPr>
        <w:t>App'x</w:t>
      </w:r>
      <w:proofErr w:type="spellEnd"/>
      <w:r w:rsidR="00D26635" w:rsidRPr="000E178C">
        <w:rPr>
          <w:rFonts w:cs="Times New Roman"/>
          <w:szCs w:val="24"/>
        </w:rPr>
        <w:t xml:space="preserve"> at </w:t>
      </w:r>
      <w:r w:rsidR="006A5E8D" w:rsidRPr="000E178C">
        <w:rPr>
          <w:rFonts w:cs="Times New Roman"/>
          <w:szCs w:val="24"/>
        </w:rPr>
        <w:t>441 – 43</w:t>
      </w:r>
      <w:r w:rsidR="00D26635" w:rsidRPr="000E178C">
        <w:rPr>
          <w:rFonts w:cs="Times New Roman"/>
          <w:i/>
          <w:szCs w:val="24"/>
        </w:rPr>
        <w:t xml:space="preserve"> </w:t>
      </w:r>
      <w:r w:rsidR="00684997" w:rsidRPr="000E178C">
        <w:rPr>
          <w:rFonts w:cs="Times New Roman"/>
          <w:color w:val="000000"/>
          <w:szCs w:val="24"/>
        </w:rPr>
        <w:t xml:space="preserve">(ruling that </w:t>
      </w:r>
      <w:r w:rsidR="00CC2B13" w:rsidRPr="000E178C">
        <w:rPr>
          <w:rFonts w:cs="Times New Roman"/>
          <w:color w:val="000000"/>
          <w:szCs w:val="24"/>
        </w:rPr>
        <w:t>a request for intermittent leave</w:t>
      </w:r>
      <w:r w:rsidR="007661CF" w:rsidRPr="000E178C">
        <w:rPr>
          <w:rFonts w:cs="Times New Roman"/>
          <w:color w:val="000000"/>
          <w:szCs w:val="24"/>
        </w:rPr>
        <w:t xml:space="preserve"> for scleroderma for doctor appointments and testing</w:t>
      </w:r>
      <w:r w:rsidR="006A5E8D" w:rsidRPr="000E178C">
        <w:rPr>
          <w:rFonts w:cs="Times New Roman"/>
          <w:color w:val="000000"/>
          <w:szCs w:val="24"/>
        </w:rPr>
        <w:t xml:space="preserve"> was sufficient give employer knowledge</w:t>
      </w:r>
      <w:r w:rsidR="007A5D5E" w:rsidRPr="000E178C">
        <w:rPr>
          <w:rFonts w:cs="Times New Roman"/>
          <w:color w:val="000000"/>
          <w:szCs w:val="24"/>
        </w:rPr>
        <w:t xml:space="preserve">); </w:t>
      </w:r>
      <w:proofErr w:type="spellStart"/>
      <w:r w:rsidR="001A0650" w:rsidRPr="000E178C">
        <w:rPr>
          <w:rFonts w:cs="Times New Roman"/>
          <w:i/>
          <w:color w:val="000000"/>
          <w:szCs w:val="24"/>
        </w:rPr>
        <w:t>Freadman</w:t>
      </w:r>
      <w:proofErr w:type="spellEnd"/>
      <w:r w:rsidR="001A0650" w:rsidRPr="000E178C">
        <w:rPr>
          <w:rFonts w:cs="Times New Roman"/>
          <w:i/>
          <w:color w:val="000000"/>
          <w:szCs w:val="24"/>
        </w:rPr>
        <w:t xml:space="preserve"> v. Metro. Prop. &amp; Cas. Ins. Co</w:t>
      </w:r>
      <w:r w:rsidR="001A0650" w:rsidRPr="000E178C">
        <w:rPr>
          <w:rFonts w:cs="Times New Roman"/>
          <w:color w:val="000000"/>
          <w:szCs w:val="24"/>
        </w:rPr>
        <w:t>., 484 F.3d 91, 103 (1st Cir. 2007)</w:t>
      </w:r>
      <w:r w:rsidR="001A0650" w:rsidRPr="000E178C">
        <w:rPr>
          <w:rFonts w:cs="Times New Roman"/>
          <w:i/>
          <w:color w:val="000000"/>
          <w:szCs w:val="24"/>
        </w:rPr>
        <w:t xml:space="preserve"> </w:t>
      </w:r>
      <w:r w:rsidR="00523755" w:rsidRPr="000E178C">
        <w:rPr>
          <w:rFonts w:eastAsia="Times New Roman" w:cs="Times New Roman"/>
          <w:color w:val="000000"/>
          <w:szCs w:val="24"/>
        </w:rPr>
        <w:t>(</w:t>
      </w:r>
      <w:r w:rsidR="0007114A" w:rsidRPr="000E178C">
        <w:rPr>
          <w:rFonts w:eastAsia="Times New Roman" w:cs="Times New Roman"/>
          <w:color w:val="000000"/>
          <w:szCs w:val="24"/>
        </w:rPr>
        <w:t xml:space="preserve">holding that </w:t>
      </w:r>
      <w:r w:rsidR="00AF21DF" w:rsidRPr="000E178C">
        <w:rPr>
          <w:rFonts w:eastAsia="Times New Roman" w:cs="Times New Roman"/>
          <w:color w:val="000000"/>
          <w:szCs w:val="24"/>
        </w:rPr>
        <w:t xml:space="preserve">a request to take time off </w:t>
      </w:r>
      <w:r w:rsidR="006A0DE8" w:rsidRPr="000E178C">
        <w:rPr>
          <w:rFonts w:eastAsia="Times New Roman" w:cs="Times New Roman"/>
          <w:color w:val="000000"/>
          <w:szCs w:val="24"/>
        </w:rPr>
        <w:t xml:space="preserve">because the employee was starting to not feel well was </w:t>
      </w:r>
      <w:r w:rsidR="006B0BA8" w:rsidRPr="000E178C">
        <w:rPr>
          <w:rFonts w:eastAsia="Times New Roman" w:cs="Times New Roman"/>
          <w:color w:val="000000"/>
          <w:szCs w:val="24"/>
        </w:rPr>
        <w:t>not sufficient for the employer to know it was referring to employee’s disability)</w:t>
      </w:r>
      <w:r w:rsidR="00737E59" w:rsidRPr="000E178C">
        <w:rPr>
          <w:rFonts w:eastAsia="Times New Roman" w:cs="Times New Roman"/>
          <w:color w:val="000000"/>
          <w:szCs w:val="24"/>
        </w:rPr>
        <w:t xml:space="preserve">. The First Circuit </w:t>
      </w:r>
      <w:r w:rsidR="00304D10" w:rsidRPr="000E178C">
        <w:rPr>
          <w:rFonts w:eastAsia="Times New Roman" w:cs="Times New Roman"/>
          <w:color w:val="000000"/>
          <w:szCs w:val="24"/>
        </w:rPr>
        <w:t>holds employees may show</w:t>
      </w:r>
      <w:r w:rsidR="00032992" w:rsidRPr="000E178C">
        <w:rPr>
          <w:rFonts w:eastAsia="Times New Roman" w:cs="Times New Roman"/>
          <w:color w:val="000000"/>
          <w:szCs w:val="24"/>
        </w:rPr>
        <w:t xml:space="preserve"> the employer knew or should have known </w:t>
      </w:r>
      <w:r w:rsidR="00A14048" w:rsidRPr="000E178C">
        <w:rPr>
          <w:rFonts w:eastAsia="Times New Roman" w:cs="Times New Roman"/>
          <w:color w:val="000000"/>
          <w:szCs w:val="24"/>
        </w:rPr>
        <w:t xml:space="preserve">the request was for disability. </w:t>
      </w:r>
      <w:r w:rsidR="00A14048" w:rsidRPr="000E178C">
        <w:rPr>
          <w:rFonts w:eastAsia="Times New Roman" w:cs="Times New Roman"/>
          <w:i/>
          <w:color w:val="000000"/>
          <w:szCs w:val="24"/>
        </w:rPr>
        <w:t>Id.</w:t>
      </w:r>
      <w:r w:rsidR="00A14048" w:rsidRPr="000E178C">
        <w:rPr>
          <w:rFonts w:eastAsia="Times New Roman" w:cs="Times New Roman"/>
          <w:color w:val="000000"/>
          <w:szCs w:val="24"/>
        </w:rPr>
        <w:t xml:space="preserve"> </w:t>
      </w:r>
    </w:p>
    <w:p w14:paraId="251066A1" w14:textId="12A49E98" w:rsidR="0002705A" w:rsidRPr="000E178C" w:rsidRDefault="00AD0275" w:rsidP="00F205F2">
      <w:pPr>
        <w:rPr>
          <w:rFonts w:cs="Times New Roman"/>
          <w:szCs w:val="24"/>
        </w:rPr>
      </w:pPr>
      <w:commentRangeStart w:id="24"/>
      <w:r w:rsidRPr="000E178C">
        <w:rPr>
          <w:rFonts w:cs="Times New Roman"/>
          <w:szCs w:val="24"/>
        </w:rPr>
        <w:t xml:space="preserve">Mr. </w:t>
      </w:r>
      <w:proofErr w:type="spellStart"/>
      <w:r w:rsidRPr="000E178C">
        <w:rPr>
          <w:rFonts w:cs="Times New Roman"/>
          <w:szCs w:val="24"/>
        </w:rPr>
        <w:t>Hernadez’s</w:t>
      </w:r>
      <w:proofErr w:type="spellEnd"/>
      <w:r w:rsidRPr="000E178C">
        <w:rPr>
          <w:rFonts w:cs="Times New Roman"/>
          <w:szCs w:val="24"/>
        </w:rPr>
        <w:t xml:space="preserve"> disability </w:t>
      </w:r>
      <w:r w:rsidR="006341E1" w:rsidRPr="000E178C">
        <w:rPr>
          <w:rFonts w:cs="Times New Roman"/>
          <w:szCs w:val="24"/>
        </w:rPr>
        <w:t xml:space="preserve">substantially </w:t>
      </w:r>
      <w:r w:rsidR="00F123FE" w:rsidRPr="000E178C">
        <w:rPr>
          <w:rFonts w:cs="Times New Roman"/>
          <w:szCs w:val="24"/>
        </w:rPr>
        <w:t>limits normal cell growth</w:t>
      </w:r>
      <w:r w:rsidR="007F4E47" w:rsidRPr="000E178C">
        <w:rPr>
          <w:rFonts w:cs="Times New Roman"/>
          <w:szCs w:val="24"/>
        </w:rPr>
        <w:t>, affects his ability to see</w:t>
      </w:r>
      <w:r w:rsidR="003A4365" w:rsidRPr="000E178C">
        <w:rPr>
          <w:rFonts w:cs="Times New Roman"/>
          <w:szCs w:val="24"/>
        </w:rPr>
        <w:t xml:space="preserve"> and concentrate due to severe migraine</w:t>
      </w:r>
      <w:r w:rsidR="00C27494" w:rsidRPr="000E178C">
        <w:rPr>
          <w:rFonts w:cs="Times New Roman"/>
          <w:szCs w:val="24"/>
        </w:rPr>
        <w:t>s</w:t>
      </w:r>
      <w:r w:rsidR="003A4365" w:rsidRPr="000E178C">
        <w:rPr>
          <w:rFonts w:cs="Times New Roman"/>
          <w:szCs w:val="24"/>
        </w:rPr>
        <w:t xml:space="preserve">, of which SSS had notice. </w:t>
      </w:r>
      <w:commentRangeEnd w:id="24"/>
      <w:r w:rsidR="009D0023" w:rsidRPr="000E178C">
        <w:rPr>
          <w:rStyle w:val="CommentReference"/>
          <w:rFonts w:cs="Times New Roman"/>
          <w:sz w:val="24"/>
          <w:szCs w:val="24"/>
        </w:rPr>
        <w:commentReference w:id="24"/>
      </w:r>
      <w:r w:rsidR="00C52D1E" w:rsidRPr="000E178C">
        <w:rPr>
          <w:rFonts w:cs="Times New Roman"/>
          <w:szCs w:val="24"/>
        </w:rPr>
        <w:t>In</w:t>
      </w:r>
      <w:r w:rsidR="00F205F2" w:rsidRPr="000E178C">
        <w:rPr>
          <w:rFonts w:cs="Times New Roman"/>
          <w:szCs w:val="24"/>
        </w:rPr>
        <w:t xml:space="preserve"> </w:t>
      </w:r>
      <w:r w:rsidR="00F205F2" w:rsidRPr="000E178C">
        <w:rPr>
          <w:rFonts w:cs="Times New Roman"/>
          <w:i/>
          <w:szCs w:val="24"/>
        </w:rPr>
        <w:t>Sanchez v. Vilsack</w:t>
      </w:r>
      <w:r w:rsidR="00F205F2" w:rsidRPr="000E178C">
        <w:rPr>
          <w:rFonts w:cs="Times New Roman"/>
          <w:szCs w:val="24"/>
        </w:rPr>
        <w:t xml:space="preserve">, 695 F.3d 1174, 1179 (10th Cir. 2012), plaintiff’s field of vision had been reduced by half after an </w:t>
      </w:r>
      <w:r w:rsidR="00A158EF" w:rsidRPr="000E178C">
        <w:rPr>
          <w:rFonts w:cs="Times New Roman"/>
          <w:szCs w:val="24"/>
        </w:rPr>
        <w:t>accident and</w:t>
      </w:r>
      <w:r w:rsidR="005E05F8" w:rsidRPr="000E178C">
        <w:rPr>
          <w:rFonts w:cs="Times New Roman"/>
          <w:szCs w:val="24"/>
        </w:rPr>
        <w:t xml:space="preserve"> was ruled as substantially limiting and therefore a disability. </w:t>
      </w:r>
      <w:r w:rsidR="00DB3D0C" w:rsidRPr="000E178C">
        <w:rPr>
          <w:rFonts w:cs="Times New Roman"/>
          <w:szCs w:val="24"/>
        </w:rPr>
        <w:t xml:space="preserve">Here, </w:t>
      </w:r>
      <w:r w:rsidR="00E06E8B" w:rsidRPr="000E178C">
        <w:rPr>
          <w:rFonts w:cs="Times New Roman"/>
          <w:szCs w:val="24"/>
        </w:rPr>
        <w:t xml:space="preserve">like in </w:t>
      </w:r>
      <w:r w:rsidR="00E06E8B" w:rsidRPr="000E178C">
        <w:rPr>
          <w:rFonts w:cs="Times New Roman"/>
          <w:i/>
          <w:szCs w:val="24"/>
        </w:rPr>
        <w:t>Sanchez</w:t>
      </w:r>
      <w:r w:rsidR="00E06E8B" w:rsidRPr="000E178C">
        <w:rPr>
          <w:rFonts w:cs="Times New Roman"/>
          <w:szCs w:val="24"/>
        </w:rPr>
        <w:t xml:space="preserve">, </w:t>
      </w:r>
      <w:r w:rsidR="00DB3D0C" w:rsidRPr="000E178C">
        <w:rPr>
          <w:rFonts w:cs="Times New Roman"/>
          <w:szCs w:val="24"/>
        </w:rPr>
        <w:t xml:space="preserve">Mr. Hernandez’s </w:t>
      </w:r>
      <w:r w:rsidR="003F140E" w:rsidRPr="000E178C">
        <w:rPr>
          <w:rFonts w:cs="Times New Roman"/>
          <w:szCs w:val="24"/>
        </w:rPr>
        <w:t>neuro glioblastoma</w:t>
      </w:r>
      <w:r w:rsidR="00E06E8B" w:rsidRPr="000E178C">
        <w:rPr>
          <w:rFonts w:cs="Times New Roman"/>
          <w:szCs w:val="24"/>
        </w:rPr>
        <w:t xml:space="preserve"> directly affects his vision, causing blurred vision and </w:t>
      </w:r>
      <w:r w:rsidR="00AB23A7" w:rsidRPr="000E178C">
        <w:rPr>
          <w:rFonts w:cs="Times New Roman"/>
          <w:szCs w:val="24"/>
        </w:rPr>
        <w:t>migraines</w:t>
      </w:r>
      <w:r w:rsidR="00E06E8B" w:rsidRPr="000E178C">
        <w:rPr>
          <w:rFonts w:cs="Times New Roman"/>
          <w:szCs w:val="24"/>
        </w:rPr>
        <w:t xml:space="preserve"> which </w:t>
      </w:r>
      <w:r w:rsidR="00AB23A7" w:rsidRPr="000E178C">
        <w:rPr>
          <w:rFonts w:cs="Times New Roman"/>
          <w:szCs w:val="24"/>
        </w:rPr>
        <w:t xml:space="preserve">impair is ability to see. </w:t>
      </w:r>
      <w:r w:rsidR="00A158EF" w:rsidRPr="000E178C">
        <w:rPr>
          <w:rFonts w:cs="Times New Roman"/>
          <w:szCs w:val="24"/>
        </w:rPr>
        <w:t>695 F.3d at 1179.</w:t>
      </w:r>
      <w:r w:rsidR="004B422B" w:rsidRPr="000E178C">
        <w:rPr>
          <w:rFonts w:cs="Times New Roman"/>
          <w:szCs w:val="24"/>
        </w:rPr>
        <w:t xml:space="preserve"> In </w:t>
      </w:r>
      <w:r w:rsidR="004B422B" w:rsidRPr="000E178C">
        <w:rPr>
          <w:rFonts w:cs="Times New Roman"/>
          <w:i/>
          <w:szCs w:val="24"/>
        </w:rPr>
        <w:t xml:space="preserve">Dutton v. Johnson </w:t>
      </w:r>
      <w:proofErr w:type="spellStart"/>
      <w:r w:rsidR="004B422B" w:rsidRPr="000E178C">
        <w:rPr>
          <w:rFonts w:cs="Times New Roman"/>
          <w:i/>
          <w:szCs w:val="24"/>
        </w:rPr>
        <w:t>Cty</w:t>
      </w:r>
      <w:proofErr w:type="spellEnd"/>
      <w:r w:rsidR="004B422B" w:rsidRPr="000E178C">
        <w:rPr>
          <w:rFonts w:cs="Times New Roman"/>
          <w:i/>
          <w:szCs w:val="24"/>
        </w:rPr>
        <w:t xml:space="preserve">. Bd. of </w:t>
      </w:r>
      <w:proofErr w:type="spellStart"/>
      <w:r w:rsidR="004B422B" w:rsidRPr="000E178C">
        <w:rPr>
          <w:rFonts w:cs="Times New Roman"/>
          <w:i/>
          <w:szCs w:val="24"/>
        </w:rPr>
        <w:t>Cty</w:t>
      </w:r>
      <w:proofErr w:type="spellEnd"/>
      <w:r w:rsidR="004B422B" w:rsidRPr="000E178C">
        <w:rPr>
          <w:rFonts w:cs="Times New Roman"/>
          <w:i/>
          <w:szCs w:val="24"/>
        </w:rPr>
        <w:t>. Comm'rs</w:t>
      </w:r>
      <w:r w:rsidR="004B422B" w:rsidRPr="000E178C">
        <w:rPr>
          <w:rFonts w:cs="Times New Roman"/>
          <w:szCs w:val="24"/>
        </w:rPr>
        <w:t>, 859 F. Supp. 498, 506 (D. Kan. 1994)</w:t>
      </w:r>
      <w:r w:rsidR="00503A5A" w:rsidRPr="000E178C">
        <w:rPr>
          <w:rFonts w:cs="Times New Roman"/>
          <w:szCs w:val="24"/>
        </w:rPr>
        <w:t xml:space="preserve">, </w:t>
      </w:r>
      <w:r w:rsidR="005474F6" w:rsidRPr="000E178C">
        <w:rPr>
          <w:rFonts w:cs="Times New Roman"/>
          <w:szCs w:val="24"/>
        </w:rPr>
        <w:t xml:space="preserve">summary judgment was denied because </w:t>
      </w:r>
      <w:r w:rsidR="00503A5A" w:rsidRPr="000E178C">
        <w:rPr>
          <w:rFonts w:cs="Times New Roman"/>
          <w:szCs w:val="24"/>
        </w:rPr>
        <w:t xml:space="preserve">defendant was unable to </w:t>
      </w:r>
      <w:r w:rsidR="008B5724" w:rsidRPr="000E178C">
        <w:rPr>
          <w:rFonts w:cs="Times New Roman"/>
          <w:szCs w:val="24"/>
        </w:rPr>
        <w:t xml:space="preserve">establish genuine issue of material fact to show that the plaintiff was not disabled when the plaintiff suffered </w:t>
      </w:r>
      <w:r w:rsidR="00AF75A0" w:rsidRPr="000E178C">
        <w:rPr>
          <w:rFonts w:cs="Times New Roman"/>
          <w:szCs w:val="24"/>
        </w:rPr>
        <w:t xml:space="preserve">intermittent </w:t>
      </w:r>
      <w:r w:rsidR="008B5724" w:rsidRPr="000E178C">
        <w:rPr>
          <w:rFonts w:cs="Times New Roman"/>
          <w:szCs w:val="24"/>
        </w:rPr>
        <w:t xml:space="preserve">severe </w:t>
      </w:r>
      <w:r w:rsidR="0059492E" w:rsidRPr="000E178C">
        <w:rPr>
          <w:rFonts w:cs="Times New Roman"/>
          <w:szCs w:val="24"/>
        </w:rPr>
        <w:t>and debilitating headaches</w:t>
      </w:r>
      <w:r w:rsidR="0052159E" w:rsidRPr="000E178C">
        <w:rPr>
          <w:rFonts w:cs="Times New Roman"/>
          <w:szCs w:val="24"/>
        </w:rPr>
        <w:t xml:space="preserve">, </w:t>
      </w:r>
      <w:r w:rsidR="008B091E" w:rsidRPr="000E178C">
        <w:rPr>
          <w:rFonts w:cs="Times New Roman"/>
          <w:szCs w:val="24"/>
        </w:rPr>
        <w:t xml:space="preserve">which prevented the plaintiff from driving or </w:t>
      </w:r>
      <w:r w:rsidR="00883E76" w:rsidRPr="000E178C">
        <w:rPr>
          <w:rFonts w:cs="Times New Roman"/>
          <w:szCs w:val="24"/>
        </w:rPr>
        <w:t>doing normal everyday tasks</w:t>
      </w:r>
      <w:r w:rsidR="00B616C3" w:rsidRPr="000E178C">
        <w:rPr>
          <w:rFonts w:cs="Times New Roman"/>
          <w:szCs w:val="24"/>
        </w:rPr>
        <w:t xml:space="preserve">. </w:t>
      </w:r>
      <w:r w:rsidR="00CA0447" w:rsidRPr="000E178C">
        <w:rPr>
          <w:rFonts w:cs="Times New Roman"/>
          <w:szCs w:val="24"/>
        </w:rPr>
        <w:t xml:space="preserve">Here, </w:t>
      </w:r>
      <w:r w:rsidR="004C47B9" w:rsidRPr="000E178C">
        <w:rPr>
          <w:rFonts w:cs="Times New Roman"/>
          <w:szCs w:val="24"/>
        </w:rPr>
        <w:t xml:space="preserve">like in </w:t>
      </w:r>
      <w:r w:rsidR="004C47B9" w:rsidRPr="000E178C">
        <w:rPr>
          <w:rFonts w:cs="Times New Roman"/>
          <w:i/>
          <w:szCs w:val="24"/>
        </w:rPr>
        <w:t>Dutton</w:t>
      </w:r>
      <w:r w:rsidR="004C47B9" w:rsidRPr="000E178C">
        <w:rPr>
          <w:rFonts w:cs="Times New Roman"/>
          <w:szCs w:val="24"/>
        </w:rPr>
        <w:t>,</w:t>
      </w:r>
      <w:r w:rsidR="004C47B9" w:rsidRPr="000E178C">
        <w:rPr>
          <w:rFonts w:cs="Times New Roman"/>
          <w:i/>
          <w:szCs w:val="24"/>
        </w:rPr>
        <w:t xml:space="preserve"> </w:t>
      </w:r>
      <w:r w:rsidR="00CA0447" w:rsidRPr="000E178C">
        <w:rPr>
          <w:rFonts w:cs="Times New Roman"/>
          <w:szCs w:val="24"/>
        </w:rPr>
        <w:t xml:space="preserve">Mr. Hernandez suffers similarly </w:t>
      </w:r>
      <w:r w:rsidR="00214BFB" w:rsidRPr="000E178C">
        <w:rPr>
          <w:rFonts w:cs="Times New Roman"/>
          <w:szCs w:val="24"/>
        </w:rPr>
        <w:t xml:space="preserve">debilitating migraines as a direct result of his cancer, that caused him </w:t>
      </w:r>
      <w:r w:rsidR="003C7151" w:rsidRPr="000E178C">
        <w:rPr>
          <w:rFonts w:cs="Times New Roman"/>
          <w:szCs w:val="24"/>
        </w:rPr>
        <w:t>to pause</w:t>
      </w:r>
      <w:r w:rsidR="00892783" w:rsidRPr="000E178C">
        <w:rPr>
          <w:rFonts w:cs="Times New Roman"/>
          <w:szCs w:val="24"/>
        </w:rPr>
        <w:t xml:space="preserve"> his legal education and be </w:t>
      </w:r>
      <w:r w:rsidR="004C47B9" w:rsidRPr="000E178C">
        <w:rPr>
          <w:rFonts w:cs="Times New Roman"/>
          <w:szCs w:val="24"/>
        </w:rPr>
        <w:t>un</w:t>
      </w:r>
      <w:r w:rsidR="00892783" w:rsidRPr="000E178C">
        <w:rPr>
          <w:rFonts w:cs="Times New Roman"/>
          <w:szCs w:val="24"/>
        </w:rPr>
        <w:t xml:space="preserve">able to work, and so </w:t>
      </w:r>
      <w:r w:rsidR="00FB48F3" w:rsidRPr="000E178C">
        <w:rPr>
          <w:rFonts w:cs="Times New Roman"/>
          <w:szCs w:val="24"/>
        </w:rPr>
        <w:t xml:space="preserve">the summary judgement of the lower court was inappropriate. </w:t>
      </w:r>
      <w:r w:rsidR="00107B75" w:rsidRPr="000E178C">
        <w:rPr>
          <w:rFonts w:cs="Times New Roman"/>
          <w:szCs w:val="24"/>
        </w:rPr>
        <w:t xml:space="preserve">859 F. Supp. At 506. </w:t>
      </w:r>
    </w:p>
    <w:p w14:paraId="419649EC" w14:textId="77777777" w:rsidR="0002705A" w:rsidRPr="000E178C" w:rsidRDefault="0002705A" w:rsidP="00F205F2">
      <w:pPr>
        <w:rPr>
          <w:rFonts w:cs="Times New Roman"/>
          <w:szCs w:val="24"/>
        </w:rPr>
      </w:pPr>
    </w:p>
    <w:p w14:paraId="1D4463A1" w14:textId="013DF96C" w:rsidR="00F205F2" w:rsidRPr="000E178C" w:rsidRDefault="00A158EF" w:rsidP="00F205F2">
      <w:pPr>
        <w:rPr>
          <w:rFonts w:cs="Times New Roman"/>
          <w:color w:val="FF0000"/>
          <w:szCs w:val="24"/>
        </w:rPr>
      </w:pPr>
      <w:commentRangeStart w:id="25"/>
      <w:r w:rsidRPr="000E178C">
        <w:rPr>
          <w:rFonts w:cs="Times New Roman"/>
          <w:szCs w:val="24"/>
        </w:rPr>
        <w:t xml:space="preserve"> </w:t>
      </w:r>
      <w:r w:rsidR="00DC1A57" w:rsidRPr="000E178C">
        <w:rPr>
          <w:rFonts w:cs="Times New Roman"/>
          <w:szCs w:val="24"/>
        </w:rPr>
        <w:t xml:space="preserve">In </w:t>
      </w:r>
      <w:r w:rsidR="00DC1A57" w:rsidRPr="000E178C">
        <w:rPr>
          <w:rFonts w:cs="Times New Roman"/>
          <w:i/>
          <w:szCs w:val="24"/>
        </w:rPr>
        <w:t>Spielman v. Blue Cross &amp; Blue Shield of Kansas, Inc.</w:t>
      </w:r>
      <w:r w:rsidR="00DC1A57" w:rsidRPr="000E178C">
        <w:rPr>
          <w:rFonts w:cs="Times New Roman"/>
          <w:szCs w:val="24"/>
        </w:rPr>
        <w:t xml:space="preserve">, 33 F. </w:t>
      </w:r>
      <w:proofErr w:type="spellStart"/>
      <w:r w:rsidR="00DC1A57" w:rsidRPr="000E178C">
        <w:rPr>
          <w:rFonts w:cs="Times New Roman"/>
          <w:szCs w:val="24"/>
        </w:rPr>
        <w:t>App'x</w:t>
      </w:r>
      <w:proofErr w:type="spellEnd"/>
      <w:r w:rsidR="00DC1A57" w:rsidRPr="000E178C">
        <w:rPr>
          <w:rFonts w:cs="Times New Roman"/>
          <w:szCs w:val="24"/>
        </w:rPr>
        <w:t xml:space="preserve"> 439, 443 (10th Cir. 2002), </w:t>
      </w:r>
      <w:r w:rsidR="00E0766A" w:rsidRPr="000E178C">
        <w:rPr>
          <w:rFonts w:cs="Times New Roman"/>
          <w:szCs w:val="24"/>
        </w:rPr>
        <w:t xml:space="preserve">the employee </w:t>
      </w:r>
      <w:r w:rsidR="00204A32" w:rsidRPr="000E178C">
        <w:rPr>
          <w:rFonts w:cs="Times New Roman"/>
          <w:szCs w:val="24"/>
        </w:rPr>
        <w:t xml:space="preserve">requested intermittent time off for </w:t>
      </w:r>
      <w:r w:rsidR="00047CEF" w:rsidRPr="000E178C">
        <w:rPr>
          <w:rFonts w:cs="Times New Roman"/>
          <w:szCs w:val="24"/>
        </w:rPr>
        <w:t>doctor’s</w:t>
      </w:r>
      <w:r w:rsidR="00204A32" w:rsidRPr="000E178C">
        <w:rPr>
          <w:rFonts w:cs="Times New Roman"/>
          <w:szCs w:val="24"/>
        </w:rPr>
        <w:t xml:space="preserve"> appointments and testing for </w:t>
      </w:r>
      <w:r w:rsidR="0036119F" w:rsidRPr="000E178C">
        <w:rPr>
          <w:rFonts w:cs="Times New Roman"/>
          <w:szCs w:val="24"/>
        </w:rPr>
        <w:t xml:space="preserve">her </w:t>
      </w:r>
      <w:r w:rsidR="00047CEF" w:rsidRPr="000E178C">
        <w:rPr>
          <w:rFonts w:cs="Times New Roman"/>
          <w:szCs w:val="24"/>
        </w:rPr>
        <w:t>scleroderma</w:t>
      </w:r>
      <w:r w:rsidR="0036119F" w:rsidRPr="000E178C">
        <w:rPr>
          <w:rFonts w:cs="Times New Roman"/>
          <w:szCs w:val="24"/>
        </w:rPr>
        <w:t>, an autoimmune disease and it was ruled as sufficient notice. Here</w:t>
      </w:r>
      <w:r w:rsidR="007C4E22" w:rsidRPr="000E178C">
        <w:rPr>
          <w:rFonts w:cs="Times New Roman"/>
          <w:szCs w:val="24"/>
        </w:rPr>
        <w:t xml:space="preserve">, Mr. Hernandez requested a modified schedule, </w:t>
      </w:r>
      <w:r w:rsidR="006979E8" w:rsidRPr="000E178C">
        <w:rPr>
          <w:rFonts w:cs="Times New Roman"/>
          <w:szCs w:val="24"/>
        </w:rPr>
        <w:t xml:space="preserve">told of an upcoming doctor’s appointment, </w:t>
      </w:r>
      <w:r w:rsidR="00ED3CCA" w:rsidRPr="000E178C">
        <w:rPr>
          <w:rFonts w:cs="Times New Roman"/>
          <w:szCs w:val="24"/>
        </w:rPr>
        <w:t>his severe symptoms and that he may have cancer, which is sufficient to put</w:t>
      </w:r>
      <w:r w:rsidR="00047CEF" w:rsidRPr="000E178C">
        <w:rPr>
          <w:rFonts w:cs="Times New Roman"/>
          <w:szCs w:val="24"/>
        </w:rPr>
        <w:t xml:space="preserve"> SSS on notice for his disability. </w:t>
      </w:r>
      <w:commentRangeEnd w:id="25"/>
      <w:r w:rsidR="00812E4E" w:rsidRPr="000E178C">
        <w:rPr>
          <w:rStyle w:val="CommentReference"/>
          <w:rFonts w:cs="Times New Roman"/>
          <w:sz w:val="24"/>
          <w:szCs w:val="24"/>
        </w:rPr>
        <w:commentReference w:id="25"/>
      </w:r>
    </w:p>
    <w:p w14:paraId="5299CAEF" w14:textId="38B32742" w:rsidR="00557BA9" w:rsidRPr="000E178C" w:rsidRDefault="00974EAE" w:rsidP="009D6F09">
      <w:pPr>
        <w:rPr>
          <w:rFonts w:cs="Times New Roman"/>
          <w:szCs w:val="24"/>
        </w:rPr>
      </w:pPr>
      <w:r w:rsidRPr="000E178C">
        <w:rPr>
          <w:rFonts w:cs="Times New Roman"/>
          <w:color w:val="FF0000"/>
          <w:szCs w:val="24"/>
        </w:rPr>
        <w:t>Told them he</w:t>
      </w:r>
      <w:r w:rsidR="000D337C" w:rsidRPr="000E178C">
        <w:rPr>
          <w:rFonts w:cs="Times New Roman"/>
          <w:color w:val="FF0000"/>
          <w:szCs w:val="24"/>
        </w:rPr>
        <w:t xml:space="preserve"> might have</w:t>
      </w:r>
      <w:r w:rsidRPr="000E178C">
        <w:rPr>
          <w:rFonts w:cs="Times New Roman"/>
          <w:color w:val="FF0000"/>
          <w:szCs w:val="24"/>
        </w:rPr>
        <w:t xml:space="preserve"> cancer, they didn’t </w:t>
      </w:r>
      <w:commentRangeStart w:id="26"/>
      <w:r w:rsidRPr="000E178C">
        <w:rPr>
          <w:rFonts w:cs="Times New Roman"/>
          <w:color w:val="FF0000"/>
          <w:szCs w:val="24"/>
        </w:rPr>
        <w:t xml:space="preserve">know till the suit. </w:t>
      </w:r>
      <w:commentRangeEnd w:id="26"/>
      <w:r w:rsidR="002167C1" w:rsidRPr="000E178C">
        <w:rPr>
          <w:rStyle w:val="CommentReference"/>
          <w:rFonts w:cs="Times New Roman"/>
          <w:sz w:val="24"/>
          <w:szCs w:val="24"/>
        </w:rPr>
        <w:commentReference w:id="26"/>
      </w:r>
    </w:p>
    <w:p w14:paraId="12FE5A4B" w14:textId="33CACD3A" w:rsidR="00BD0AAF" w:rsidRPr="000E178C" w:rsidRDefault="000C4A3E" w:rsidP="00BE689D">
      <w:pPr>
        <w:pStyle w:val="Heading3"/>
        <w:numPr>
          <w:ilvl w:val="0"/>
          <w:numId w:val="11"/>
        </w:numPr>
        <w:spacing w:line="240" w:lineRule="auto"/>
        <w:ind w:left="1440" w:hanging="720"/>
        <w:rPr>
          <w:rFonts w:cs="Times New Roman"/>
        </w:rPr>
      </w:pPr>
      <w:bookmarkStart w:id="27" w:name="_Toc509470362"/>
      <w:commentRangeStart w:id="28"/>
      <w:r w:rsidRPr="000E178C">
        <w:rPr>
          <w:rFonts w:cs="Times New Roman"/>
        </w:rPr>
        <w:t xml:space="preserve">Mr. Hernandez’s Request </w:t>
      </w:r>
      <w:r w:rsidR="001F4996" w:rsidRPr="000E178C">
        <w:rPr>
          <w:rFonts w:cs="Times New Roman"/>
        </w:rPr>
        <w:t>for</w:t>
      </w:r>
      <w:r w:rsidRPr="000E178C">
        <w:rPr>
          <w:rFonts w:cs="Times New Roman"/>
        </w:rPr>
        <w:t xml:space="preserve"> a Modified Schedule Was a Plausibly Reasonable Request for Accommodations </w:t>
      </w:r>
      <w:r w:rsidR="001F4996" w:rsidRPr="000E178C">
        <w:rPr>
          <w:rFonts w:cs="Times New Roman"/>
        </w:rPr>
        <w:t xml:space="preserve">Because He </w:t>
      </w:r>
      <w:r w:rsidR="00387A7B" w:rsidRPr="000E178C">
        <w:rPr>
          <w:rFonts w:cs="Times New Roman"/>
        </w:rPr>
        <w:t xml:space="preserve">Told His Employer of His </w:t>
      </w:r>
      <w:r w:rsidR="00E22113" w:rsidRPr="000E178C">
        <w:rPr>
          <w:rFonts w:cs="Times New Roman"/>
        </w:rPr>
        <w:t xml:space="preserve">Symptoms, </w:t>
      </w:r>
      <w:r w:rsidR="00387A7B" w:rsidRPr="000E178C">
        <w:rPr>
          <w:rFonts w:cs="Times New Roman"/>
        </w:rPr>
        <w:t>Possible Diagnosis</w:t>
      </w:r>
      <w:r w:rsidR="00790E0B" w:rsidRPr="000E178C">
        <w:rPr>
          <w:rFonts w:cs="Times New Roman"/>
        </w:rPr>
        <w:t xml:space="preserve"> and Future Medical </w:t>
      </w:r>
      <w:r w:rsidR="00E22113" w:rsidRPr="000E178C">
        <w:rPr>
          <w:rFonts w:cs="Times New Roman"/>
        </w:rPr>
        <w:t>Appointments</w:t>
      </w:r>
      <w:r w:rsidR="00790E0B" w:rsidRPr="000E178C">
        <w:rPr>
          <w:rFonts w:cs="Times New Roman"/>
        </w:rPr>
        <w:t xml:space="preserve">, Being </w:t>
      </w:r>
      <w:r w:rsidR="00644CC0" w:rsidRPr="000E178C">
        <w:rPr>
          <w:rFonts w:cs="Times New Roman"/>
        </w:rPr>
        <w:t>as</w:t>
      </w:r>
      <w:r w:rsidR="00790E0B" w:rsidRPr="000E178C">
        <w:rPr>
          <w:rFonts w:cs="Times New Roman"/>
        </w:rPr>
        <w:t xml:space="preserve"> Specific </w:t>
      </w:r>
      <w:r w:rsidR="0090603D" w:rsidRPr="000E178C">
        <w:rPr>
          <w:rFonts w:cs="Times New Roman"/>
        </w:rPr>
        <w:t>as</w:t>
      </w:r>
      <w:r w:rsidR="00790E0B" w:rsidRPr="000E178C">
        <w:rPr>
          <w:rFonts w:cs="Times New Roman"/>
        </w:rPr>
        <w:t xml:space="preserve"> He </w:t>
      </w:r>
      <w:r w:rsidR="00E22113" w:rsidRPr="000E178C">
        <w:rPr>
          <w:rFonts w:cs="Times New Roman"/>
        </w:rPr>
        <w:t>Was</w:t>
      </w:r>
      <w:r w:rsidR="00817FF7" w:rsidRPr="000E178C">
        <w:rPr>
          <w:rFonts w:cs="Times New Roman"/>
        </w:rPr>
        <w:t xml:space="preserve"> Able. </w:t>
      </w:r>
      <w:commentRangeEnd w:id="28"/>
      <w:r w:rsidR="00817FF7" w:rsidRPr="000E178C">
        <w:rPr>
          <w:rStyle w:val="CommentReference"/>
          <w:rFonts w:eastAsiaTheme="minorHAnsi" w:cs="Times New Roman"/>
          <w:color w:val="auto"/>
          <w:sz w:val="24"/>
          <w:szCs w:val="24"/>
          <w:u w:val="none"/>
        </w:rPr>
        <w:commentReference w:id="28"/>
      </w:r>
      <w:bookmarkEnd w:id="27"/>
      <w:r w:rsidR="00BE689D" w:rsidRPr="000E178C">
        <w:rPr>
          <w:rFonts w:cs="Times New Roman"/>
        </w:rPr>
        <w:br/>
      </w:r>
    </w:p>
    <w:p w14:paraId="3304232F" w14:textId="7691E1FA" w:rsidR="00A9183E" w:rsidRPr="000E178C" w:rsidRDefault="00C12E5A" w:rsidP="007B17F4">
      <w:pPr>
        <w:rPr>
          <w:rFonts w:cs="Times New Roman"/>
          <w:szCs w:val="24"/>
        </w:rPr>
      </w:pPr>
      <w:r w:rsidRPr="000E178C">
        <w:rPr>
          <w:rFonts w:cs="Times New Roman"/>
          <w:szCs w:val="24"/>
        </w:rPr>
        <w:t xml:space="preserve">Reasonable </w:t>
      </w:r>
      <w:r w:rsidR="005B5800" w:rsidRPr="000E178C">
        <w:rPr>
          <w:rFonts w:cs="Times New Roman"/>
          <w:szCs w:val="24"/>
        </w:rPr>
        <w:t>accommodations</w:t>
      </w:r>
      <w:r w:rsidRPr="000E178C">
        <w:rPr>
          <w:rFonts w:cs="Times New Roman"/>
          <w:szCs w:val="24"/>
        </w:rPr>
        <w:t xml:space="preserve"> presently, or </w:t>
      </w:r>
      <w:proofErr w:type="gramStart"/>
      <w:r w:rsidRPr="000E178C">
        <w:rPr>
          <w:rFonts w:cs="Times New Roman"/>
          <w:szCs w:val="24"/>
        </w:rPr>
        <w:t>in the near future</w:t>
      </w:r>
      <w:proofErr w:type="gramEnd"/>
      <w:r w:rsidRPr="000E178C">
        <w:rPr>
          <w:rFonts w:cs="Times New Roman"/>
          <w:szCs w:val="24"/>
        </w:rPr>
        <w:t xml:space="preserve">, enable an </w:t>
      </w:r>
      <w:r w:rsidR="005B5800" w:rsidRPr="000E178C">
        <w:rPr>
          <w:rFonts w:cs="Times New Roman"/>
          <w:szCs w:val="24"/>
        </w:rPr>
        <w:t>employee</w:t>
      </w:r>
      <w:r w:rsidRPr="000E178C">
        <w:rPr>
          <w:rFonts w:cs="Times New Roman"/>
          <w:szCs w:val="24"/>
        </w:rPr>
        <w:t xml:space="preserve"> to perform essential functions of his job. </w:t>
      </w:r>
      <w:r w:rsidRPr="000E178C">
        <w:rPr>
          <w:rStyle w:val="cohl"/>
          <w:rFonts w:cs="Times New Roman"/>
          <w:i/>
          <w:color w:val="000000"/>
          <w:szCs w:val="24"/>
          <w:shd w:val="clear" w:color="auto" w:fill="FFFFFF"/>
        </w:rPr>
        <w:t>Cisneros v. Wilson</w:t>
      </w:r>
      <w:r w:rsidRPr="000E178C">
        <w:rPr>
          <w:rStyle w:val="cohl"/>
          <w:rFonts w:cs="Times New Roman"/>
          <w:color w:val="000000"/>
          <w:szCs w:val="24"/>
          <w:shd w:val="clear" w:color="auto" w:fill="FFFFFF"/>
        </w:rPr>
        <w:t>, 226 F.3d 1113, 1129 – 30 (10th Cir. 2000)</w:t>
      </w:r>
      <w:r w:rsidR="00DD4918" w:rsidRPr="000E178C">
        <w:rPr>
          <w:rStyle w:val="cohl"/>
          <w:rFonts w:cs="Times New Roman"/>
          <w:color w:val="000000"/>
          <w:szCs w:val="24"/>
          <w:shd w:val="clear" w:color="auto" w:fill="FFFFFF"/>
        </w:rPr>
        <w:t xml:space="preserve"> </w:t>
      </w:r>
      <w:r w:rsidR="00DD4918" w:rsidRPr="000E178C">
        <w:rPr>
          <w:rStyle w:val="Emphasis"/>
          <w:rFonts w:cs="Times New Roman"/>
          <w:color w:val="212121"/>
          <w:szCs w:val="24"/>
        </w:rPr>
        <w:t xml:space="preserve">overruled on </w:t>
      </w:r>
      <w:r w:rsidR="00DD4918" w:rsidRPr="000E178C">
        <w:rPr>
          <w:rStyle w:val="Emphasis"/>
          <w:rFonts w:cs="Times New Roman"/>
          <w:szCs w:val="24"/>
        </w:rPr>
        <w:t>other grounds by </w:t>
      </w:r>
      <w:hyperlink r:id="rId13" w:history="1">
        <w:r w:rsidR="00DD4918" w:rsidRPr="000E178C">
          <w:rPr>
            <w:rStyle w:val="Emphasis"/>
            <w:rFonts w:cs="Times New Roman"/>
            <w:szCs w:val="24"/>
          </w:rPr>
          <w:t>Bd. of Trustees of Univ. of Alabama v. Garrett,</w:t>
        </w:r>
        <w:r w:rsidR="00DD4918" w:rsidRPr="000E178C">
          <w:rPr>
            <w:rStyle w:val="Hyperlink"/>
            <w:rFonts w:cs="Times New Roman"/>
            <w:color w:val="auto"/>
            <w:szCs w:val="24"/>
            <w:u w:val="none"/>
          </w:rPr>
          <w:t> 531 U.S. 356</w:t>
        </w:r>
        <w:r w:rsidR="006A201B" w:rsidRPr="000E178C">
          <w:rPr>
            <w:rStyle w:val="Hyperlink"/>
            <w:rFonts w:cs="Times New Roman"/>
            <w:color w:val="auto"/>
            <w:szCs w:val="24"/>
            <w:u w:val="none"/>
          </w:rPr>
          <w:t xml:space="preserve"> </w:t>
        </w:r>
        <w:r w:rsidR="00DD4918" w:rsidRPr="000E178C">
          <w:rPr>
            <w:rStyle w:val="Hyperlink"/>
            <w:rFonts w:cs="Times New Roman"/>
            <w:color w:val="auto"/>
            <w:szCs w:val="24"/>
            <w:u w:val="none"/>
          </w:rPr>
          <w:t>(2001)</w:t>
        </w:r>
      </w:hyperlink>
      <w:r w:rsidR="000D37C9" w:rsidRPr="000E178C">
        <w:rPr>
          <w:rStyle w:val="cohl"/>
          <w:rFonts w:cs="Times New Roman"/>
          <w:szCs w:val="24"/>
          <w:shd w:val="clear" w:color="auto" w:fill="FFFFFF"/>
        </w:rPr>
        <w:t xml:space="preserve">; </w:t>
      </w:r>
      <w:proofErr w:type="spellStart"/>
      <w:r w:rsidR="000D37C9" w:rsidRPr="000E178C">
        <w:rPr>
          <w:rFonts w:cs="Times New Roman"/>
          <w:i/>
          <w:szCs w:val="24"/>
        </w:rPr>
        <w:t>Hennagir</w:t>
      </w:r>
      <w:proofErr w:type="spellEnd"/>
      <w:r w:rsidR="000D37C9" w:rsidRPr="000E178C">
        <w:rPr>
          <w:rFonts w:cs="Times New Roman"/>
          <w:szCs w:val="24"/>
        </w:rPr>
        <w:t>, 587 F.3d at 1264</w:t>
      </w:r>
      <w:r w:rsidRPr="000E178C">
        <w:rPr>
          <w:rStyle w:val="cohl"/>
          <w:rFonts w:cs="Times New Roman"/>
          <w:color w:val="000000"/>
          <w:szCs w:val="24"/>
          <w:shd w:val="clear" w:color="auto" w:fill="FFFFFF"/>
        </w:rPr>
        <w:t xml:space="preserve">. </w:t>
      </w:r>
      <w:r w:rsidR="00557BA9" w:rsidRPr="000E178C">
        <w:rPr>
          <w:rFonts w:cs="Times New Roman"/>
          <w:szCs w:val="24"/>
        </w:rPr>
        <w:t>Reasonable accommodations may include modified work schedules, reassignment, or modification of equipment. 42 U.S.C. § 12111(9)</w:t>
      </w:r>
      <w:r w:rsidR="00C37421" w:rsidRPr="000E178C">
        <w:rPr>
          <w:rFonts w:cs="Times New Roman"/>
          <w:szCs w:val="24"/>
        </w:rPr>
        <w:t xml:space="preserve">; </w:t>
      </w:r>
      <w:r w:rsidR="00C37421" w:rsidRPr="000E178C">
        <w:rPr>
          <w:rFonts w:cs="Times New Roman"/>
          <w:i/>
          <w:color w:val="000000"/>
          <w:szCs w:val="24"/>
        </w:rPr>
        <w:t xml:space="preserve">Carter v. Pathfinder Energy </w:t>
      </w:r>
      <w:proofErr w:type="spellStart"/>
      <w:r w:rsidR="00C37421" w:rsidRPr="000E178C">
        <w:rPr>
          <w:rFonts w:cs="Times New Roman"/>
          <w:i/>
          <w:color w:val="000000"/>
          <w:szCs w:val="24"/>
        </w:rPr>
        <w:t>Servs</w:t>
      </w:r>
      <w:proofErr w:type="spellEnd"/>
      <w:r w:rsidR="00C37421" w:rsidRPr="000E178C">
        <w:rPr>
          <w:rFonts w:cs="Times New Roman"/>
          <w:i/>
          <w:color w:val="000000"/>
          <w:szCs w:val="24"/>
        </w:rPr>
        <w:t>., Inc.</w:t>
      </w:r>
      <w:r w:rsidR="00C37421" w:rsidRPr="000E178C">
        <w:rPr>
          <w:rFonts w:cs="Times New Roman"/>
          <w:color w:val="000000"/>
          <w:szCs w:val="24"/>
        </w:rPr>
        <w:t xml:space="preserve">, 662 F.3d 1134, 1146 (10th Cir. 2011) (finding a </w:t>
      </w:r>
      <w:r w:rsidR="00FC053A" w:rsidRPr="000E178C">
        <w:rPr>
          <w:rFonts w:cs="Times New Roman"/>
          <w:color w:val="000000"/>
          <w:szCs w:val="24"/>
        </w:rPr>
        <w:t xml:space="preserve">part time work schedule </w:t>
      </w:r>
      <w:r w:rsidR="005C4481" w:rsidRPr="000E178C">
        <w:rPr>
          <w:rFonts w:cs="Times New Roman"/>
          <w:color w:val="000000"/>
          <w:szCs w:val="24"/>
        </w:rPr>
        <w:t>could</w:t>
      </w:r>
      <w:r w:rsidR="00FC053A" w:rsidRPr="000E178C">
        <w:rPr>
          <w:rFonts w:cs="Times New Roman"/>
          <w:color w:val="000000"/>
          <w:szCs w:val="24"/>
        </w:rPr>
        <w:t xml:space="preserve"> be a </w:t>
      </w:r>
      <w:r w:rsidR="0023000C" w:rsidRPr="000E178C">
        <w:rPr>
          <w:rFonts w:cs="Times New Roman"/>
          <w:color w:val="000000"/>
          <w:szCs w:val="24"/>
        </w:rPr>
        <w:t>reasonable accommodation</w:t>
      </w:r>
      <w:r w:rsidR="005C4481" w:rsidRPr="000E178C">
        <w:rPr>
          <w:rFonts w:cs="Times New Roman"/>
          <w:color w:val="000000"/>
          <w:szCs w:val="24"/>
        </w:rPr>
        <w:t xml:space="preserve"> because it allowed the employee to arguably complete the essential functions of his job</w:t>
      </w:r>
      <w:r w:rsidR="000C492D" w:rsidRPr="000E178C">
        <w:rPr>
          <w:rFonts w:cs="Times New Roman"/>
          <w:color w:val="000000"/>
          <w:szCs w:val="24"/>
        </w:rPr>
        <w:t>)</w:t>
      </w:r>
      <w:r w:rsidR="00557BA9" w:rsidRPr="000E178C">
        <w:rPr>
          <w:rFonts w:cs="Times New Roman"/>
          <w:szCs w:val="24"/>
        </w:rPr>
        <w:t>.</w:t>
      </w:r>
      <w:r w:rsidR="008352A0" w:rsidRPr="000E178C">
        <w:rPr>
          <w:rFonts w:cs="Times New Roman"/>
          <w:szCs w:val="24"/>
        </w:rPr>
        <w:t xml:space="preserve"> </w:t>
      </w:r>
      <w:r w:rsidR="00FF516F" w:rsidRPr="000E178C">
        <w:rPr>
          <w:rFonts w:cs="Times New Roman"/>
          <w:szCs w:val="24"/>
        </w:rPr>
        <w:t>Accommodations are only deemed reasonable if they are need</w:t>
      </w:r>
      <w:r w:rsidR="00927577" w:rsidRPr="000E178C">
        <w:rPr>
          <w:rFonts w:cs="Times New Roman"/>
          <w:szCs w:val="24"/>
        </w:rPr>
        <w:t>ed</w:t>
      </w:r>
      <w:r w:rsidR="00FF516F" w:rsidRPr="000E178C">
        <w:rPr>
          <w:rFonts w:cs="Times New Roman"/>
          <w:szCs w:val="24"/>
        </w:rPr>
        <w:t xml:space="preserve"> because of the disability. </w:t>
      </w:r>
      <w:r w:rsidR="00FF516F" w:rsidRPr="000E178C">
        <w:rPr>
          <w:rFonts w:cs="Times New Roman"/>
          <w:i/>
          <w:szCs w:val="24"/>
        </w:rPr>
        <w:t>Punt</w:t>
      </w:r>
      <w:r w:rsidR="00FF516F" w:rsidRPr="000E178C">
        <w:rPr>
          <w:rFonts w:cs="Times New Roman"/>
          <w:szCs w:val="24"/>
        </w:rPr>
        <w:t>, 862 F.3d at 1050.</w:t>
      </w:r>
      <w:r w:rsidR="00DD59B0" w:rsidRPr="000E178C">
        <w:rPr>
          <w:rFonts w:cs="Times New Roman"/>
          <w:szCs w:val="24"/>
        </w:rPr>
        <w:t xml:space="preserve"> A request to be relieved of an essential function of a position is not a reasonable accommodation. </w:t>
      </w:r>
      <w:r w:rsidR="00217263" w:rsidRPr="000E178C">
        <w:rPr>
          <w:rFonts w:cs="Times New Roman"/>
          <w:i/>
          <w:color w:val="000000"/>
          <w:szCs w:val="24"/>
        </w:rPr>
        <w:t>Mason v. Avaya Commc'ns, Inc.</w:t>
      </w:r>
      <w:r w:rsidR="00217263" w:rsidRPr="000E178C">
        <w:rPr>
          <w:rFonts w:cs="Times New Roman"/>
          <w:color w:val="000000"/>
          <w:szCs w:val="24"/>
        </w:rPr>
        <w:t>, 357 F.3d 1114, 112</w:t>
      </w:r>
      <w:r w:rsidR="0047740D" w:rsidRPr="000E178C">
        <w:rPr>
          <w:rFonts w:cs="Times New Roman"/>
          <w:color w:val="000000"/>
          <w:szCs w:val="24"/>
        </w:rPr>
        <w:t>3 – 24</w:t>
      </w:r>
      <w:r w:rsidR="00217263" w:rsidRPr="000E178C">
        <w:rPr>
          <w:rFonts w:cs="Times New Roman"/>
          <w:color w:val="000000"/>
          <w:szCs w:val="24"/>
        </w:rPr>
        <w:t xml:space="preserve"> (10th Cir. 2004)</w:t>
      </w:r>
      <w:r w:rsidR="00217263" w:rsidRPr="000E178C">
        <w:rPr>
          <w:rFonts w:cs="Times New Roman"/>
          <w:szCs w:val="24"/>
        </w:rPr>
        <w:t xml:space="preserve"> </w:t>
      </w:r>
      <w:r w:rsidR="00DD59B0" w:rsidRPr="000E178C">
        <w:rPr>
          <w:rFonts w:cs="Times New Roman"/>
          <w:szCs w:val="24"/>
        </w:rPr>
        <w:t xml:space="preserve">(stating that </w:t>
      </w:r>
      <w:r w:rsidR="00F543D9" w:rsidRPr="000E178C">
        <w:rPr>
          <w:rFonts w:cs="Times New Roman"/>
          <w:szCs w:val="24"/>
        </w:rPr>
        <w:t xml:space="preserve">as attendance is </w:t>
      </w:r>
      <w:r w:rsidR="00E41131" w:rsidRPr="000E178C">
        <w:rPr>
          <w:rFonts w:cs="Times New Roman"/>
          <w:szCs w:val="24"/>
        </w:rPr>
        <w:t>essential at most jobs, a request</w:t>
      </w:r>
      <w:r w:rsidR="00F543D9" w:rsidRPr="000E178C">
        <w:rPr>
          <w:rFonts w:cs="Times New Roman"/>
          <w:szCs w:val="24"/>
        </w:rPr>
        <w:t xml:space="preserve"> to work from home is unreasonable</w:t>
      </w:r>
      <w:r w:rsidR="00E41131" w:rsidRPr="000E178C">
        <w:rPr>
          <w:rFonts w:cs="Times New Roman"/>
          <w:szCs w:val="24"/>
        </w:rPr>
        <w:t>).</w:t>
      </w:r>
      <w:r w:rsidR="00E9436F" w:rsidRPr="000E178C">
        <w:rPr>
          <w:rFonts w:cs="Times New Roman"/>
          <w:szCs w:val="24"/>
        </w:rPr>
        <w:t xml:space="preserve"> </w:t>
      </w:r>
    </w:p>
    <w:p w14:paraId="4ADDA647" w14:textId="3361C712" w:rsidR="004C2594" w:rsidRPr="000E178C" w:rsidRDefault="00A9183E" w:rsidP="00A9183E">
      <w:pPr>
        <w:rPr>
          <w:rStyle w:val="cohl"/>
          <w:rFonts w:cs="Times New Roman"/>
          <w:color w:val="000000"/>
          <w:szCs w:val="24"/>
          <w:shd w:val="clear" w:color="auto" w:fill="FFFFFF"/>
        </w:rPr>
      </w:pPr>
      <w:r w:rsidRPr="000E178C">
        <w:rPr>
          <w:rFonts w:eastAsia="Times New Roman" w:cs="Times New Roman"/>
          <w:color w:val="000000"/>
          <w:szCs w:val="24"/>
        </w:rPr>
        <w:t xml:space="preserve">To determine appropriate accommodations, it may be necessary for the employer to initiate an interactive process with the disabled employee, identifying the precise limitations and potential reasonable accommodations. 29 C.F.R. § 1630.2(o)(3). </w:t>
      </w:r>
      <w:commentRangeStart w:id="29"/>
      <w:r w:rsidRPr="000E178C">
        <w:rPr>
          <w:rFonts w:eastAsia="Times New Roman" w:cs="Times New Roman"/>
          <w:color w:val="000000"/>
          <w:szCs w:val="24"/>
        </w:rPr>
        <w:t xml:space="preserve">This process should </w:t>
      </w:r>
      <w:r w:rsidR="00076FDC" w:rsidRPr="000E178C">
        <w:rPr>
          <w:rFonts w:eastAsia="Times New Roman" w:cs="Times New Roman"/>
          <w:color w:val="000000"/>
          <w:szCs w:val="24"/>
        </w:rPr>
        <w:t>begin</w:t>
      </w:r>
      <w:r w:rsidRPr="000E178C">
        <w:rPr>
          <w:rFonts w:eastAsia="Times New Roman" w:cs="Times New Roman"/>
          <w:color w:val="000000"/>
          <w:szCs w:val="24"/>
        </w:rPr>
        <w:t xml:space="preserve"> with the employee providing notice to the employer of the disability and any resulting </w:t>
      </w:r>
      <w:r w:rsidR="00076FDC" w:rsidRPr="000E178C">
        <w:rPr>
          <w:rFonts w:eastAsia="Times New Roman" w:cs="Times New Roman"/>
          <w:color w:val="000000"/>
          <w:szCs w:val="24"/>
        </w:rPr>
        <w:t>limitations</w:t>
      </w:r>
      <w:r w:rsidRPr="000E178C">
        <w:rPr>
          <w:rFonts w:eastAsia="Times New Roman" w:cs="Times New Roman"/>
          <w:color w:val="000000"/>
          <w:szCs w:val="24"/>
        </w:rPr>
        <w:t xml:space="preserve">. </w:t>
      </w:r>
      <w:commentRangeEnd w:id="29"/>
      <w:r w:rsidR="005D4B33" w:rsidRPr="000E178C">
        <w:rPr>
          <w:rStyle w:val="CommentReference"/>
          <w:rFonts w:cs="Times New Roman"/>
          <w:sz w:val="24"/>
          <w:szCs w:val="24"/>
        </w:rPr>
        <w:commentReference w:id="29"/>
      </w:r>
      <w:commentRangeStart w:id="30"/>
      <w:r w:rsidRPr="000E178C">
        <w:rPr>
          <w:rFonts w:eastAsia="Times New Roman" w:cs="Times New Roman"/>
          <w:i/>
          <w:color w:val="000000"/>
          <w:szCs w:val="24"/>
        </w:rPr>
        <w:t>Smith</w:t>
      </w:r>
      <w:r w:rsidRPr="000E178C">
        <w:rPr>
          <w:rFonts w:eastAsia="Times New Roman" w:cs="Times New Roman"/>
          <w:color w:val="000000"/>
          <w:szCs w:val="24"/>
        </w:rPr>
        <w:t>, 180 F.3d at 1171</w:t>
      </w:r>
      <w:commentRangeEnd w:id="30"/>
      <w:r w:rsidR="00415B53" w:rsidRPr="000E178C">
        <w:rPr>
          <w:rStyle w:val="CommentReference"/>
          <w:rFonts w:cs="Times New Roman"/>
          <w:sz w:val="24"/>
          <w:szCs w:val="24"/>
        </w:rPr>
        <w:commentReference w:id="30"/>
      </w:r>
      <w:r w:rsidRPr="000E178C">
        <w:rPr>
          <w:rFonts w:eastAsia="Times New Roman" w:cs="Times New Roman"/>
          <w:color w:val="000000"/>
          <w:szCs w:val="24"/>
        </w:rPr>
        <w:t xml:space="preserve">. </w:t>
      </w:r>
      <w:r w:rsidRPr="000E178C">
        <w:rPr>
          <w:rStyle w:val="cohl"/>
          <w:rFonts w:cs="Times New Roman"/>
          <w:color w:val="000000"/>
          <w:szCs w:val="24"/>
          <w:shd w:val="clear" w:color="auto" w:fill="FFFFFF"/>
        </w:rPr>
        <w:t xml:space="preserve">A request for accommodation must be direct and specific enough to give the employer notice that the employee needs a special accommodation; no </w:t>
      </w:r>
      <w:proofErr w:type="gramStart"/>
      <w:r w:rsidRPr="000E178C">
        <w:rPr>
          <w:rStyle w:val="cohl"/>
          <w:rFonts w:cs="Times New Roman"/>
          <w:color w:val="000000"/>
          <w:szCs w:val="24"/>
          <w:shd w:val="clear" w:color="auto" w:fill="FFFFFF"/>
        </w:rPr>
        <w:t>particular language</w:t>
      </w:r>
      <w:proofErr w:type="gramEnd"/>
      <w:r w:rsidRPr="000E178C">
        <w:rPr>
          <w:rStyle w:val="cohl"/>
          <w:rFonts w:cs="Times New Roman"/>
          <w:color w:val="000000"/>
          <w:szCs w:val="24"/>
          <w:shd w:val="clear" w:color="auto" w:fill="FFFFFF"/>
        </w:rPr>
        <w:t xml:space="preserve"> is required. </w:t>
      </w:r>
      <w:r w:rsidRPr="000E178C">
        <w:rPr>
          <w:rStyle w:val="cohl"/>
          <w:rFonts w:cs="Times New Roman"/>
          <w:i/>
          <w:color w:val="000000"/>
          <w:szCs w:val="24"/>
          <w:shd w:val="clear" w:color="auto" w:fill="FFFFFF"/>
        </w:rPr>
        <w:t>Foster</w:t>
      </w:r>
      <w:r w:rsidRPr="000E178C">
        <w:rPr>
          <w:rStyle w:val="cohl"/>
          <w:rFonts w:cs="Times New Roman"/>
          <w:color w:val="000000"/>
          <w:szCs w:val="24"/>
          <w:shd w:val="clear" w:color="auto" w:fill="FFFFFF"/>
        </w:rPr>
        <w:t xml:space="preserve">, </w:t>
      </w:r>
      <w:r w:rsidRPr="000E178C">
        <w:rPr>
          <w:rFonts w:eastAsia="Times New Roman" w:cs="Times New Roman"/>
          <w:color w:val="000000"/>
          <w:szCs w:val="24"/>
        </w:rPr>
        <w:t>830 F.3d at 1188 (ruling a request with a specific date and stating its purpose was to schedule surgery was sufficient to be a request for accommodation);</w:t>
      </w:r>
      <w:r w:rsidRPr="000E178C">
        <w:rPr>
          <w:rFonts w:cs="Times New Roman"/>
          <w:szCs w:val="24"/>
        </w:rPr>
        <w:t xml:space="preserve"> </w:t>
      </w:r>
      <w:r w:rsidR="00CE514E" w:rsidRPr="000E178C">
        <w:rPr>
          <w:rFonts w:cs="Times New Roman"/>
          <w:i/>
          <w:szCs w:val="24"/>
        </w:rPr>
        <w:t>Smith</w:t>
      </w:r>
      <w:r w:rsidR="00CE514E" w:rsidRPr="000E178C">
        <w:rPr>
          <w:rFonts w:cs="Times New Roman"/>
          <w:szCs w:val="24"/>
        </w:rPr>
        <w:t>, 180 F.3d at 1172 (</w:t>
      </w:r>
      <w:r w:rsidR="00BE55EC" w:rsidRPr="000E178C">
        <w:rPr>
          <w:rFonts w:cs="Times New Roman"/>
          <w:szCs w:val="24"/>
        </w:rPr>
        <w:t>finding that no magic words are required; an employee</w:t>
      </w:r>
      <w:r w:rsidR="009A495B" w:rsidRPr="000E178C">
        <w:rPr>
          <w:rFonts w:cs="Times New Roman"/>
          <w:szCs w:val="24"/>
        </w:rPr>
        <w:t xml:space="preserve"> need not mention the ADA or reasonable accommodations);</w:t>
      </w:r>
      <w:r w:rsidR="00CE514E" w:rsidRPr="000E178C">
        <w:rPr>
          <w:rFonts w:cs="Times New Roman"/>
          <w:i/>
          <w:szCs w:val="24"/>
        </w:rPr>
        <w:t xml:space="preserve"> </w:t>
      </w:r>
      <w:proofErr w:type="spellStart"/>
      <w:r w:rsidRPr="000E178C">
        <w:rPr>
          <w:rFonts w:eastAsia="Times New Roman" w:cs="Times New Roman"/>
          <w:i/>
          <w:color w:val="000000"/>
          <w:szCs w:val="24"/>
        </w:rPr>
        <w:t>Freadman</w:t>
      </w:r>
      <w:proofErr w:type="spellEnd"/>
      <w:r w:rsidR="00550A64" w:rsidRPr="000E178C">
        <w:rPr>
          <w:rFonts w:eastAsia="Times New Roman" w:cs="Times New Roman"/>
          <w:color w:val="000000"/>
          <w:szCs w:val="24"/>
        </w:rPr>
        <w:t>,</w:t>
      </w:r>
      <w:r w:rsidRPr="000E178C">
        <w:rPr>
          <w:rFonts w:eastAsia="Times New Roman" w:cs="Times New Roman"/>
          <w:i/>
          <w:color w:val="000000"/>
          <w:szCs w:val="24"/>
        </w:rPr>
        <w:t xml:space="preserve"> </w:t>
      </w:r>
      <w:r w:rsidRPr="000E178C">
        <w:rPr>
          <w:rFonts w:eastAsia="Times New Roman" w:cs="Times New Roman"/>
          <w:color w:val="000000"/>
          <w:szCs w:val="24"/>
        </w:rPr>
        <w:t xml:space="preserve">484 F.3d </w:t>
      </w:r>
      <w:r w:rsidR="00550A64" w:rsidRPr="000E178C">
        <w:rPr>
          <w:rFonts w:eastAsia="Times New Roman" w:cs="Times New Roman"/>
          <w:color w:val="000000"/>
          <w:szCs w:val="24"/>
        </w:rPr>
        <w:t>at</w:t>
      </w:r>
      <w:r w:rsidRPr="000E178C">
        <w:rPr>
          <w:rFonts w:eastAsia="Times New Roman" w:cs="Times New Roman"/>
          <w:color w:val="000000"/>
          <w:szCs w:val="24"/>
        </w:rPr>
        <w:t xml:space="preserve"> 102 (</w:t>
      </w:r>
      <w:commentRangeStart w:id="31"/>
      <w:r w:rsidRPr="000E178C">
        <w:rPr>
          <w:rFonts w:eastAsia="Times New Roman" w:cs="Times New Roman"/>
          <w:color w:val="000000"/>
          <w:szCs w:val="24"/>
        </w:rPr>
        <w:t xml:space="preserve">finding a request to take time off because the employee was “starting not to feel well” not sufficiently specific). </w:t>
      </w:r>
      <w:commentRangeEnd w:id="31"/>
      <w:r w:rsidR="00797423" w:rsidRPr="000E178C">
        <w:rPr>
          <w:rStyle w:val="CommentReference"/>
          <w:rFonts w:cs="Times New Roman"/>
          <w:sz w:val="24"/>
          <w:szCs w:val="24"/>
        </w:rPr>
        <w:commentReference w:id="31"/>
      </w:r>
      <w:r w:rsidR="007B17F4" w:rsidRPr="000E178C">
        <w:rPr>
          <w:rStyle w:val="cohl"/>
          <w:rFonts w:cs="Times New Roman"/>
          <w:color w:val="000000"/>
          <w:szCs w:val="24"/>
          <w:shd w:val="clear" w:color="auto" w:fill="FFFFFF"/>
        </w:rPr>
        <w:t>An employee is required to inform the employer of the “</w:t>
      </w:r>
      <w:r w:rsidR="007B17F4" w:rsidRPr="000E178C">
        <w:rPr>
          <w:rStyle w:val="cohl"/>
          <w:rFonts w:cs="Times New Roman"/>
          <w:i/>
          <w:iCs/>
          <w:color w:val="000000"/>
          <w:szCs w:val="24"/>
          <w:shd w:val="clear" w:color="auto" w:fill="FFFFFF"/>
        </w:rPr>
        <w:t>expected duration of the impairment</w:t>
      </w:r>
      <w:r w:rsidR="007B17F4" w:rsidRPr="000E178C">
        <w:rPr>
          <w:rStyle w:val="cohl"/>
          <w:rFonts w:cs="Times New Roman"/>
          <w:color w:val="000000"/>
          <w:szCs w:val="24"/>
          <w:shd w:val="clear" w:color="auto" w:fill="FFFFFF"/>
        </w:rPr>
        <w:t> (not the duration of the leave request).</w:t>
      </w:r>
      <w:r w:rsidR="00D3301E" w:rsidRPr="000E178C">
        <w:rPr>
          <w:rStyle w:val="cohl"/>
          <w:rFonts w:cs="Times New Roman"/>
          <w:color w:val="000000"/>
          <w:szCs w:val="24"/>
          <w:shd w:val="clear" w:color="auto" w:fill="FFFFFF"/>
        </w:rPr>
        <w:t>”</w:t>
      </w:r>
      <w:r w:rsidR="007B17F4" w:rsidRPr="000E178C">
        <w:rPr>
          <w:rStyle w:val="cohl"/>
          <w:rFonts w:cs="Times New Roman"/>
          <w:color w:val="000000"/>
          <w:szCs w:val="24"/>
          <w:shd w:val="clear" w:color="auto" w:fill="FFFFFF"/>
        </w:rPr>
        <w:t xml:space="preserve"> </w:t>
      </w:r>
      <w:r w:rsidR="001D0DE5" w:rsidRPr="000E178C">
        <w:rPr>
          <w:rStyle w:val="cohl"/>
          <w:rFonts w:cs="Times New Roman"/>
          <w:i/>
          <w:color w:val="000000"/>
          <w:szCs w:val="24"/>
          <w:shd w:val="clear" w:color="auto" w:fill="FFFFFF"/>
        </w:rPr>
        <w:t>Cisneros</w:t>
      </w:r>
      <w:r w:rsidR="001D0DE5" w:rsidRPr="000E178C">
        <w:rPr>
          <w:rStyle w:val="cohl"/>
          <w:rFonts w:cs="Times New Roman"/>
          <w:color w:val="000000"/>
          <w:szCs w:val="24"/>
          <w:shd w:val="clear" w:color="auto" w:fill="FFFFFF"/>
        </w:rPr>
        <w:t xml:space="preserve">, 226 F.3d </w:t>
      </w:r>
      <w:r w:rsidR="005B5800" w:rsidRPr="000E178C">
        <w:rPr>
          <w:rStyle w:val="cohl"/>
          <w:rFonts w:cs="Times New Roman"/>
          <w:color w:val="000000"/>
          <w:szCs w:val="24"/>
          <w:shd w:val="clear" w:color="auto" w:fill="FFFFFF"/>
        </w:rPr>
        <w:t>at</w:t>
      </w:r>
      <w:r w:rsidR="00D3301E" w:rsidRPr="000E178C">
        <w:rPr>
          <w:rStyle w:val="cohl"/>
          <w:rFonts w:cs="Times New Roman"/>
          <w:color w:val="000000"/>
          <w:szCs w:val="24"/>
          <w:shd w:val="clear" w:color="auto" w:fill="FFFFFF"/>
        </w:rPr>
        <w:t xml:space="preserve"> </w:t>
      </w:r>
      <w:r w:rsidR="00611E54" w:rsidRPr="000E178C">
        <w:rPr>
          <w:rStyle w:val="cohl"/>
          <w:rFonts w:cs="Times New Roman"/>
          <w:color w:val="000000"/>
          <w:szCs w:val="24"/>
          <w:shd w:val="clear" w:color="auto" w:fill="FFFFFF"/>
        </w:rPr>
        <w:t>1129 – 30</w:t>
      </w:r>
      <w:r w:rsidR="001D0DE5" w:rsidRPr="000E178C">
        <w:rPr>
          <w:rStyle w:val="cohl"/>
          <w:rFonts w:cs="Times New Roman"/>
          <w:color w:val="000000"/>
          <w:szCs w:val="24"/>
          <w:shd w:val="clear" w:color="auto" w:fill="FFFFFF"/>
        </w:rPr>
        <w:t>.</w:t>
      </w:r>
      <w:r w:rsidR="00F833D1" w:rsidRPr="000E178C">
        <w:rPr>
          <w:rStyle w:val="cohl"/>
          <w:rFonts w:cs="Times New Roman"/>
          <w:color w:val="000000"/>
          <w:szCs w:val="24"/>
          <w:shd w:val="clear" w:color="auto" w:fill="FFFFFF"/>
        </w:rPr>
        <w:t xml:space="preserve"> </w:t>
      </w:r>
    </w:p>
    <w:p w14:paraId="79EC8737" w14:textId="17F5EFF2" w:rsidR="004D6854" w:rsidRPr="000E178C" w:rsidRDefault="00CE332B" w:rsidP="00B948DB">
      <w:pPr>
        <w:rPr>
          <w:rFonts w:cs="Times New Roman"/>
          <w:szCs w:val="24"/>
        </w:rPr>
      </w:pPr>
      <w:r w:rsidRPr="000E178C">
        <w:rPr>
          <w:rFonts w:cs="Times New Roman"/>
          <w:szCs w:val="24"/>
        </w:rPr>
        <w:t xml:space="preserve">Mr. Hernandez’s request for a modified schedule was a </w:t>
      </w:r>
      <w:r w:rsidR="005A7C48" w:rsidRPr="000E178C">
        <w:rPr>
          <w:rFonts w:cs="Times New Roman"/>
          <w:szCs w:val="24"/>
        </w:rPr>
        <w:t xml:space="preserve">reasonable request for accommodation </w:t>
      </w:r>
      <w:r w:rsidR="008048A7" w:rsidRPr="000E178C">
        <w:rPr>
          <w:rFonts w:cs="Times New Roman"/>
          <w:szCs w:val="24"/>
        </w:rPr>
        <w:t xml:space="preserve">because he </w:t>
      </w:r>
      <w:r w:rsidR="002966A2" w:rsidRPr="000E178C">
        <w:rPr>
          <w:rFonts w:cs="Times New Roman"/>
          <w:szCs w:val="24"/>
        </w:rPr>
        <w:t>engaged</w:t>
      </w:r>
      <w:r w:rsidR="008048A7" w:rsidRPr="000E178C">
        <w:rPr>
          <w:rFonts w:cs="Times New Roman"/>
          <w:szCs w:val="24"/>
        </w:rPr>
        <w:t xml:space="preserve"> SSS about his </w:t>
      </w:r>
      <w:r w:rsidR="00E22437" w:rsidRPr="000E178C">
        <w:rPr>
          <w:rFonts w:cs="Times New Roman"/>
          <w:szCs w:val="24"/>
        </w:rPr>
        <w:t>needs</w:t>
      </w:r>
      <w:r w:rsidR="008048A7" w:rsidRPr="000E178C">
        <w:rPr>
          <w:rFonts w:cs="Times New Roman"/>
          <w:szCs w:val="24"/>
        </w:rPr>
        <w:t xml:space="preserve"> was as specific as he was able to be</w:t>
      </w:r>
      <w:r w:rsidR="00E22437" w:rsidRPr="000E178C">
        <w:rPr>
          <w:rFonts w:cs="Times New Roman"/>
          <w:szCs w:val="24"/>
        </w:rPr>
        <w:t>.</w:t>
      </w:r>
      <w:r w:rsidR="008048A7" w:rsidRPr="000E178C">
        <w:rPr>
          <w:rFonts w:cs="Times New Roman"/>
          <w:szCs w:val="24"/>
        </w:rPr>
        <w:t xml:space="preserve"> </w:t>
      </w:r>
      <w:r w:rsidR="009E5609" w:rsidRPr="000E178C">
        <w:rPr>
          <w:rFonts w:cs="Times New Roman"/>
          <w:szCs w:val="24"/>
        </w:rPr>
        <w:t>In</w:t>
      </w:r>
      <w:r w:rsidR="00942412" w:rsidRPr="000E178C">
        <w:rPr>
          <w:rFonts w:cs="Times New Roman"/>
          <w:szCs w:val="24"/>
        </w:rPr>
        <w:t xml:space="preserve"> </w:t>
      </w:r>
      <w:r w:rsidR="00942412" w:rsidRPr="000E178C">
        <w:rPr>
          <w:rFonts w:cs="Times New Roman"/>
          <w:i/>
          <w:szCs w:val="24"/>
        </w:rPr>
        <w:t xml:space="preserve">Carter v. Pathfinder Energy </w:t>
      </w:r>
      <w:proofErr w:type="spellStart"/>
      <w:r w:rsidR="00942412" w:rsidRPr="000E178C">
        <w:rPr>
          <w:rFonts w:cs="Times New Roman"/>
          <w:i/>
          <w:szCs w:val="24"/>
        </w:rPr>
        <w:t>Servs</w:t>
      </w:r>
      <w:proofErr w:type="spellEnd"/>
      <w:r w:rsidR="00942412" w:rsidRPr="000E178C">
        <w:rPr>
          <w:rFonts w:cs="Times New Roman"/>
          <w:i/>
          <w:szCs w:val="24"/>
        </w:rPr>
        <w:t>., Inc.</w:t>
      </w:r>
      <w:r w:rsidR="00942412" w:rsidRPr="000E178C">
        <w:rPr>
          <w:rFonts w:cs="Times New Roman"/>
          <w:szCs w:val="24"/>
        </w:rPr>
        <w:t>, 662 F.3d 1134, 1146 (10th Cir. 2011)</w:t>
      </w:r>
      <w:r w:rsidR="00160ACD" w:rsidRPr="000E178C">
        <w:rPr>
          <w:rFonts w:cs="Times New Roman"/>
          <w:szCs w:val="24"/>
        </w:rPr>
        <w:t xml:space="preserve"> a </w:t>
      </w:r>
      <w:r w:rsidR="00F539FC" w:rsidRPr="000E178C">
        <w:rPr>
          <w:rFonts w:cs="Times New Roman"/>
          <w:szCs w:val="24"/>
        </w:rPr>
        <w:t>request for part time work to rest from long shifts was ruled as a reasonable accommodation. Here,</w:t>
      </w:r>
      <w:r w:rsidR="009F6D8F" w:rsidRPr="000E178C">
        <w:rPr>
          <w:rFonts w:cs="Times New Roman"/>
          <w:szCs w:val="24"/>
        </w:rPr>
        <w:t xml:space="preserve"> Mr. Hernandez requests</w:t>
      </w:r>
      <w:r w:rsidR="00FA55B9" w:rsidRPr="000E178C">
        <w:rPr>
          <w:rFonts w:cs="Times New Roman"/>
          <w:szCs w:val="24"/>
        </w:rPr>
        <w:t xml:space="preserve"> not to be excused from his work, but to be able to work when he is able, whether that is morning or night</w:t>
      </w:r>
      <w:r w:rsidR="00740BBE" w:rsidRPr="000E178C">
        <w:rPr>
          <w:rFonts w:cs="Times New Roman"/>
          <w:szCs w:val="24"/>
        </w:rPr>
        <w:t xml:space="preserve"> his requested accommodation is less burdensome to his employer than </w:t>
      </w:r>
      <w:r w:rsidR="00775299" w:rsidRPr="000E178C">
        <w:rPr>
          <w:rFonts w:cs="Times New Roman"/>
          <w:szCs w:val="24"/>
        </w:rPr>
        <w:t xml:space="preserve">in </w:t>
      </w:r>
      <w:r w:rsidR="00775299" w:rsidRPr="000E178C">
        <w:rPr>
          <w:rFonts w:cs="Times New Roman"/>
          <w:i/>
          <w:szCs w:val="24"/>
        </w:rPr>
        <w:t>Carter</w:t>
      </w:r>
      <w:r w:rsidR="00775299" w:rsidRPr="000E178C">
        <w:rPr>
          <w:rFonts w:cs="Times New Roman"/>
          <w:szCs w:val="24"/>
        </w:rPr>
        <w:t>, and so should be ruled as reasonable.</w:t>
      </w:r>
      <w:r w:rsidR="00942412" w:rsidRPr="000E178C">
        <w:rPr>
          <w:rFonts w:cs="Times New Roman"/>
          <w:szCs w:val="24"/>
        </w:rPr>
        <w:t xml:space="preserve"> </w:t>
      </w:r>
      <w:r w:rsidR="00775299" w:rsidRPr="000E178C">
        <w:rPr>
          <w:rFonts w:cs="Times New Roman"/>
          <w:szCs w:val="24"/>
        </w:rPr>
        <w:t xml:space="preserve">662 F.3d at 1146. </w:t>
      </w:r>
      <w:r w:rsidR="00E41C9B" w:rsidRPr="000E178C">
        <w:rPr>
          <w:rFonts w:cs="Times New Roman"/>
          <w:szCs w:val="24"/>
        </w:rPr>
        <w:t xml:space="preserve">In </w:t>
      </w:r>
      <w:proofErr w:type="spellStart"/>
      <w:r w:rsidR="00734B3C" w:rsidRPr="000E178C">
        <w:rPr>
          <w:rFonts w:cs="Times New Roman"/>
          <w:i/>
          <w:szCs w:val="24"/>
        </w:rPr>
        <w:t>Selk</w:t>
      </w:r>
      <w:proofErr w:type="spellEnd"/>
      <w:r w:rsidR="00734B3C" w:rsidRPr="000E178C">
        <w:rPr>
          <w:rFonts w:cs="Times New Roman"/>
          <w:i/>
          <w:szCs w:val="24"/>
        </w:rPr>
        <w:t xml:space="preserve"> v. Brigham Young Univ.</w:t>
      </w:r>
      <w:r w:rsidR="00734B3C" w:rsidRPr="000E178C">
        <w:rPr>
          <w:rFonts w:cs="Times New Roman"/>
          <w:szCs w:val="24"/>
        </w:rPr>
        <w:t>, No. 2:13-CV-00326-CW, 2015 WL 150250, at *</w:t>
      </w:r>
      <w:r w:rsidR="007361A3" w:rsidRPr="000E178C">
        <w:rPr>
          <w:rFonts w:cs="Times New Roman"/>
          <w:szCs w:val="24"/>
        </w:rPr>
        <w:t>6</w:t>
      </w:r>
      <w:r w:rsidR="00734B3C" w:rsidRPr="000E178C">
        <w:rPr>
          <w:rFonts w:cs="Times New Roman"/>
          <w:szCs w:val="24"/>
        </w:rPr>
        <w:t xml:space="preserve"> (D. Utah Jan. 12, 2015), </w:t>
      </w:r>
      <w:r w:rsidR="00884498" w:rsidRPr="000E178C">
        <w:rPr>
          <w:rFonts w:cs="Times New Roman"/>
          <w:szCs w:val="24"/>
        </w:rPr>
        <w:t>the employ</w:t>
      </w:r>
      <w:r w:rsidR="00273F6B" w:rsidRPr="000E178C">
        <w:rPr>
          <w:rFonts w:cs="Times New Roman"/>
          <w:szCs w:val="24"/>
        </w:rPr>
        <w:t>ee</w:t>
      </w:r>
      <w:r w:rsidR="00884498" w:rsidRPr="000E178C">
        <w:rPr>
          <w:rFonts w:cs="Times New Roman"/>
          <w:szCs w:val="24"/>
        </w:rPr>
        <w:t xml:space="preserve"> and employer </w:t>
      </w:r>
      <w:proofErr w:type="gramStart"/>
      <w:r w:rsidR="00884498" w:rsidRPr="000E178C">
        <w:rPr>
          <w:rFonts w:cs="Times New Roman"/>
          <w:szCs w:val="24"/>
        </w:rPr>
        <w:t>entered into</w:t>
      </w:r>
      <w:proofErr w:type="gramEnd"/>
      <w:r w:rsidR="00884498" w:rsidRPr="000E178C">
        <w:rPr>
          <w:rFonts w:cs="Times New Roman"/>
          <w:szCs w:val="24"/>
        </w:rPr>
        <w:t xml:space="preserve"> a </w:t>
      </w:r>
      <w:r w:rsidR="00500464" w:rsidRPr="000E178C">
        <w:rPr>
          <w:rFonts w:cs="Times New Roman"/>
          <w:szCs w:val="24"/>
        </w:rPr>
        <w:t xml:space="preserve">good faith </w:t>
      </w:r>
      <w:r w:rsidR="007361A3" w:rsidRPr="000E178C">
        <w:rPr>
          <w:rFonts w:cs="Times New Roman"/>
          <w:szCs w:val="24"/>
        </w:rPr>
        <w:t>interactive</w:t>
      </w:r>
      <w:r w:rsidR="00884498" w:rsidRPr="000E178C">
        <w:rPr>
          <w:rFonts w:cs="Times New Roman"/>
          <w:szCs w:val="24"/>
        </w:rPr>
        <w:t xml:space="preserve"> process when </w:t>
      </w:r>
      <w:r w:rsidR="001445FB" w:rsidRPr="000E178C">
        <w:rPr>
          <w:rFonts w:cs="Times New Roman"/>
          <w:szCs w:val="24"/>
        </w:rPr>
        <w:t>the employee approach the employer with his request, and then again when the previous accommodation was no longer available</w:t>
      </w:r>
      <w:r w:rsidR="004655B9" w:rsidRPr="000E178C">
        <w:rPr>
          <w:rFonts w:cs="Times New Roman"/>
          <w:szCs w:val="24"/>
        </w:rPr>
        <w:t xml:space="preserve">. Here, unlike </w:t>
      </w:r>
      <w:proofErr w:type="spellStart"/>
      <w:r w:rsidR="004655B9" w:rsidRPr="000E178C">
        <w:rPr>
          <w:rFonts w:cs="Times New Roman"/>
          <w:i/>
          <w:szCs w:val="24"/>
        </w:rPr>
        <w:t>Selk</w:t>
      </w:r>
      <w:proofErr w:type="spellEnd"/>
      <w:r w:rsidR="004655B9" w:rsidRPr="000E178C">
        <w:rPr>
          <w:rFonts w:cs="Times New Roman"/>
          <w:szCs w:val="24"/>
        </w:rPr>
        <w:t xml:space="preserve">, SSS </w:t>
      </w:r>
      <w:r w:rsidR="00165D71" w:rsidRPr="000E178C">
        <w:rPr>
          <w:rFonts w:cs="Times New Roman"/>
          <w:szCs w:val="24"/>
        </w:rPr>
        <w:t xml:space="preserve">did not allow </w:t>
      </w:r>
      <w:r w:rsidR="00AA4D7A" w:rsidRPr="000E178C">
        <w:rPr>
          <w:rFonts w:cs="Times New Roman"/>
          <w:szCs w:val="24"/>
        </w:rPr>
        <w:t xml:space="preserve">the </w:t>
      </w:r>
      <w:r w:rsidR="00791154" w:rsidRPr="000E178C">
        <w:rPr>
          <w:rFonts w:cs="Times New Roman"/>
          <w:szCs w:val="24"/>
        </w:rPr>
        <w:t>interactive</w:t>
      </w:r>
      <w:r w:rsidR="00AA4D7A" w:rsidRPr="000E178C">
        <w:rPr>
          <w:rFonts w:cs="Times New Roman"/>
          <w:szCs w:val="24"/>
        </w:rPr>
        <w:t xml:space="preserve"> process to take place because it refused to consider accommodations without specifics, which Mr. Hernandez was unable to give at that time, </w:t>
      </w:r>
      <w:r w:rsidR="00E13B36" w:rsidRPr="000E178C">
        <w:rPr>
          <w:rFonts w:cs="Times New Roman"/>
          <w:szCs w:val="24"/>
        </w:rPr>
        <w:t xml:space="preserve">nor potentially ever give, as the duration of cancer and manifestation of its symptoms </w:t>
      </w:r>
      <w:r w:rsidR="00E41C9B" w:rsidRPr="000E178C">
        <w:rPr>
          <w:rFonts w:cs="Times New Roman"/>
          <w:szCs w:val="24"/>
        </w:rPr>
        <w:t>cannot</w:t>
      </w:r>
      <w:r w:rsidR="00370829" w:rsidRPr="000E178C">
        <w:rPr>
          <w:rFonts w:cs="Times New Roman"/>
          <w:szCs w:val="24"/>
        </w:rPr>
        <w:t xml:space="preserve"> be foretold.</w:t>
      </w:r>
      <w:r w:rsidR="00E41C9B" w:rsidRPr="000E178C">
        <w:rPr>
          <w:rFonts w:cs="Times New Roman"/>
          <w:szCs w:val="24"/>
        </w:rPr>
        <w:t xml:space="preserve"> </w:t>
      </w:r>
      <w:r w:rsidR="00CD5D4E" w:rsidRPr="000E178C">
        <w:rPr>
          <w:rFonts w:cs="Times New Roman"/>
          <w:szCs w:val="24"/>
        </w:rPr>
        <w:t>2015 WL 150250 at *6.</w:t>
      </w:r>
    </w:p>
    <w:p w14:paraId="473987DF" w14:textId="0A807223" w:rsidR="00734B3C" w:rsidRPr="000E178C" w:rsidRDefault="00E41C9B" w:rsidP="00B948DB">
      <w:pPr>
        <w:rPr>
          <w:rFonts w:cs="Times New Roman"/>
          <w:color w:val="FF0000"/>
          <w:szCs w:val="24"/>
        </w:rPr>
      </w:pPr>
      <w:r w:rsidRPr="000E178C">
        <w:rPr>
          <w:rStyle w:val="cohl"/>
          <w:rFonts w:cs="Times New Roman"/>
          <w:szCs w:val="24"/>
        </w:rPr>
        <w:t>In </w:t>
      </w:r>
      <w:proofErr w:type="spellStart"/>
      <w:r w:rsidR="007307E8" w:rsidRPr="000E178C">
        <w:rPr>
          <w:rFonts w:cs="Times New Roman"/>
          <w:i/>
          <w:szCs w:val="24"/>
        </w:rPr>
        <w:t>Freadman</w:t>
      </w:r>
      <w:proofErr w:type="spellEnd"/>
      <w:r w:rsidR="007307E8" w:rsidRPr="000E178C">
        <w:rPr>
          <w:rFonts w:cs="Times New Roman"/>
          <w:i/>
          <w:szCs w:val="24"/>
        </w:rPr>
        <w:t xml:space="preserve"> v. Metro. Prop. &amp; Cas. Ins. Co</w:t>
      </w:r>
      <w:r w:rsidR="007307E8" w:rsidRPr="000E178C">
        <w:rPr>
          <w:rFonts w:cs="Times New Roman"/>
          <w:szCs w:val="24"/>
        </w:rPr>
        <w:t>., 484 F.3d 91, 103 (1st Cir. 2007)</w:t>
      </w:r>
      <w:r w:rsidRPr="000E178C">
        <w:rPr>
          <w:rStyle w:val="cohl"/>
          <w:rFonts w:cs="Times New Roman"/>
          <w:szCs w:val="24"/>
        </w:rPr>
        <w:t>, an employee told her direct supervisor that she “needed to take some time off because [she was] starting not to feel well</w:t>
      </w:r>
      <w:r w:rsidR="00B570D4" w:rsidRPr="000E178C">
        <w:rPr>
          <w:rStyle w:val="cohl"/>
          <w:rFonts w:cs="Times New Roman"/>
          <w:szCs w:val="24"/>
        </w:rPr>
        <w:t xml:space="preserve">” and was ruled insufficient because she did not say when she would need time off. </w:t>
      </w:r>
      <w:r w:rsidR="00512C3E" w:rsidRPr="000E178C">
        <w:rPr>
          <w:rStyle w:val="cohl"/>
          <w:rFonts w:cs="Times New Roman"/>
          <w:szCs w:val="24"/>
        </w:rPr>
        <w:t xml:space="preserve">In </w:t>
      </w:r>
      <w:r w:rsidR="00512C3E" w:rsidRPr="000E178C">
        <w:rPr>
          <w:rFonts w:eastAsia="Times New Roman" w:cs="Times New Roman"/>
          <w:i/>
          <w:szCs w:val="24"/>
        </w:rPr>
        <w:t>Foster v. Mountain Coal Co., LLC</w:t>
      </w:r>
      <w:r w:rsidR="00512C3E" w:rsidRPr="000E178C">
        <w:rPr>
          <w:rFonts w:eastAsia="Times New Roman" w:cs="Times New Roman"/>
          <w:szCs w:val="24"/>
        </w:rPr>
        <w:t xml:space="preserve">, 830 F.3d 1178, </w:t>
      </w:r>
      <w:r w:rsidR="007178F0" w:rsidRPr="000E178C">
        <w:rPr>
          <w:rFonts w:eastAsia="Times New Roman" w:cs="Times New Roman"/>
          <w:szCs w:val="24"/>
        </w:rPr>
        <w:t>1189</w:t>
      </w:r>
      <w:r w:rsidR="00512C3E" w:rsidRPr="000E178C">
        <w:rPr>
          <w:rFonts w:eastAsia="Times New Roman" w:cs="Times New Roman"/>
          <w:szCs w:val="24"/>
        </w:rPr>
        <w:t xml:space="preserve"> (10th Cir. 2016),</w:t>
      </w:r>
      <w:r w:rsidR="00852BB4" w:rsidRPr="000E178C">
        <w:rPr>
          <w:rFonts w:eastAsia="Times New Roman" w:cs="Times New Roman"/>
          <w:szCs w:val="24"/>
        </w:rPr>
        <w:t xml:space="preserve"> </w:t>
      </w:r>
      <w:r w:rsidR="00884D89" w:rsidRPr="000E178C">
        <w:rPr>
          <w:rFonts w:eastAsia="Times New Roman" w:cs="Times New Roman"/>
          <w:szCs w:val="24"/>
        </w:rPr>
        <w:t xml:space="preserve">Foster told his employer, Mountain Coal, that he had an appointment the next day to schedule an imminent </w:t>
      </w:r>
      <w:r w:rsidR="001D6F7E" w:rsidRPr="000E178C">
        <w:rPr>
          <w:rFonts w:eastAsia="Times New Roman" w:cs="Times New Roman"/>
          <w:szCs w:val="24"/>
        </w:rPr>
        <w:t>surgery. Here</w:t>
      </w:r>
      <w:r w:rsidR="001D6F7E" w:rsidRPr="000E178C">
        <w:rPr>
          <w:rFonts w:eastAsia="Times New Roman" w:cs="Times New Roman"/>
          <w:color w:val="000000"/>
          <w:szCs w:val="24"/>
        </w:rPr>
        <w:t xml:space="preserve">, unlike </w:t>
      </w:r>
      <w:proofErr w:type="spellStart"/>
      <w:r w:rsidR="001D6F7E" w:rsidRPr="000E178C">
        <w:rPr>
          <w:rFonts w:eastAsia="Times New Roman" w:cs="Times New Roman"/>
          <w:i/>
          <w:color w:val="000000"/>
          <w:szCs w:val="24"/>
        </w:rPr>
        <w:t>Freadman</w:t>
      </w:r>
      <w:proofErr w:type="spellEnd"/>
      <w:r w:rsidR="001D6F7E" w:rsidRPr="000E178C">
        <w:rPr>
          <w:rFonts w:eastAsia="Times New Roman" w:cs="Times New Roman"/>
          <w:color w:val="000000"/>
          <w:szCs w:val="24"/>
        </w:rPr>
        <w:t xml:space="preserve"> and like </w:t>
      </w:r>
      <w:r w:rsidR="00011E11" w:rsidRPr="000E178C">
        <w:rPr>
          <w:rFonts w:eastAsia="Times New Roman" w:cs="Times New Roman"/>
          <w:i/>
          <w:color w:val="000000"/>
          <w:szCs w:val="24"/>
        </w:rPr>
        <w:t>Foster</w:t>
      </w:r>
      <w:r w:rsidR="001D6F7E" w:rsidRPr="000E178C">
        <w:rPr>
          <w:rFonts w:eastAsia="Times New Roman" w:cs="Times New Roman"/>
          <w:color w:val="000000"/>
          <w:szCs w:val="24"/>
        </w:rPr>
        <w:t xml:space="preserve">, Mr. Hernandez has been </w:t>
      </w:r>
      <w:r w:rsidR="00011E11" w:rsidRPr="000E178C">
        <w:rPr>
          <w:rFonts w:eastAsia="Times New Roman" w:cs="Times New Roman"/>
          <w:color w:val="000000"/>
          <w:szCs w:val="24"/>
        </w:rPr>
        <w:t>specific, notifying his employer of his upcoming appointment</w:t>
      </w:r>
      <w:r w:rsidR="0081172A" w:rsidRPr="000E178C">
        <w:rPr>
          <w:rFonts w:eastAsia="Times New Roman" w:cs="Times New Roman"/>
          <w:color w:val="000000"/>
          <w:szCs w:val="24"/>
        </w:rPr>
        <w:t xml:space="preserve"> and immediate </w:t>
      </w:r>
      <w:r w:rsidR="007178F0" w:rsidRPr="000E178C">
        <w:rPr>
          <w:rFonts w:eastAsia="Times New Roman" w:cs="Times New Roman"/>
          <w:color w:val="000000"/>
          <w:szCs w:val="24"/>
        </w:rPr>
        <w:t>symptoms</w:t>
      </w:r>
      <w:r w:rsidR="0081172A" w:rsidRPr="000E178C">
        <w:rPr>
          <w:rFonts w:eastAsia="Times New Roman" w:cs="Times New Roman"/>
          <w:color w:val="000000"/>
          <w:szCs w:val="24"/>
        </w:rPr>
        <w:t xml:space="preserve">, being as specific as he was able. </w:t>
      </w:r>
      <w:proofErr w:type="spellStart"/>
      <w:r w:rsidR="0081172A" w:rsidRPr="000E178C">
        <w:rPr>
          <w:rFonts w:eastAsia="Times New Roman" w:cs="Times New Roman"/>
          <w:i/>
          <w:color w:val="000000"/>
          <w:szCs w:val="24"/>
        </w:rPr>
        <w:t>Freadman</w:t>
      </w:r>
      <w:proofErr w:type="spellEnd"/>
      <w:r w:rsidR="0081172A" w:rsidRPr="000E178C">
        <w:rPr>
          <w:rFonts w:eastAsia="Times New Roman" w:cs="Times New Roman"/>
          <w:color w:val="000000"/>
          <w:szCs w:val="24"/>
        </w:rPr>
        <w:t xml:space="preserve">, </w:t>
      </w:r>
      <w:r w:rsidR="0081172A" w:rsidRPr="000E178C">
        <w:rPr>
          <w:rFonts w:cs="Times New Roman"/>
          <w:color w:val="000000"/>
          <w:szCs w:val="24"/>
        </w:rPr>
        <w:t xml:space="preserve">484 F.3d at 103; </w:t>
      </w:r>
      <w:r w:rsidR="0081172A" w:rsidRPr="000E178C">
        <w:rPr>
          <w:rFonts w:eastAsia="Times New Roman" w:cs="Times New Roman"/>
          <w:i/>
          <w:color w:val="000000"/>
          <w:szCs w:val="24"/>
        </w:rPr>
        <w:t>Foster</w:t>
      </w:r>
      <w:r w:rsidR="0081172A" w:rsidRPr="000E178C">
        <w:rPr>
          <w:rFonts w:eastAsia="Times New Roman" w:cs="Times New Roman"/>
          <w:color w:val="000000"/>
          <w:szCs w:val="24"/>
        </w:rPr>
        <w:t>, 830</w:t>
      </w:r>
      <w:r w:rsidR="007178F0" w:rsidRPr="000E178C">
        <w:rPr>
          <w:rFonts w:eastAsia="Times New Roman" w:cs="Times New Roman"/>
          <w:color w:val="000000"/>
          <w:szCs w:val="24"/>
        </w:rPr>
        <w:t xml:space="preserve"> F.3d at 1189. </w:t>
      </w:r>
    </w:p>
    <w:p w14:paraId="18388F86" w14:textId="2B565DA9" w:rsidR="00BD0AAF" w:rsidRPr="000E178C" w:rsidRDefault="0095280C" w:rsidP="001371BB">
      <w:pPr>
        <w:pStyle w:val="Heading3"/>
        <w:numPr>
          <w:ilvl w:val="0"/>
          <w:numId w:val="11"/>
        </w:numPr>
        <w:spacing w:line="240" w:lineRule="auto"/>
        <w:ind w:left="1440" w:hanging="720"/>
        <w:rPr>
          <w:rFonts w:cs="Times New Roman"/>
        </w:rPr>
      </w:pPr>
      <w:bookmarkStart w:id="32" w:name="_Toc509470363"/>
      <w:r w:rsidRPr="000E178C">
        <w:rPr>
          <w:rFonts w:cs="Times New Roman"/>
        </w:rPr>
        <w:t>Mr. Hernandez’</w:t>
      </w:r>
      <w:r w:rsidR="00446C29" w:rsidRPr="000E178C">
        <w:rPr>
          <w:rFonts w:cs="Times New Roman"/>
        </w:rPr>
        <w:t xml:space="preserve">s Request </w:t>
      </w:r>
      <w:r w:rsidR="008C3514" w:rsidRPr="000E178C">
        <w:rPr>
          <w:rFonts w:cs="Times New Roman"/>
        </w:rPr>
        <w:t>for</w:t>
      </w:r>
      <w:r w:rsidR="00446C29" w:rsidRPr="000E178C">
        <w:rPr>
          <w:rFonts w:cs="Times New Roman"/>
        </w:rPr>
        <w:t xml:space="preserve"> A Modified Schedule Would Not Have Caused Undue Burden </w:t>
      </w:r>
      <w:r w:rsidR="003D2EE9" w:rsidRPr="000E178C">
        <w:rPr>
          <w:rFonts w:cs="Times New Roman"/>
        </w:rPr>
        <w:t>on</w:t>
      </w:r>
      <w:r w:rsidR="00446C29" w:rsidRPr="000E178C">
        <w:rPr>
          <w:rFonts w:cs="Times New Roman"/>
        </w:rPr>
        <w:t xml:space="preserve"> SSS Because There Was </w:t>
      </w:r>
      <w:r w:rsidR="001371BB" w:rsidRPr="000E178C">
        <w:rPr>
          <w:rFonts w:cs="Times New Roman"/>
        </w:rPr>
        <w:t>an</w:t>
      </w:r>
      <w:r w:rsidR="00446C29" w:rsidRPr="000E178C">
        <w:rPr>
          <w:rFonts w:cs="Times New Roman"/>
        </w:rPr>
        <w:t xml:space="preserve"> Employee of Similar Skill and Education That Could Have Covered Mr. </w:t>
      </w:r>
      <w:r w:rsidR="008C3514" w:rsidRPr="000E178C">
        <w:rPr>
          <w:rFonts w:cs="Times New Roman"/>
        </w:rPr>
        <w:t>Hernandez’s</w:t>
      </w:r>
      <w:r w:rsidR="00446C29" w:rsidRPr="000E178C">
        <w:rPr>
          <w:rFonts w:cs="Times New Roman"/>
        </w:rPr>
        <w:t xml:space="preserve"> Duties, </w:t>
      </w:r>
      <w:r w:rsidR="008C3514" w:rsidRPr="000E178C">
        <w:rPr>
          <w:rFonts w:cs="Times New Roman"/>
        </w:rPr>
        <w:t xml:space="preserve">and Mr. Hernandez Believed He Could Finish His Work </w:t>
      </w:r>
      <w:r w:rsidR="00E10BFC" w:rsidRPr="000E178C">
        <w:rPr>
          <w:rFonts w:cs="Times New Roman"/>
        </w:rPr>
        <w:t>with</w:t>
      </w:r>
      <w:r w:rsidR="008C3514" w:rsidRPr="000E178C">
        <w:rPr>
          <w:rFonts w:cs="Times New Roman"/>
        </w:rPr>
        <w:t xml:space="preserve"> </w:t>
      </w:r>
      <w:r w:rsidR="00D0484C" w:rsidRPr="000E178C">
        <w:rPr>
          <w:rFonts w:cs="Times New Roman"/>
        </w:rPr>
        <w:t>t</w:t>
      </w:r>
      <w:r w:rsidR="008C3514" w:rsidRPr="000E178C">
        <w:rPr>
          <w:rFonts w:cs="Times New Roman"/>
        </w:rPr>
        <w:t>he Modified Schedule.</w:t>
      </w:r>
      <w:bookmarkEnd w:id="32"/>
      <w:r w:rsidR="008C3514" w:rsidRPr="000E178C">
        <w:rPr>
          <w:rFonts w:cs="Times New Roman"/>
        </w:rPr>
        <w:t xml:space="preserve"> </w:t>
      </w:r>
      <w:r w:rsidR="001371BB" w:rsidRPr="000E178C">
        <w:rPr>
          <w:rFonts w:cs="Times New Roman"/>
        </w:rPr>
        <w:br/>
      </w:r>
    </w:p>
    <w:p w14:paraId="450D242F" w14:textId="2646C071" w:rsidR="006760AC" w:rsidRPr="000E178C" w:rsidRDefault="00151C22" w:rsidP="0010386E">
      <w:pPr>
        <w:rPr>
          <w:rFonts w:cs="Times New Roman"/>
          <w:szCs w:val="24"/>
        </w:rPr>
      </w:pPr>
      <w:r w:rsidRPr="000E178C">
        <w:rPr>
          <w:rFonts w:cs="Times New Roman"/>
          <w:szCs w:val="24"/>
        </w:rPr>
        <w:t>EEOC Regulations allow</w:t>
      </w:r>
      <w:r w:rsidR="00501212" w:rsidRPr="000E178C">
        <w:rPr>
          <w:rFonts w:cs="Times New Roman"/>
          <w:szCs w:val="24"/>
        </w:rPr>
        <w:t xml:space="preserve"> a defendant to show that a requested </w:t>
      </w:r>
      <w:r w:rsidR="001A6A61" w:rsidRPr="000E178C">
        <w:rPr>
          <w:rFonts w:cs="Times New Roman"/>
          <w:szCs w:val="24"/>
        </w:rPr>
        <w:t>accommodation</w:t>
      </w:r>
      <w:r w:rsidR="00501212" w:rsidRPr="000E178C">
        <w:rPr>
          <w:rFonts w:cs="Times New Roman"/>
          <w:szCs w:val="24"/>
        </w:rPr>
        <w:t xml:space="preserve"> </w:t>
      </w:r>
      <w:r w:rsidR="002C2A2B" w:rsidRPr="000E178C">
        <w:rPr>
          <w:rFonts w:cs="Times New Roman"/>
          <w:szCs w:val="24"/>
        </w:rPr>
        <w:t>would</w:t>
      </w:r>
      <w:r w:rsidR="00501212" w:rsidRPr="000E178C">
        <w:rPr>
          <w:rFonts w:cs="Times New Roman"/>
          <w:szCs w:val="24"/>
        </w:rPr>
        <w:t xml:space="preserve"> impose an undue hardship on the operation of the defendant’s business.</w:t>
      </w:r>
      <w:r w:rsidR="00FA6A21" w:rsidRPr="000E178C">
        <w:rPr>
          <w:rFonts w:cs="Times New Roman"/>
          <w:szCs w:val="24"/>
        </w:rPr>
        <w:t xml:space="preserve"> 29 C.F.R. § 1630.15</w:t>
      </w:r>
      <w:r w:rsidR="00376B92" w:rsidRPr="000E178C">
        <w:rPr>
          <w:rFonts w:cs="Times New Roman"/>
          <w:szCs w:val="24"/>
        </w:rPr>
        <w:t>(d)</w:t>
      </w:r>
      <w:r w:rsidR="00FA6A21" w:rsidRPr="000E178C">
        <w:rPr>
          <w:rFonts w:cs="Times New Roman"/>
          <w:szCs w:val="24"/>
        </w:rPr>
        <w:t>.</w:t>
      </w:r>
      <w:r w:rsidR="00501212" w:rsidRPr="000E178C">
        <w:rPr>
          <w:rFonts w:cs="Times New Roman"/>
          <w:szCs w:val="24"/>
        </w:rPr>
        <w:t xml:space="preserve"> </w:t>
      </w:r>
      <w:r w:rsidR="00557BA9" w:rsidRPr="000E178C">
        <w:rPr>
          <w:rFonts w:cs="Times New Roman"/>
          <w:szCs w:val="24"/>
        </w:rPr>
        <w:t xml:space="preserve">Undue hardship requires significant difficulty or expense and must be considered </w:t>
      </w:r>
      <w:proofErr w:type="gramStart"/>
      <w:r w:rsidR="00557BA9" w:rsidRPr="000E178C">
        <w:rPr>
          <w:rFonts w:cs="Times New Roman"/>
          <w:szCs w:val="24"/>
        </w:rPr>
        <w:t>in light of</w:t>
      </w:r>
      <w:proofErr w:type="gramEnd"/>
      <w:r w:rsidR="00557BA9" w:rsidRPr="000E178C">
        <w:rPr>
          <w:rFonts w:cs="Times New Roman"/>
          <w:szCs w:val="24"/>
        </w:rPr>
        <w:t xml:space="preserve"> an employer’s resources, size, </w:t>
      </w:r>
      <w:r w:rsidR="009F6B9A" w:rsidRPr="000E178C">
        <w:rPr>
          <w:rFonts w:cs="Times New Roman"/>
          <w:szCs w:val="24"/>
        </w:rPr>
        <w:t>nature and cost of the accommodation</w:t>
      </w:r>
      <w:r w:rsidR="00F41869" w:rsidRPr="000E178C">
        <w:rPr>
          <w:rFonts w:cs="Times New Roman"/>
          <w:szCs w:val="24"/>
        </w:rPr>
        <w:t xml:space="preserve">, </w:t>
      </w:r>
      <w:r w:rsidR="00557BA9" w:rsidRPr="000E178C">
        <w:rPr>
          <w:rFonts w:cs="Times New Roman"/>
          <w:szCs w:val="24"/>
        </w:rPr>
        <w:t>and the impact of the accommodation. 42 U.S.C. § 12111(</w:t>
      </w:r>
      <w:proofErr w:type="gramStart"/>
      <w:r w:rsidR="00557BA9" w:rsidRPr="000E178C">
        <w:rPr>
          <w:rFonts w:cs="Times New Roman"/>
          <w:szCs w:val="24"/>
        </w:rPr>
        <w:t>10)</w:t>
      </w:r>
      <w:r w:rsidR="00811B68" w:rsidRPr="000E178C">
        <w:rPr>
          <w:rFonts w:cs="Times New Roman"/>
          <w:szCs w:val="24"/>
        </w:rPr>
        <w:t>(</w:t>
      </w:r>
      <w:proofErr w:type="gramEnd"/>
      <w:r w:rsidR="00811B68" w:rsidRPr="000E178C">
        <w:rPr>
          <w:rFonts w:cs="Times New Roman"/>
          <w:szCs w:val="24"/>
        </w:rPr>
        <w:t>A)</w:t>
      </w:r>
      <w:r w:rsidR="00F41869" w:rsidRPr="000E178C">
        <w:rPr>
          <w:rFonts w:cs="Times New Roman"/>
          <w:szCs w:val="24"/>
        </w:rPr>
        <w:t xml:space="preserve"> &amp;</w:t>
      </w:r>
      <w:r w:rsidR="00811B68" w:rsidRPr="000E178C">
        <w:rPr>
          <w:rFonts w:cs="Times New Roman"/>
          <w:szCs w:val="24"/>
        </w:rPr>
        <w:t xml:space="preserve"> </w:t>
      </w:r>
      <w:r w:rsidR="003509BB" w:rsidRPr="000E178C">
        <w:rPr>
          <w:rFonts w:cs="Times New Roman"/>
          <w:szCs w:val="24"/>
        </w:rPr>
        <w:t>(B)</w:t>
      </w:r>
      <w:r w:rsidR="00557BA9" w:rsidRPr="000E178C">
        <w:rPr>
          <w:rFonts w:cs="Times New Roman"/>
          <w:szCs w:val="24"/>
        </w:rPr>
        <w:fldChar w:fldCharType="begin"/>
      </w:r>
      <w:r w:rsidR="00557BA9" w:rsidRPr="000E178C">
        <w:rPr>
          <w:rFonts w:cs="Times New Roman"/>
          <w:szCs w:val="24"/>
        </w:rPr>
        <w:instrText xml:space="preserve"> TA \l "42 U.S.C. § 12111(10)" \s "42 U.S.C. § 12111(10)" \c 2 </w:instrText>
      </w:r>
      <w:r w:rsidR="00557BA9" w:rsidRPr="000E178C">
        <w:rPr>
          <w:rFonts w:cs="Times New Roman"/>
          <w:szCs w:val="24"/>
        </w:rPr>
        <w:fldChar w:fldCharType="end"/>
      </w:r>
      <w:r w:rsidR="00557BA9" w:rsidRPr="000E178C">
        <w:rPr>
          <w:rFonts w:cs="Times New Roman"/>
          <w:szCs w:val="24"/>
        </w:rPr>
        <w:t>.</w:t>
      </w:r>
      <w:r w:rsidR="00567140" w:rsidRPr="000E178C">
        <w:rPr>
          <w:rFonts w:cs="Times New Roman"/>
          <w:szCs w:val="24"/>
        </w:rPr>
        <w:t xml:space="preserve"> </w:t>
      </w:r>
      <w:r w:rsidR="00265E68" w:rsidRPr="000E178C">
        <w:rPr>
          <w:rFonts w:cs="Times New Roman"/>
          <w:szCs w:val="24"/>
        </w:rPr>
        <w:t>The employer bears the b</w:t>
      </w:r>
      <w:r w:rsidR="0053106B" w:rsidRPr="000E178C">
        <w:rPr>
          <w:rFonts w:cs="Times New Roman"/>
          <w:szCs w:val="24"/>
        </w:rPr>
        <w:t xml:space="preserve">urden of persuasion on whether an accommodation would </w:t>
      </w:r>
      <w:r w:rsidR="001730D1" w:rsidRPr="000E178C">
        <w:rPr>
          <w:rFonts w:cs="Times New Roman"/>
          <w:szCs w:val="24"/>
        </w:rPr>
        <w:t>impose</w:t>
      </w:r>
      <w:r w:rsidR="0053106B" w:rsidRPr="000E178C">
        <w:rPr>
          <w:rFonts w:cs="Times New Roman"/>
          <w:szCs w:val="24"/>
        </w:rPr>
        <w:t xml:space="preserve"> undue hardship. </w:t>
      </w:r>
      <w:proofErr w:type="spellStart"/>
      <w:r w:rsidR="001730D1" w:rsidRPr="000E178C">
        <w:rPr>
          <w:rFonts w:cs="Times New Roman"/>
          <w:i/>
          <w:szCs w:val="24"/>
        </w:rPr>
        <w:t>Rascon</w:t>
      </w:r>
      <w:proofErr w:type="spellEnd"/>
      <w:r w:rsidR="001730D1" w:rsidRPr="000E178C">
        <w:rPr>
          <w:rFonts w:cs="Times New Roman"/>
          <w:i/>
          <w:szCs w:val="24"/>
        </w:rPr>
        <w:t xml:space="preserve"> v. US W. Commc'ns, Inc.</w:t>
      </w:r>
      <w:r w:rsidR="001730D1" w:rsidRPr="000E178C">
        <w:rPr>
          <w:rFonts w:cs="Times New Roman"/>
          <w:szCs w:val="24"/>
        </w:rPr>
        <w:t>, 143 F.3d 1324, 1334 (10th Cir. 1998) (holding an extended leave with the employee’s duties covered by others did not cause undue hardship)</w:t>
      </w:r>
      <w:r w:rsidR="003C0AC8" w:rsidRPr="000E178C">
        <w:rPr>
          <w:rFonts w:cs="Times New Roman"/>
          <w:szCs w:val="24"/>
        </w:rPr>
        <w:t xml:space="preserve"> </w:t>
      </w:r>
      <w:r w:rsidR="003C0AC8" w:rsidRPr="000E178C">
        <w:rPr>
          <w:rStyle w:val="Emphasis"/>
          <w:rFonts w:cs="Times New Roman"/>
          <w:szCs w:val="24"/>
        </w:rPr>
        <w:t>overruled on other grounds by </w:t>
      </w:r>
      <w:hyperlink r:id="rId14" w:history="1">
        <w:r w:rsidR="003C0AC8" w:rsidRPr="000E178C">
          <w:rPr>
            <w:rStyle w:val="Emphasis"/>
            <w:rFonts w:cs="Times New Roman"/>
            <w:szCs w:val="24"/>
          </w:rPr>
          <w:t>New Hampshire v. Maine,</w:t>
        </w:r>
        <w:r w:rsidR="003C0AC8" w:rsidRPr="000E178C">
          <w:rPr>
            <w:rStyle w:val="Hyperlink"/>
            <w:rFonts w:cs="Times New Roman"/>
            <w:color w:val="auto"/>
            <w:szCs w:val="24"/>
            <w:u w:val="none"/>
          </w:rPr>
          <w:t> 532 U.S. 742 (2001)</w:t>
        </w:r>
      </w:hyperlink>
      <w:r w:rsidR="001730D1" w:rsidRPr="000E178C">
        <w:rPr>
          <w:rFonts w:cs="Times New Roman"/>
          <w:szCs w:val="24"/>
        </w:rPr>
        <w:t>.</w:t>
      </w:r>
      <w:r w:rsidR="003C0AC8" w:rsidRPr="000E178C">
        <w:rPr>
          <w:rFonts w:cs="Times New Roman"/>
          <w:szCs w:val="24"/>
        </w:rPr>
        <w:t xml:space="preserve"> </w:t>
      </w:r>
      <w:r w:rsidR="001730D1" w:rsidRPr="000E178C">
        <w:rPr>
          <w:rFonts w:cs="Times New Roman"/>
          <w:szCs w:val="24"/>
        </w:rPr>
        <w:t xml:space="preserve"> </w:t>
      </w:r>
    </w:p>
    <w:p w14:paraId="2BD858C5" w14:textId="00FE5472" w:rsidR="000E178C" w:rsidRDefault="00C22124" w:rsidP="007F12FF">
      <w:pPr>
        <w:rPr>
          <w:rFonts w:cs="Times New Roman"/>
          <w:szCs w:val="24"/>
        </w:rPr>
      </w:pPr>
      <w:commentRangeStart w:id="33"/>
      <w:r w:rsidRPr="000E178C">
        <w:rPr>
          <w:rFonts w:cs="Times New Roman"/>
          <w:szCs w:val="24"/>
        </w:rPr>
        <w:t xml:space="preserve">The </w:t>
      </w:r>
      <w:r w:rsidR="00292379" w:rsidRPr="000E178C">
        <w:rPr>
          <w:rFonts w:cs="Times New Roman"/>
          <w:szCs w:val="24"/>
        </w:rPr>
        <w:t xml:space="preserve">reasonable </w:t>
      </w:r>
      <w:r w:rsidR="008C3514" w:rsidRPr="000E178C">
        <w:rPr>
          <w:rFonts w:cs="Times New Roman"/>
          <w:szCs w:val="24"/>
        </w:rPr>
        <w:t>accommodations</w:t>
      </w:r>
      <w:r w:rsidR="00292379" w:rsidRPr="000E178C">
        <w:rPr>
          <w:rFonts w:cs="Times New Roman"/>
          <w:szCs w:val="24"/>
        </w:rPr>
        <w:t xml:space="preserve"> requested by Mr. Hernandez would not cause undue hardship because there was an employee </w:t>
      </w:r>
      <w:r w:rsidR="008C3514" w:rsidRPr="000E178C">
        <w:rPr>
          <w:rFonts w:cs="Times New Roman"/>
          <w:szCs w:val="24"/>
        </w:rPr>
        <w:t>suitable</w:t>
      </w:r>
      <w:r w:rsidR="00292379" w:rsidRPr="000E178C">
        <w:rPr>
          <w:rFonts w:cs="Times New Roman"/>
          <w:szCs w:val="24"/>
        </w:rPr>
        <w:t xml:space="preserve"> to assist in covering his duties, and </w:t>
      </w:r>
      <w:r w:rsidR="00A97C77" w:rsidRPr="000E178C">
        <w:rPr>
          <w:rFonts w:cs="Times New Roman"/>
          <w:szCs w:val="24"/>
        </w:rPr>
        <w:t xml:space="preserve">the modified schedule would have allowed Mr. Hernandez to finish his work on time. </w:t>
      </w:r>
      <w:commentRangeEnd w:id="33"/>
      <w:r w:rsidR="008C3514" w:rsidRPr="000E178C">
        <w:rPr>
          <w:rStyle w:val="CommentReference"/>
          <w:rFonts w:cs="Times New Roman"/>
          <w:sz w:val="24"/>
          <w:szCs w:val="24"/>
        </w:rPr>
        <w:commentReference w:id="33"/>
      </w:r>
      <w:r w:rsidR="0035118C" w:rsidRPr="000E178C">
        <w:rPr>
          <w:rFonts w:cs="Times New Roman"/>
          <w:szCs w:val="24"/>
        </w:rPr>
        <w:t xml:space="preserve">In </w:t>
      </w:r>
      <w:proofErr w:type="spellStart"/>
      <w:r w:rsidR="006C42E7" w:rsidRPr="000E178C">
        <w:rPr>
          <w:rFonts w:cs="Times New Roman"/>
          <w:i/>
          <w:szCs w:val="24"/>
        </w:rPr>
        <w:t>Rascon</w:t>
      </w:r>
      <w:proofErr w:type="spellEnd"/>
      <w:r w:rsidR="006C42E7" w:rsidRPr="000E178C">
        <w:rPr>
          <w:rFonts w:cs="Times New Roman"/>
          <w:i/>
          <w:szCs w:val="24"/>
        </w:rPr>
        <w:t xml:space="preserve"> v. US W. Commc'ns, Inc.</w:t>
      </w:r>
      <w:r w:rsidR="006C42E7" w:rsidRPr="000E178C">
        <w:rPr>
          <w:rFonts w:cs="Times New Roman"/>
          <w:szCs w:val="24"/>
        </w:rPr>
        <w:t xml:space="preserve">, 143 F.3d 1324, 1334 (10th Cir. 1998), </w:t>
      </w:r>
      <w:r w:rsidR="00154775" w:rsidRPr="000E178C">
        <w:rPr>
          <w:rFonts w:cs="Times New Roman"/>
          <w:szCs w:val="24"/>
        </w:rPr>
        <w:t xml:space="preserve">the employer </w:t>
      </w:r>
      <w:r w:rsidR="00706977" w:rsidRPr="000E178C">
        <w:rPr>
          <w:rFonts w:cs="Times New Roman"/>
          <w:szCs w:val="24"/>
        </w:rPr>
        <w:t xml:space="preserve">argued that the leave it granted its employee, </w:t>
      </w:r>
      <w:proofErr w:type="spellStart"/>
      <w:r w:rsidR="00706977" w:rsidRPr="000E178C">
        <w:rPr>
          <w:rFonts w:cs="Times New Roman"/>
          <w:szCs w:val="24"/>
        </w:rPr>
        <w:t>Rascon</w:t>
      </w:r>
      <w:proofErr w:type="spellEnd"/>
      <w:r w:rsidR="00706977" w:rsidRPr="000E178C">
        <w:rPr>
          <w:rFonts w:cs="Times New Roman"/>
          <w:szCs w:val="24"/>
        </w:rPr>
        <w:t xml:space="preserve">, was extraordinary accommodation that it had provided with difficulty because other employees had to cover </w:t>
      </w:r>
      <w:proofErr w:type="spellStart"/>
      <w:r w:rsidR="00706977" w:rsidRPr="000E178C">
        <w:rPr>
          <w:rFonts w:cs="Times New Roman"/>
          <w:szCs w:val="24"/>
        </w:rPr>
        <w:t>Rascon’s</w:t>
      </w:r>
      <w:proofErr w:type="spellEnd"/>
      <w:r w:rsidR="00706977" w:rsidRPr="000E178C">
        <w:rPr>
          <w:rFonts w:cs="Times New Roman"/>
          <w:szCs w:val="24"/>
        </w:rPr>
        <w:t xml:space="preserve"> </w:t>
      </w:r>
      <w:r w:rsidR="00EF560A" w:rsidRPr="000E178C">
        <w:rPr>
          <w:rFonts w:cs="Times New Roman"/>
          <w:szCs w:val="24"/>
        </w:rPr>
        <w:t>responsibilities, however the leave was less accommodating that than company policy required</w:t>
      </w:r>
      <w:r w:rsidR="0058221A" w:rsidRPr="000E178C">
        <w:rPr>
          <w:rFonts w:cs="Times New Roman"/>
          <w:szCs w:val="24"/>
        </w:rPr>
        <w:t xml:space="preserve">. </w:t>
      </w:r>
      <w:r w:rsidR="006C48F5" w:rsidRPr="000E178C">
        <w:rPr>
          <w:rFonts w:cs="Times New Roman"/>
          <w:szCs w:val="24"/>
        </w:rPr>
        <w:t xml:space="preserve">The Court </w:t>
      </w:r>
      <w:r w:rsidR="00481A06" w:rsidRPr="000E178C">
        <w:rPr>
          <w:rFonts w:cs="Times New Roman"/>
          <w:szCs w:val="24"/>
        </w:rPr>
        <w:t>held that co-workers</w:t>
      </w:r>
      <w:r w:rsidR="006C48F5" w:rsidRPr="000E178C">
        <w:rPr>
          <w:rFonts w:cs="Times New Roman"/>
          <w:szCs w:val="24"/>
        </w:rPr>
        <w:t xml:space="preserve"> </w:t>
      </w:r>
      <w:r w:rsidR="00070E06" w:rsidRPr="000E178C">
        <w:rPr>
          <w:rFonts w:cs="Times New Roman"/>
          <w:szCs w:val="24"/>
        </w:rPr>
        <w:t xml:space="preserve">covering the duties for Mr. </w:t>
      </w:r>
      <w:proofErr w:type="spellStart"/>
      <w:r w:rsidR="00070E06" w:rsidRPr="000E178C">
        <w:rPr>
          <w:rFonts w:cs="Times New Roman"/>
          <w:szCs w:val="24"/>
        </w:rPr>
        <w:t>Rascon</w:t>
      </w:r>
      <w:proofErr w:type="spellEnd"/>
      <w:r w:rsidR="00070E06" w:rsidRPr="000E178C">
        <w:rPr>
          <w:rFonts w:cs="Times New Roman"/>
          <w:szCs w:val="24"/>
        </w:rPr>
        <w:t xml:space="preserve"> for a period of </w:t>
      </w:r>
      <w:r w:rsidR="00580AC5" w:rsidRPr="000E178C">
        <w:rPr>
          <w:rFonts w:cs="Times New Roman"/>
          <w:szCs w:val="24"/>
        </w:rPr>
        <w:t>several months</w:t>
      </w:r>
      <w:r w:rsidR="00481A06" w:rsidRPr="000E178C">
        <w:rPr>
          <w:rFonts w:cs="Times New Roman"/>
          <w:szCs w:val="24"/>
        </w:rPr>
        <w:t xml:space="preserve"> was</w:t>
      </w:r>
      <w:r w:rsidR="003D5C78" w:rsidRPr="000E178C">
        <w:rPr>
          <w:rFonts w:cs="Times New Roman"/>
          <w:szCs w:val="24"/>
        </w:rPr>
        <w:t xml:space="preserve"> not undue hardship. </w:t>
      </w:r>
      <w:r w:rsidR="003D5C78" w:rsidRPr="000E178C">
        <w:rPr>
          <w:rFonts w:cs="Times New Roman"/>
          <w:i/>
          <w:szCs w:val="24"/>
        </w:rPr>
        <w:t>Id.</w:t>
      </w:r>
      <w:r w:rsidR="00580AC5" w:rsidRPr="000E178C">
        <w:rPr>
          <w:rFonts w:cs="Times New Roman"/>
          <w:szCs w:val="24"/>
        </w:rPr>
        <w:t xml:space="preserve"> at 1335. Here, </w:t>
      </w:r>
      <w:r w:rsidR="00CA48CB" w:rsidRPr="000E178C">
        <w:rPr>
          <w:rFonts w:cs="Times New Roman"/>
          <w:szCs w:val="24"/>
        </w:rPr>
        <w:t xml:space="preserve">there is no evidence of a </w:t>
      </w:r>
      <w:r w:rsidR="000033EF" w:rsidRPr="000E178C">
        <w:rPr>
          <w:rFonts w:cs="Times New Roman"/>
          <w:szCs w:val="24"/>
        </w:rPr>
        <w:t xml:space="preserve">policy for </w:t>
      </w:r>
      <w:r w:rsidR="00DB39ED" w:rsidRPr="000E178C">
        <w:rPr>
          <w:rFonts w:cs="Times New Roman"/>
          <w:szCs w:val="24"/>
        </w:rPr>
        <w:t xml:space="preserve">medical leave in the Record, but Mr. Hernandez believes he has seen other employees </w:t>
      </w:r>
      <w:r w:rsidR="002966A2" w:rsidRPr="000E178C">
        <w:rPr>
          <w:rFonts w:cs="Times New Roman"/>
          <w:szCs w:val="24"/>
        </w:rPr>
        <w:t>take</w:t>
      </w:r>
      <w:r w:rsidR="00F22994" w:rsidRPr="000E178C">
        <w:rPr>
          <w:rFonts w:cs="Times New Roman"/>
          <w:szCs w:val="24"/>
        </w:rPr>
        <w:t xml:space="preserve"> medical issues and parental leave, which suggests a genuine issue of material fact, </w:t>
      </w:r>
      <w:r w:rsidR="00C65BB3" w:rsidRPr="000E178C">
        <w:rPr>
          <w:rFonts w:cs="Times New Roman"/>
          <w:szCs w:val="24"/>
        </w:rPr>
        <w:t xml:space="preserve">requiring remand. R. at 11. </w:t>
      </w:r>
      <w:r w:rsidR="006E0CA4" w:rsidRPr="000E178C">
        <w:rPr>
          <w:rFonts w:cs="Times New Roman"/>
          <w:szCs w:val="24"/>
        </w:rPr>
        <w:t xml:space="preserve">SSS also contends that </w:t>
      </w:r>
      <w:r w:rsidR="00044E08" w:rsidRPr="000E178C">
        <w:rPr>
          <w:rFonts w:cs="Times New Roman"/>
          <w:szCs w:val="24"/>
        </w:rPr>
        <w:t xml:space="preserve">it believed Mr. Hernandez was the only employee capable of </w:t>
      </w:r>
      <w:r w:rsidR="00EB470F" w:rsidRPr="000E178C">
        <w:rPr>
          <w:rFonts w:cs="Times New Roman"/>
          <w:szCs w:val="24"/>
        </w:rPr>
        <w:t>performing</w:t>
      </w:r>
      <w:r w:rsidR="003373FB" w:rsidRPr="000E178C">
        <w:rPr>
          <w:rFonts w:cs="Times New Roman"/>
          <w:szCs w:val="24"/>
        </w:rPr>
        <w:t xml:space="preserve"> his tasks</w:t>
      </w:r>
      <w:r w:rsidR="00FC550C" w:rsidRPr="000E178C">
        <w:rPr>
          <w:rFonts w:cs="Times New Roman"/>
          <w:szCs w:val="24"/>
        </w:rPr>
        <w:t xml:space="preserve"> and</w:t>
      </w:r>
      <w:r w:rsidR="005125E3" w:rsidRPr="000E178C">
        <w:rPr>
          <w:rFonts w:cs="Times New Roman"/>
          <w:szCs w:val="24"/>
        </w:rPr>
        <w:t xml:space="preserve"> </w:t>
      </w:r>
      <w:commentRangeStart w:id="34"/>
      <w:r w:rsidR="005125E3" w:rsidRPr="000E178C">
        <w:rPr>
          <w:rFonts w:cs="Times New Roman"/>
          <w:szCs w:val="24"/>
        </w:rPr>
        <w:t>blames him delays in the project</w:t>
      </w:r>
      <w:commentRangeEnd w:id="34"/>
      <w:r w:rsidR="00FC550C" w:rsidRPr="000E178C">
        <w:rPr>
          <w:rStyle w:val="CommentReference"/>
          <w:rFonts w:cs="Times New Roman"/>
          <w:sz w:val="24"/>
          <w:szCs w:val="24"/>
        </w:rPr>
        <w:commentReference w:id="34"/>
      </w:r>
      <w:r w:rsidR="005125E3" w:rsidRPr="000E178C">
        <w:rPr>
          <w:rFonts w:cs="Times New Roman"/>
          <w:szCs w:val="24"/>
        </w:rPr>
        <w:t xml:space="preserve">. </w:t>
      </w:r>
      <w:r w:rsidR="00E32C45" w:rsidRPr="000E178C">
        <w:rPr>
          <w:rFonts w:cs="Times New Roman"/>
          <w:szCs w:val="24"/>
        </w:rPr>
        <w:t xml:space="preserve">R. at 17 – 18. </w:t>
      </w:r>
      <w:r w:rsidR="00061927" w:rsidRPr="000E178C">
        <w:rPr>
          <w:rFonts w:cs="Times New Roman"/>
          <w:szCs w:val="24"/>
        </w:rPr>
        <w:t>However</w:t>
      </w:r>
      <w:r w:rsidR="00711F66" w:rsidRPr="000E178C">
        <w:rPr>
          <w:rFonts w:cs="Times New Roman"/>
          <w:szCs w:val="24"/>
        </w:rPr>
        <w:t xml:space="preserve"> here</w:t>
      </w:r>
      <w:r w:rsidR="00061927" w:rsidRPr="000E178C">
        <w:rPr>
          <w:rFonts w:cs="Times New Roman"/>
          <w:szCs w:val="24"/>
        </w:rPr>
        <w:t xml:space="preserve">, </w:t>
      </w:r>
      <w:r w:rsidR="00EF3023" w:rsidRPr="000E178C">
        <w:rPr>
          <w:rFonts w:cs="Times New Roman"/>
          <w:szCs w:val="24"/>
        </w:rPr>
        <w:t xml:space="preserve">like </w:t>
      </w:r>
      <w:proofErr w:type="spellStart"/>
      <w:r w:rsidR="00EF3023" w:rsidRPr="000E178C">
        <w:rPr>
          <w:rFonts w:cs="Times New Roman"/>
          <w:i/>
          <w:szCs w:val="24"/>
        </w:rPr>
        <w:t>Rascon</w:t>
      </w:r>
      <w:proofErr w:type="spellEnd"/>
      <w:r w:rsidR="00EF3023" w:rsidRPr="000E178C">
        <w:rPr>
          <w:rFonts w:cs="Times New Roman"/>
          <w:szCs w:val="24"/>
        </w:rPr>
        <w:t xml:space="preserve">, </w:t>
      </w:r>
      <w:r w:rsidR="00061927" w:rsidRPr="000E178C">
        <w:rPr>
          <w:rFonts w:cs="Times New Roman"/>
          <w:szCs w:val="24"/>
        </w:rPr>
        <w:t xml:space="preserve">another employee, Joey Piper, has the same </w:t>
      </w:r>
      <w:r w:rsidR="00801352" w:rsidRPr="000E178C">
        <w:rPr>
          <w:rFonts w:cs="Times New Roman"/>
          <w:szCs w:val="24"/>
        </w:rPr>
        <w:t>education and training as Mr. Hernandez and would have been able to take Mr. Hernandez’s place on the project</w:t>
      </w:r>
      <w:r w:rsidR="00711F66" w:rsidRPr="000E178C">
        <w:rPr>
          <w:rFonts w:cs="Times New Roman"/>
          <w:szCs w:val="24"/>
        </w:rPr>
        <w:t xml:space="preserve">, allowing </w:t>
      </w:r>
      <w:r w:rsidR="00A87171" w:rsidRPr="000E178C">
        <w:rPr>
          <w:rFonts w:cs="Times New Roman"/>
          <w:szCs w:val="24"/>
        </w:rPr>
        <w:t>Mr. Hernandez’s duties to be covered without hardship</w:t>
      </w:r>
      <w:r w:rsidR="00E26D09" w:rsidRPr="000E178C">
        <w:rPr>
          <w:rFonts w:cs="Times New Roman"/>
          <w:szCs w:val="24"/>
        </w:rPr>
        <w:t xml:space="preserve">. </w:t>
      </w:r>
      <w:r w:rsidR="00EF3023" w:rsidRPr="000E178C">
        <w:rPr>
          <w:rFonts w:cs="Times New Roman"/>
          <w:szCs w:val="24"/>
        </w:rPr>
        <w:t xml:space="preserve">143 F.3d 1334; </w:t>
      </w:r>
      <w:r w:rsidR="00E26D09" w:rsidRPr="000E178C">
        <w:rPr>
          <w:rFonts w:cs="Times New Roman"/>
          <w:szCs w:val="24"/>
        </w:rPr>
        <w:t xml:space="preserve">R. at 12. </w:t>
      </w:r>
      <w:r w:rsidR="00F04180" w:rsidRPr="000E178C">
        <w:rPr>
          <w:rFonts w:cs="Times New Roman"/>
          <w:szCs w:val="24"/>
        </w:rPr>
        <w:t xml:space="preserve"> In </w:t>
      </w:r>
      <w:r w:rsidR="00F04180" w:rsidRPr="000E178C">
        <w:rPr>
          <w:rFonts w:cs="Times New Roman"/>
          <w:i/>
          <w:szCs w:val="24"/>
        </w:rPr>
        <w:t xml:space="preserve">Dutton v. Johnson </w:t>
      </w:r>
      <w:proofErr w:type="spellStart"/>
      <w:r w:rsidR="00F04180" w:rsidRPr="000E178C">
        <w:rPr>
          <w:rFonts w:cs="Times New Roman"/>
          <w:i/>
          <w:szCs w:val="24"/>
        </w:rPr>
        <w:t>Cty</w:t>
      </w:r>
      <w:proofErr w:type="spellEnd"/>
      <w:r w:rsidR="00F04180" w:rsidRPr="000E178C">
        <w:rPr>
          <w:rFonts w:cs="Times New Roman"/>
          <w:i/>
          <w:szCs w:val="24"/>
        </w:rPr>
        <w:t xml:space="preserve">. Bd. of </w:t>
      </w:r>
      <w:proofErr w:type="spellStart"/>
      <w:r w:rsidR="00F04180" w:rsidRPr="000E178C">
        <w:rPr>
          <w:rFonts w:cs="Times New Roman"/>
          <w:i/>
          <w:szCs w:val="24"/>
        </w:rPr>
        <w:t>Cty</w:t>
      </w:r>
      <w:proofErr w:type="spellEnd"/>
      <w:r w:rsidR="00F04180" w:rsidRPr="000E178C">
        <w:rPr>
          <w:rFonts w:cs="Times New Roman"/>
          <w:i/>
          <w:szCs w:val="24"/>
        </w:rPr>
        <w:t>. Comm'rs</w:t>
      </w:r>
      <w:r w:rsidR="00F04180" w:rsidRPr="000E178C">
        <w:rPr>
          <w:rFonts w:cs="Times New Roman"/>
          <w:szCs w:val="24"/>
        </w:rPr>
        <w:t>, 859 F. Supp. 498, 506 (D. Kan. 1994)</w:t>
      </w:r>
      <w:r w:rsidR="00DF344B" w:rsidRPr="000E178C">
        <w:rPr>
          <w:rFonts w:cs="Times New Roman"/>
          <w:szCs w:val="24"/>
        </w:rPr>
        <w:t xml:space="preserve">, the employer was not able to produce evidence showing that the employee’s absences </w:t>
      </w:r>
      <w:r w:rsidR="00C316C6" w:rsidRPr="000E178C">
        <w:rPr>
          <w:rFonts w:cs="Times New Roman"/>
          <w:szCs w:val="24"/>
        </w:rPr>
        <w:t xml:space="preserve">resulted in essential work not be completed in a timely manner. Here, unlike </w:t>
      </w:r>
      <w:r w:rsidR="00C316C6" w:rsidRPr="000E178C">
        <w:rPr>
          <w:rFonts w:cs="Times New Roman"/>
          <w:i/>
          <w:szCs w:val="24"/>
        </w:rPr>
        <w:t>Dutton</w:t>
      </w:r>
      <w:r w:rsidR="00C316C6" w:rsidRPr="000E178C">
        <w:rPr>
          <w:rFonts w:cs="Times New Roman"/>
          <w:szCs w:val="24"/>
        </w:rPr>
        <w:t>, SSS may point to the delays in its project</w:t>
      </w:r>
      <w:r w:rsidR="00692B34" w:rsidRPr="000E178C">
        <w:rPr>
          <w:rFonts w:cs="Times New Roman"/>
          <w:szCs w:val="24"/>
        </w:rPr>
        <w:t xml:space="preserve">, however these delays may have been avoided if SSS had </w:t>
      </w:r>
      <w:r w:rsidR="00CF0F0F" w:rsidRPr="000E178C">
        <w:rPr>
          <w:rFonts w:cs="Times New Roman"/>
          <w:szCs w:val="24"/>
        </w:rPr>
        <w:t xml:space="preserve">allowed Mr. Hernandez a modified schedule, as he was almost done with his work at the time of his termination. R. at 12, 18. </w:t>
      </w:r>
    </w:p>
    <w:p w14:paraId="37FA41F3" w14:textId="77777777" w:rsidR="000E178C" w:rsidRDefault="000E178C">
      <w:pPr>
        <w:jc w:val="center"/>
        <w:rPr>
          <w:rFonts w:cs="Times New Roman"/>
          <w:szCs w:val="24"/>
        </w:rPr>
      </w:pPr>
      <w:r>
        <w:rPr>
          <w:rFonts w:cs="Times New Roman"/>
          <w:szCs w:val="24"/>
        </w:rPr>
        <w:br w:type="page"/>
      </w:r>
    </w:p>
    <w:p w14:paraId="75EF8641" w14:textId="77777777" w:rsidR="00974EAE" w:rsidRPr="000E178C" w:rsidRDefault="00974EAE" w:rsidP="007F12FF">
      <w:pPr>
        <w:rPr>
          <w:rFonts w:cs="Times New Roman"/>
          <w:szCs w:val="24"/>
        </w:rPr>
      </w:pPr>
    </w:p>
    <w:p w14:paraId="55157ACF" w14:textId="77777777" w:rsidR="002A5122" w:rsidRPr="00557BA9" w:rsidRDefault="002A5122" w:rsidP="0010386E"/>
    <w:p w14:paraId="0AD01C00" w14:textId="55878DEB" w:rsidR="00BA4F2E" w:rsidRDefault="007415A9" w:rsidP="00D476E0">
      <w:pPr>
        <w:pStyle w:val="Heading1"/>
        <w:ind w:firstLine="0"/>
      </w:pPr>
      <w:bookmarkStart w:id="35" w:name="_Toc509470364"/>
      <w:r>
        <w:t>CONCLUSION</w:t>
      </w:r>
      <w:bookmarkEnd w:id="35"/>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r>
      <w:commentRangeStart w:id="36"/>
      <w:r w:rsidRPr="00A852B5">
        <w:t>________</w:t>
      </w:r>
      <w:r w:rsidRPr="00B7574D">
        <w:t>_____________</w:t>
      </w:r>
      <w:commentRangeEnd w:id="36"/>
      <w:r w:rsidR="00C0528C">
        <w:rPr>
          <w:rStyle w:val="CommentReference"/>
          <w:rFonts w:cstheme="minorBidi"/>
          <w:color w:val="auto"/>
        </w:rPr>
        <w:commentReference w:id="36"/>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5CCD0ACF" w:rsidR="000508DE" w:rsidRDefault="00BA4F2E" w:rsidP="00D476E0">
      <w:pPr>
        <w:pStyle w:val="Heading1"/>
        <w:ind w:firstLine="0"/>
      </w:pPr>
      <w:bookmarkStart w:id="37" w:name="_Toc509470365"/>
      <w:r>
        <w:lastRenderedPageBreak/>
        <w:t>CERTIFICATE OF COMPLIANCE</w:t>
      </w:r>
      <w:bookmarkEnd w:id="37"/>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commentRangeStart w:id="38"/>
      <w:r>
        <w:t>XXXX</w:t>
      </w:r>
      <w:commentRangeEnd w:id="38"/>
      <w:r w:rsidR="00C0528C">
        <w:rPr>
          <w:rStyle w:val="CommentReference"/>
          <w:rFonts w:cstheme="minorBidi"/>
          <w:color w:val="auto"/>
        </w:rPr>
        <w:commentReference w:id="38"/>
      </w:r>
      <w:r>
        <w:t xml:space="preserve">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r>
      <w:commentRangeStart w:id="39"/>
      <w:r w:rsidRPr="00A852B5">
        <w:t>__________</w:t>
      </w:r>
      <w:r w:rsidRPr="00BD4C48">
        <w:t>___________</w:t>
      </w:r>
      <w:r w:rsidRPr="00A852B5">
        <w:t xml:space="preserve"> </w:t>
      </w:r>
      <w:commentRangeEnd w:id="39"/>
      <w:r w:rsidR="00C0528C">
        <w:rPr>
          <w:rStyle w:val="CommentReference"/>
          <w:rFonts w:cstheme="minorBidi"/>
          <w:color w:val="auto"/>
        </w:rPr>
        <w:commentReference w:id="39"/>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40" w:name="_Toc509470366"/>
      <w:r>
        <w:t>CERTIFICATE OF SERVICE</w:t>
      </w:r>
      <w:bookmarkEnd w:id="40"/>
    </w:p>
    <w:p w14:paraId="1C0355E2" w14:textId="222EBEE2" w:rsidR="007972B8" w:rsidRDefault="007972B8" w:rsidP="00D476E0">
      <w:pPr>
        <w:pStyle w:val="Default"/>
        <w:rPr>
          <w:sz w:val="23"/>
          <w:szCs w:val="23"/>
        </w:rPr>
      </w:pPr>
      <w:r>
        <w:rPr>
          <w:sz w:val="23"/>
          <w:szCs w:val="23"/>
        </w:rPr>
        <w:t xml:space="preserve">I hereby certify that on this date, the </w:t>
      </w:r>
      <w:r w:rsidR="000F147F">
        <w:rPr>
          <w:sz w:val="23"/>
          <w:szCs w:val="23"/>
        </w:rPr>
        <w:t>26</w:t>
      </w:r>
      <w:r>
        <w:rPr>
          <w:sz w:val="23"/>
          <w:szCs w:val="23"/>
        </w:rPr>
        <w:t xml:space="preserve"> of</w:t>
      </w:r>
      <w:r w:rsidR="000F147F">
        <w:rPr>
          <w:sz w:val="23"/>
          <w:szCs w:val="23"/>
        </w:rPr>
        <w:t xml:space="preserve"> </w:t>
      </w:r>
      <w:proofErr w:type="gramStart"/>
      <w:r w:rsidR="00C0528C">
        <w:rPr>
          <w:sz w:val="23"/>
          <w:szCs w:val="23"/>
        </w:rPr>
        <w:t>March,</w:t>
      </w:r>
      <w:proofErr w:type="gramEnd"/>
      <w:r>
        <w:rPr>
          <w:sz w:val="23"/>
          <w:szCs w:val="23"/>
        </w:rPr>
        <w:t xml:space="preserve"> 201</w:t>
      </w:r>
      <w:r w:rsidR="005F043B">
        <w:rPr>
          <w:sz w:val="23"/>
          <w:szCs w:val="23"/>
        </w:rPr>
        <w:t>8</w:t>
      </w:r>
      <w:r>
        <w:rPr>
          <w:sz w:val="23"/>
          <w:szCs w:val="23"/>
        </w:rPr>
        <w:t xml:space="preserve">,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commentRangeStart w:id="41"/>
      <w:r w:rsidRPr="00A852B5">
        <w:t>__________</w:t>
      </w:r>
      <w:r w:rsidRPr="00BD4C48">
        <w:t>___________</w:t>
      </w:r>
      <w:commentRangeEnd w:id="41"/>
      <w:r w:rsidR="00C0528C">
        <w:rPr>
          <w:rStyle w:val="CommentReference"/>
          <w:rFonts w:cstheme="minorBidi"/>
          <w:color w:val="auto"/>
        </w:rPr>
        <w:commentReference w:id="41"/>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3-18T20:18:00Z" w:initials="sg">
    <w:p w14:paraId="32CDC500" w14:textId="1DA4D0F1" w:rsidR="00C0528C" w:rsidRDefault="00C0528C">
      <w:pPr>
        <w:pStyle w:val="CommentText"/>
      </w:pPr>
      <w:r>
        <w:rPr>
          <w:rStyle w:val="CommentReference"/>
        </w:rPr>
        <w:annotationRef/>
      </w:r>
      <w:r>
        <w:t>Don’t forget to change</w:t>
      </w:r>
    </w:p>
  </w:comment>
  <w:comment w:id="7" w:author="seth guthrie" w:date="2018-03-21T16:30:00Z" w:initials="sg">
    <w:p w14:paraId="5D859A68" w14:textId="2CC462C0" w:rsidR="009338B9" w:rsidRDefault="009338B9">
      <w:pPr>
        <w:pStyle w:val="CommentText"/>
      </w:pPr>
      <w:r>
        <w:rPr>
          <w:rStyle w:val="CommentReference"/>
        </w:rPr>
        <w:annotationRef/>
      </w:r>
      <w:r>
        <w:t>Both here, and the rest of my brief, should I flip the order?</w:t>
      </w:r>
    </w:p>
    <w:p w14:paraId="050D18A0" w14:textId="6276606E" w:rsidR="009338B9" w:rsidRDefault="009338B9">
      <w:pPr>
        <w:pStyle w:val="CommentText"/>
      </w:pPr>
    </w:p>
    <w:p w14:paraId="725E3F8A" w14:textId="13D17B5F" w:rsidR="009338B9" w:rsidRDefault="009338B9">
      <w:pPr>
        <w:pStyle w:val="CommentText"/>
      </w:pPr>
      <w:r>
        <w:t xml:space="preserve">I’m supposed to put the strongest </w:t>
      </w:r>
      <w:r w:rsidR="000113B6">
        <w:t>argument</w:t>
      </w:r>
      <w:r>
        <w:t xml:space="preserve"> first, and I feel my argument for </w:t>
      </w:r>
      <w:r w:rsidR="00CA39E2">
        <w:t xml:space="preserve">discrimination / reasonable accommodation is much stronger than the retaliation arguments. </w:t>
      </w:r>
    </w:p>
    <w:p w14:paraId="5380A03A" w14:textId="088FB075" w:rsidR="00845740" w:rsidRDefault="00845740">
      <w:pPr>
        <w:pStyle w:val="CommentText"/>
      </w:pPr>
    </w:p>
    <w:p w14:paraId="0B7134C0" w14:textId="599A8852" w:rsidR="00845740" w:rsidRDefault="00845740">
      <w:pPr>
        <w:pStyle w:val="CommentText"/>
      </w:pPr>
      <w:r>
        <w:t xml:space="preserve">Is this too fact </w:t>
      </w:r>
      <w:r w:rsidR="000113B6">
        <w:t>heavy? And not argument heavy enough?</w:t>
      </w:r>
    </w:p>
    <w:p w14:paraId="186C918D" w14:textId="181886F2" w:rsidR="001010F4" w:rsidRDefault="001010F4">
      <w:pPr>
        <w:pStyle w:val="CommentText"/>
      </w:pPr>
    </w:p>
    <w:p w14:paraId="7FFDB8A5" w14:textId="0AFE2D6B" w:rsidR="001010F4" w:rsidRDefault="001010F4">
      <w:pPr>
        <w:pStyle w:val="CommentText"/>
      </w:pPr>
      <w:r>
        <w:t xml:space="preserve">I feel that its too detailed perhaps. </w:t>
      </w:r>
    </w:p>
  </w:comment>
  <w:comment w:id="13" w:author="seth guthrie" w:date="2018-03-23T11:47:00Z" w:initials="sg">
    <w:p w14:paraId="6BF194BE" w14:textId="77777777" w:rsidR="00DA6E8D" w:rsidRDefault="00DA6E8D">
      <w:pPr>
        <w:pStyle w:val="CommentText"/>
        <w:rPr>
          <w:rStyle w:val="cohl"/>
          <w:rFonts w:ascii="Arial" w:hAnsi="Arial" w:cs="Arial"/>
          <w:color w:val="212121"/>
          <w:sz w:val="21"/>
          <w:szCs w:val="21"/>
        </w:rPr>
      </w:pPr>
      <w:r>
        <w:rPr>
          <w:rStyle w:val="CommentReference"/>
        </w:rPr>
        <w:annotationRef/>
      </w:r>
      <w:r>
        <w:rPr>
          <w:rStyle w:val="cohl"/>
          <w:rFonts w:ascii="Arial" w:hAnsi="Arial" w:cs="Arial"/>
          <w:color w:val="212121"/>
          <w:sz w:val="21"/>
          <w:szCs w:val="21"/>
        </w:rPr>
        <w:t>A plaintiff typically makes a showing of pretext in one of three ways</w:t>
      </w:r>
    </w:p>
    <w:p w14:paraId="740579FC" w14:textId="1125A32C" w:rsidR="00DA6E8D" w:rsidRDefault="00DA6E8D">
      <w:pPr>
        <w:pStyle w:val="CommentText"/>
        <w:rPr>
          <w:rStyle w:val="Emphasis"/>
          <w:rFonts w:ascii="Arial" w:hAnsi="Arial" w:cs="Arial"/>
          <w:color w:val="212121"/>
          <w:sz w:val="21"/>
          <w:szCs w:val="21"/>
        </w:rPr>
      </w:pPr>
      <w:r>
        <w:rPr>
          <w:rStyle w:val="cohl"/>
          <w:rFonts w:ascii="Arial" w:hAnsi="Arial" w:cs="Arial"/>
          <w:color w:val="212121"/>
          <w:sz w:val="21"/>
          <w:szCs w:val="21"/>
        </w:rPr>
        <w:t>:</w:t>
      </w:r>
      <w:r>
        <w:rPr>
          <w:rFonts w:ascii="Arial" w:hAnsi="Arial" w:cs="Arial"/>
          <w:color w:val="212121"/>
          <w:sz w:val="21"/>
          <w:szCs w:val="21"/>
        </w:rPr>
        <w:t> (1)</w:t>
      </w:r>
      <w:r>
        <w:rPr>
          <w:rStyle w:val="cohl"/>
          <w:rFonts w:ascii="Arial" w:hAnsi="Arial" w:cs="Arial"/>
          <w:color w:val="212121"/>
          <w:sz w:val="21"/>
          <w:szCs w:val="21"/>
        </w:rPr>
        <w:t> with evidence that the defendant's stated reason for the adverse employment action was false</w:t>
      </w:r>
      <w:r>
        <w:rPr>
          <w:rFonts w:ascii="Arial" w:hAnsi="Arial" w:cs="Arial"/>
          <w:color w:val="212121"/>
          <w:sz w:val="21"/>
          <w:szCs w:val="21"/>
        </w:rPr>
        <w:t>, </w:t>
      </w:r>
    </w:p>
    <w:p w14:paraId="339764DA" w14:textId="77777777" w:rsidR="00DA6E8D" w:rsidRDefault="00DA6E8D">
      <w:pPr>
        <w:pStyle w:val="CommentText"/>
        <w:rPr>
          <w:rStyle w:val="Emphasis"/>
          <w:rFonts w:ascii="Arial" w:hAnsi="Arial" w:cs="Arial"/>
          <w:color w:val="212121"/>
          <w:sz w:val="21"/>
          <w:szCs w:val="21"/>
        </w:rPr>
      </w:pPr>
      <w:r>
        <w:rPr>
          <w:rFonts w:ascii="Arial" w:hAnsi="Arial" w:cs="Arial"/>
          <w:color w:val="212121"/>
          <w:sz w:val="21"/>
          <w:szCs w:val="21"/>
        </w:rPr>
        <w:t xml:space="preserve"> (2)</w:t>
      </w:r>
      <w:r>
        <w:rPr>
          <w:rStyle w:val="cohl"/>
          <w:rFonts w:ascii="Arial" w:hAnsi="Arial" w:cs="Arial"/>
          <w:color w:val="212121"/>
          <w:sz w:val="21"/>
          <w:szCs w:val="21"/>
        </w:rPr>
        <w:t> with evidence that the defendant acted contrary to a written company policy prescribing the action to be taken by the defendant under the circumstances, </w:t>
      </w:r>
    </w:p>
    <w:p w14:paraId="6789D8FD" w14:textId="53D5291F" w:rsidR="00DA6E8D" w:rsidRDefault="00DA6E8D">
      <w:pPr>
        <w:pStyle w:val="CommentText"/>
        <w:rPr>
          <w:rFonts w:ascii="Arial" w:hAnsi="Arial" w:cs="Arial"/>
          <w:color w:val="212121"/>
          <w:sz w:val="21"/>
          <w:szCs w:val="21"/>
        </w:rPr>
      </w:pPr>
      <w:bookmarkStart w:id="14" w:name="_GoBack"/>
      <w:bookmarkEnd w:id="14"/>
      <w:r>
        <w:rPr>
          <w:rStyle w:val="cohl"/>
          <w:rFonts w:ascii="Arial" w:hAnsi="Arial" w:cs="Arial"/>
          <w:color w:val="212121"/>
          <w:sz w:val="21"/>
          <w:szCs w:val="21"/>
        </w:rPr>
        <w:t xml:space="preserve"> </w:t>
      </w:r>
      <w:r>
        <w:rPr>
          <w:rStyle w:val="cohl"/>
          <w:rFonts w:ascii="Arial" w:hAnsi="Arial" w:cs="Arial"/>
          <w:color w:val="212121"/>
          <w:sz w:val="21"/>
          <w:szCs w:val="21"/>
        </w:rPr>
        <w:t>(3) with evidence that the defendant acted contrary to an unwritten policy or contrary to company practice when making the adverse employment decision affecting the plaintiff.</w:t>
      </w:r>
      <w:hyperlink r:id="rId1" w:anchor="co_footnote_B01092000469400" w:history="1">
        <w:r>
          <w:rPr>
            <w:rStyle w:val="Hyperlink"/>
            <w:rFonts w:ascii="Arial" w:hAnsi="Arial" w:cs="Arial"/>
            <w:color w:val="4778C2"/>
            <w:vertAlign w:val="superscript"/>
          </w:rPr>
          <w:t>9</w:t>
        </w:r>
      </w:hyperlink>
      <w:r>
        <w:rPr>
          <w:rFonts w:ascii="Arial" w:hAnsi="Arial" w:cs="Arial"/>
          <w:color w:val="212121"/>
          <w:sz w:val="21"/>
          <w:szCs w:val="21"/>
        </w:rPr>
        <w:t> </w:t>
      </w:r>
    </w:p>
    <w:p w14:paraId="73B7DD1B" w14:textId="6FAA499F" w:rsidR="00DA6E8D" w:rsidRDefault="00DA6E8D">
      <w:pPr>
        <w:pStyle w:val="CommentText"/>
      </w:pPr>
    </w:p>
    <w:p w14:paraId="72D7397E" w14:textId="45C583CB" w:rsidR="00DA6E8D" w:rsidRDefault="00DA6E8D">
      <w:pPr>
        <w:pStyle w:val="CommentText"/>
      </w:pPr>
    </w:p>
    <w:p w14:paraId="455DE7AD" w14:textId="300BE8D7" w:rsidR="00DA6E8D" w:rsidRDefault="00DA6E8D">
      <w:pPr>
        <w:pStyle w:val="CommentText"/>
      </w:pPr>
      <w:r>
        <w:t>Kendrick</w:t>
      </w:r>
    </w:p>
  </w:comment>
  <w:comment w:id="15" w:author="seth guthrie" w:date="2018-03-23T10:36:00Z" w:initials="sg">
    <w:p w14:paraId="3467E92D" w14:textId="11739D6B" w:rsidR="00667240" w:rsidRDefault="00667240">
      <w:pPr>
        <w:pStyle w:val="CommentText"/>
      </w:pPr>
      <w:r>
        <w:rPr>
          <w:rStyle w:val="CommentReference"/>
        </w:rPr>
        <w:annotationRef/>
      </w:r>
      <w:r>
        <w:t>FIND IT</w:t>
      </w:r>
    </w:p>
  </w:comment>
  <w:comment w:id="16" w:author="seth guthrie" w:date="2018-03-21T11:01:00Z" w:initials="sg">
    <w:p w14:paraId="22E95C9A" w14:textId="0970B69C" w:rsidR="007B48A1" w:rsidRDefault="007B48A1">
      <w:pPr>
        <w:pStyle w:val="CommentText"/>
      </w:pPr>
      <w:r>
        <w:rPr>
          <w:rStyle w:val="CommentReference"/>
        </w:rPr>
        <w:annotationRef/>
      </w:r>
      <w:r>
        <w:t>Is that the right thought?</w:t>
      </w:r>
    </w:p>
  </w:comment>
  <w:comment w:id="17" w:author="seth guthrie" w:date="2018-03-17T17:11:00Z" w:initials="sg">
    <w:p w14:paraId="6C13CA76" w14:textId="67118AEB" w:rsidR="00806A72" w:rsidRDefault="00806A72">
      <w:pPr>
        <w:pStyle w:val="CommentText"/>
      </w:pPr>
      <w:r>
        <w:rPr>
          <w:rStyle w:val="CommentReference"/>
        </w:rPr>
        <w:annotationRef/>
      </w:r>
      <w:r>
        <w:t>Add to RE</w:t>
      </w:r>
    </w:p>
  </w:comment>
  <w:comment w:id="18"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0" w:author="seth guthrie" w:date="2018-03-13T22:00:00Z" w:initials="sg">
    <w:p w14:paraId="3A4911B8" w14:textId="3F24B8BC" w:rsidR="00967EE7" w:rsidRDefault="00967EE7">
      <w:pPr>
        <w:pStyle w:val="CommentText"/>
      </w:pPr>
      <w:r>
        <w:rPr>
          <w:rStyle w:val="CommentReference"/>
        </w:rPr>
        <w:annotationRef/>
      </w:r>
      <w:r w:rsidR="001B651E">
        <w:t>This is conclusory</w:t>
      </w:r>
      <w:r>
        <w:t>, add LSFs</w:t>
      </w:r>
    </w:p>
  </w:comment>
  <w:comment w:id="21" w:author="seth guthrie" w:date="2018-03-20T22:13:00Z" w:initials="sg">
    <w:p w14:paraId="4C5B02BB" w14:textId="4ED2FC9D" w:rsidR="00705F57" w:rsidRDefault="00705F57">
      <w:pPr>
        <w:pStyle w:val="CommentText"/>
      </w:pPr>
      <w:r>
        <w:rPr>
          <w:rStyle w:val="CommentReference"/>
        </w:rPr>
        <w:annotationRef/>
      </w:r>
      <w:r>
        <w:t xml:space="preserve">Prof. Castle says I can do this in a sentence, with a strong parenthetical. </w:t>
      </w:r>
    </w:p>
    <w:p w14:paraId="0F31F113" w14:textId="09FA17CF" w:rsidR="00705F57" w:rsidRDefault="00705F57">
      <w:pPr>
        <w:pStyle w:val="CommentText"/>
      </w:pPr>
    </w:p>
    <w:p w14:paraId="5A7012A0" w14:textId="24EAF2DF" w:rsidR="00705F57" w:rsidRDefault="00705F57">
      <w:pPr>
        <w:pStyle w:val="CommentText"/>
      </w:pPr>
      <w:r>
        <w:t>HOW DO I DO THAT? HOW CAN I CUT THIS DOWN?</w:t>
      </w:r>
    </w:p>
    <w:p w14:paraId="647415AC" w14:textId="54705E52" w:rsidR="00705F57" w:rsidRDefault="00705F57">
      <w:pPr>
        <w:pStyle w:val="CommentText"/>
      </w:pPr>
    </w:p>
    <w:p w14:paraId="75DF4CC6" w14:textId="4F54633F" w:rsidR="00705F57" w:rsidRDefault="00705F57">
      <w:pPr>
        <w:pStyle w:val="CommentText"/>
      </w:pPr>
      <w:r>
        <w:t xml:space="preserve">I CAN’T FIND A CASE TO ANALOGIZE, ONLY DISTINGUISH. </w:t>
      </w:r>
    </w:p>
    <w:p w14:paraId="65FC6D37" w14:textId="5E587D70" w:rsidR="00705F57" w:rsidRDefault="00705F57" w:rsidP="004F2C28">
      <w:pPr>
        <w:pStyle w:val="CommentText"/>
        <w:ind w:firstLine="0"/>
      </w:pPr>
    </w:p>
  </w:comment>
  <w:comment w:id="23" w:author="seth guthrie" w:date="2018-03-23T11:00:00Z" w:initials="sg">
    <w:p w14:paraId="3A47767D" w14:textId="77777777" w:rsidR="00627325" w:rsidRDefault="00627325" w:rsidP="00627325">
      <w:pPr>
        <w:pStyle w:val="NormalWeb"/>
        <w:spacing w:before="0" w:beforeAutospacing="0" w:after="0" w:afterAutospacing="0"/>
        <w:rPr>
          <w:rFonts w:ascii="Calibri" w:hAnsi="Calibri" w:cs="Calibri"/>
          <w:sz w:val="22"/>
          <w:szCs w:val="22"/>
        </w:rPr>
      </w:pPr>
      <w:r>
        <w:rPr>
          <w:rStyle w:val="CommentReference"/>
        </w:rPr>
        <w:annotationRef/>
      </w:r>
      <w:r>
        <w:rPr>
          <w:rFonts w:ascii="Calibri" w:hAnsi="Calibri" w:cs="Calibri"/>
          <w:sz w:val="22"/>
          <w:szCs w:val="22"/>
        </w:rPr>
        <w:t>Following this second denial, Mr. Watson informed the C.R. England employee that he was leaving Omaha because couldn't handle the “stress level” and that he was “dead heading to [his] family house in [Florida]”; he further indicated that this was “where [his] [doctor] is, and [he had] to see [his doctor].” </w:t>
      </w:r>
      <w:r>
        <w:rPr>
          <w:rFonts w:ascii="Arial" w:hAnsi="Arial" w:cs="Arial"/>
          <w:i/>
          <w:iCs/>
        </w:rPr>
        <w:t>Id.</w:t>
      </w:r>
      <w:r>
        <w:rPr>
          <w:rFonts w:ascii="Calibri" w:hAnsi="Calibri" w:cs="Calibri"/>
          <w:sz w:val="22"/>
          <w:szCs w:val="22"/>
        </w:rPr>
        <w:t> at 428. This fleeting reference to his “doctor”—which was seemingly made in conjunction with his unmanageable “stress level,” not his alleged disability—is insufficient to place the company on notice that he needed time off due to his alleged disability (i.e., his HIV-positive status). In some circumstances, an employee's reference to the need to see a physician may constitute significant proof that the employee was seeking a reasonable accommodation, especially when combined with an actual request for time off and some reference to the employee's disability. However, we need not endeavor here to detail those circumstances under which a physician reference would constitute such significant proof. It suffices for us to observe that Mr. Watson's physician reference does not come anywhere close to the mark.</w:t>
      </w:r>
    </w:p>
    <w:p w14:paraId="629976EB" w14:textId="77777777" w:rsidR="00627325" w:rsidRDefault="00627325" w:rsidP="006273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740996" w14:textId="77777777" w:rsidR="00627325" w:rsidRDefault="00627325" w:rsidP="00627325">
      <w:pPr>
        <w:pStyle w:val="NormalWeb"/>
        <w:spacing w:before="0" w:beforeAutospacing="0" w:after="0" w:afterAutospacing="0"/>
        <w:rPr>
          <w:rFonts w:ascii="Arial" w:hAnsi="Arial" w:cs="Arial"/>
          <w:color w:val="000000"/>
        </w:rPr>
      </w:pPr>
      <w:r>
        <w:rPr>
          <w:rFonts w:ascii="Arial" w:hAnsi="Arial" w:cs="Arial"/>
          <w:color w:val="000000"/>
          <w:u w:val="single"/>
        </w:rPr>
        <w:t>E.E.O.C. v. C.R. England, Inc.</w:t>
      </w:r>
      <w:r>
        <w:rPr>
          <w:rFonts w:ascii="Arial" w:hAnsi="Arial" w:cs="Arial"/>
          <w:color w:val="000000"/>
        </w:rPr>
        <w:t>, 644 F.3d 1028, 1050 (10th Cir. 2011)</w:t>
      </w:r>
    </w:p>
    <w:p w14:paraId="3024954E" w14:textId="06808C9C" w:rsidR="00627325" w:rsidRDefault="00627325">
      <w:pPr>
        <w:pStyle w:val="CommentText"/>
      </w:pPr>
    </w:p>
  </w:comment>
  <w:comment w:id="24" w:author="seth guthrie" w:date="2018-03-21T11:35:00Z" w:initials="sg">
    <w:p w14:paraId="6B5BC7A2" w14:textId="7CAAA40B" w:rsidR="009D0023" w:rsidRDefault="009D0023">
      <w:pPr>
        <w:pStyle w:val="CommentText"/>
      </w:pPr>
      <w:r>
        <w:rPr>
          <w:rStyle w:val="CommentReference"/>
        </w:rPr>
        <w:annotationRef/>
      </w:r>
      <w:r>
        <w:t>Need substantially more</w:t>
      </w:r>
      <w:r w:rsidR="00524E69">
        <w:t xml:space="preserve"> in this RA.</w:t>
      </w:r>
      <w:r>
        <w:t xml:space="preserve"> </w:t>
      </w:r>
    </w:p>
  </w:comment>
  <w:comment w:id="25" w:author="seth guthrie" w:date="2018-03-21T12:42:00Z" w:initials="sg">
    <w:p w14:paraId="1F4F1F7A" w14:textId="23EA191D" w:rsidR="00812E4E" w:rsidRDefault="00812E4E">
      <w:pPr>
        <w:pStyle w:val="CommentText"/>
      </w:pPr>
      <w:r>
        <w:rPr>
          <w:rStyle w:val="CommentReference"/>
        </w:rPr>
        <w:annotationRef/>
      </w:r>
      <w:r>
        <w:t>Pretty weak</w:t>
      </w:r>
    </w:p>
  </w:comment>
  <w:comment w:id="26" w:author="seth guthrie" w:date="2018-03-21T00:11:00Z" w:initials="sg">
    <w:p w14:paraId="30EAA3B3" w14:textId="0D47E7D6" w:rsidR="002167C1" w:rsidRDefault="002167C1">
      <w:pPr>
        <w:pStyle w:val="CommentText"/>
      </w:pPr>
      <w:r>
        <w:rPr>
          <w:rStyle w:val="CommentReference"/>
        </w:rPr>
        <w:annotationRef/>
      </w:r>
      <w:r>
        <w:t>How do I fight this argument?!?!?!?!?!</w:t>
      </w:r>
    </w:p>
    <w:p w14:paraId="1A95B3D1" w14:textId="7C201FCE" w:rsidR="0032048F" w:rsidRDefault="0032048F">
      <w:pPr>
        <w:pStyle w:val="CommentText"/>
      </w:pPr>
    </w:p>
    <w:p w14:paraId="77711B97" w14:textId="2F31EA57" w:rsidR="0032048F" w:rsidRDefault="0032048F">
      <w:pPr>
        <w:pStyle w:val="CommentText"/>
      </w:pPr>
      <w:r>
        <w:t xml:space="preserve">Erik Hernandez is an idiot. </w:t>
      </w:r>
      <w:r w:rsidR="00120610">
        <w:t xml:space="preserve">No one discusses this issue because no one is dumb enough to not tell their employer about </w:t>
      </w:r>
      <w:r w:rsidR="00423FB7">
        <w:t xml:space="preserve">having a serious illness and then constantly missing work. </w:t>
      </w:r>
    </w:p>
  </w:comment>
  <w:comment w:id="28" w:author="seth guthrie" w:date="2018-03-21T01:25:00Z" w:initials="sg">
    <w:p w14:paraId="23552F06" w14:textId="35852CF0" w:rsidR="00817FF7" w:rsidRDefault="00817FF7">
      <w:pPr>
        <w:pStyle w:val="CommentText"/>
      </w:pPr>
      <w:r>
        <w:rPr>
          <w:rStyle w:val="CommentReference"/>
        </w:rPr>
        <w:annotationRef/>
      </w:r>
      <w:r>
        <w:t>How is this?</w:t>
      </w:r>
    </w:p>
    <w:p w14:paraId="5119C3A9" w14:textId="64740761" w:rsidR="00817FF7" w:rsidRDefault="00817FF7">
      <w:pPr>
        <w:pStyle w:val="CommentText"/>
      </w:pPr>
    </w:p>
    <w:p w14:paraId="524BFE09" w14:textId="569D50E5" w:rsidR="00817FF7" w:rsidRDefault="00817FF7">
      <w:pPr>
        <w:pStyle w:val="CommentText"/>
      </w:pPr>
      <w:proofErr w:type="gramStart"/>
      <w:r>
        <w:t>Also</w:t>
      </w:r>
      <w:proofErr w:type="gramEnd"/>
      <w:r>
        <w:t xml:space="preserve"> because SSS didn’t engage in the interactive </w:t>
      </w:r>
      <w:proofErr w:type="spellStart"/>
      <w:r>
        <w:t>procees</w:t>
      </w:r>
      <w:proofErr w:type="spellEnd"/>
      <w:r>
        <w:t xml:space="preserve">. </w:t>
      </w:r>
    </w:p>
    <w:p w14:paraId="6C35478B" w14:textId="53067DFB" w:rsidR="00524E8E" w:rsidRDefault="00524E8E">
      <w:pPr>
        <w:pStyle w:val="CommentText"/>
      </w:pPr>
    </w:p>
    <w:p w14:paraId="3B1BE1F9" w14:textId="37B8D47D" w:rsidR="00524E8E" w:rsidRDefault="00524E8E">
      <w:pPr>
        <w:pStyle w:val="CommentText"/>
      </w:pPr>
    </w:p>
    <w:p w14:paraId="48BCA0BE" w14:textId="076F70FE" w:rsidR="00524E8E" w:rsidRDefault="00524E8E">
      <w:pPr>
        <w:pStyle w:val="CommentText"/>
      </w:pPr>
    </w:p>
    <w:p w14:paraId="594E7D30" w14:textId="30C41BD9" w:rsidR="00524E8E" w:rsidRDefault="00524E8E">
      <w:pPr>
        <w:pStyle w:val="CommentText"/>
      </w:pPr>
      <w:r>
        <w:t>More than a passing reference</w:t>
      </w:r>
    </w:p>
  </w:comment>
  <w:comment w:id="29" w:author="seth guthrie" w:date="2018-03-21T00:34:00Z" w:initials="sg">
    <w:p w14:paraId="2F876822" w14:textId="0E99CC8F" w:rsidR="005D4B33" w:rsidRDefault="005D4B33" w:rsidP="00D95816">
      <w:pPr>
        <w:pStyle w:val="CommentText"/>
        <w:ind w:firstLine="0"/>
      </w:pPr>
      <w:r>
        <w:rPr>
          <w:rStyle w:val="CommentReference"/>
        </w:rPr>
        <w:annotationRef/>
      </w:r>
      <w:r w:rsidR="00D95816">
        <w:t xml:space="preserve">This process doesn’t stop at moment Erik’s </w:t>
      </w:r>
      <w:proofErr w:type="gramStart"/>
      <w:r w:rsidR="00D95816">
        <w:t>ill defined</w:t>
      </w:r>
      <w:proofErr w:type="gramEnd"/>
      <w:r w:rsidR="00D95816">
        <w:t xml:space="preserve"> request</w:t>
      </w:r>
      <w:r w:rsidR="000909C3">
        <w:t xml:space="preserve">. </w:t>
      </w:r>
      <w:r w:rsidR="000909C3">
        <w:rPr>
          <w:rFonts w:ascii="Calibri" w:hAnsi="Calibri"/>
          <w:sz w:val="22"/>
          <w:szCs w:val="22"/>
        </w:rPr>
        <w:t>It triggers a responsibility on SSS part to try to figure out what Erik needs. No evidence in recorded that his request was responded to.</w:t>
      </w:r>
    </w:p>
  </w:comment>
  <w:comment w:id="30" w:author="seth guthrie" w:date="2018-03-19T21:02:00Z" w:initials="sg">
    <w:p w14:paraId="71F28394" w14:textId="3B4A3AE3" w:rsidR="00415B53" w:rsidRDefault="00415B53">
      <w:pPr>
        <w:pStyle w:val="CommentText"/>
      </w:pPr>
      <w:r>
        <w:rPr>
          <w:rStyle w:val="CommentReference"/>
        </w:rPr>
        <w:annotationRef/>
      </w:r>
      <w:r>
        <w:rPr>
          <w:rStyle w:val="cohl"/>
          <w:rFonts w:ascii="Arial" w:hAnsi="Arial" w:cs="Arial"/>
          <w:color w:val="212121"/>
          <w:sz w:val="21"/>
          <w:szCs w:val="21"/>
        </w:rPr>
        <w:t>The interactive process includes good-faith communications between the employer and employee. </w:t>
      </w:r>
      <w:r>
        <w:rPr>
          <w:rStyle w:val="cohl"/>
          <w:rFonts w:ascii="Arial" w:hAnsi="Arial" w:cs="Arial"/>
          <w:i/>
          <w:iCs/>
          <w:color w:val="212121"/>
          <w:sz w:val="21"/>
          <w:szCs w:val="21"/>
        </w:rPr>
        <w:t>See </w:t>
      </w:r>
      <w:hyperlink r:id="rId2" w:history="1">
        <w:r>
          <w:rPr>
            <w:rStyle w:val="cohl"/>
            <w:rFonts w:ascii="Arial" w:hAnsi="Arial" w:cs="Arial"/>
            <w:i/>
            <w:iCs/>
            <w:color w:val="212121"/>
            <w:sz w:val="21"/>
            <w:szCs w:val="21"/>
          </w:rPr>
          <w:t>Phoenixville,</w:t>
        </w:r>
        <w:r>
          <w:rPr>
            <w:rStyle w:val="cohl"/>
            <w:rFonts w:ascii="Arial" w:hAnsi="Arial" w:cs="Arial"/>
            <w:color w:val="212121"/>
            <w:sz w:val="21"/>
            <w:szCs w:val="21"/>
          </w:rPr>
          <w:t> 174 F.3d 142</w:t>
        </w:r>
      </w:hyperlink>
      <w:r>
        <w:rPr>
          <w:rStyle w:val="cohl"/>
          <w:rFonts w:ascii="Arial" w:hAnsi="Arial" w:cs="Arial"/>
          <w:color w:val="212121"/>
          <w:sz w:val="21"/>
          <w:szCs w:val="21"/>
        </w:rPr>
        <w:t xml:space="preserve"> (“All the interactive process requires is that employers make a </w:t>
      </w:r>
      <w:proofErr w:type="spellStart"/>
      <w:r>
        <w:rPr>
          <w:rStyle w:val="cohl"/>
          <w:rFonts w:ascii="Arial" w:hAnsi="Arial" w:cs="Arial"/>
          <w:color w:val="212121"/>
          <w:sz w:val="21"/>
          <w:szCs w:val="21"/>
        </w:rPr>
        <w:t>goodfaith</w:t>
      </w:r>
      <w:proofErr w:type="spellEnd"/>
      <w:r>
        <w:rPr>
          <w:rStyle w:val="cohl"/>
          <w:rFonts w:ascii="Arial" w:hAnsi="Arial" w:cs="Arial"/>
          <w:color w:val="212121"/>
          <w:sz w:val="21"/>
          <w:szCs w:val="21"/>
        </w:rPr>
        <w:t xml:space="preserve"> effort to seek accommodations.”); </w:t>
      </w:r>
      <w:hyperlink r:id="rId3" w:anchor="co_pp_sp_506_1135" w:history="1">
        <w:r>
          <w:rPr>
            <w:rStyle w:val="cohl"/>
            <w:rFonts w:ascii="Arial" w:hAnsi="Arial" w:cs="Arial"/>
            <w:i/>
            <w:iCs/>
            <w:color w:val="212121"/>
            <w:sz w:val="21"/>
            <w:szCs w:val="21"/>
          </w:rPr>
          <w:t>Beck,</w:t>
        </w:r>
        <w:r>
          <w:rPr>
            <w:rStyle w:val="cohl"/>
            <w:rFonts w:ascii="Arial" w:hAnsi="Arial" w:cs="Arial"/>
            <w:color w:val="212121"/>
            <w:sz w:val="21"/>
            <w:szCs w:val="21"/>
          </w:rPr>
          <w:t> 75 F.3d at 1135</w:t>
        </w:r>
      </w:hyperlink>
      <w:r>
        <w:rPr>
          <w:rStyle w:val="cohl"/>
          <w:rFonts w:ascii="Arial" w:hAnsi="Arial" w:cs="Arial"/>
          <w:color w:val="212121"/>
          <w:sz w:val="21"/>
          <w:szCs w:val="21"/>
        </w:rPr>
        <w:t> (“A party that obstructs or delays the interactive process is not acting in good faith. A party that fails to communicate, by way of initiation or response, may also be acting in bad faith.”);</w:t>
      </w:r>
      <w:proofErr w:type="spellStart"/>
      <w:r>
        <w:fldChar w:fldCharType="begin"/>
      </w:r>
      <w:r>
        <w:instrText xml:space="preserve"> HYPERLINK "https://1.next.westlaw.com/Link/Document/FullText?findType=Y&amp;serNum=1998142770&amp;pubNum=506&amp;originatingDoc=Id0ec1db494a511d9a707f4371c9c34f0&amp;refType=RP&amp;fi=co_pp_sp_506_634&amp;originationContext=document&amp;transitionType=DocumentItem&amp;contextData=(sc.Folder*cid.10dbfc0c003541e2bab3d5648918e366*oc.Search)" \l "co_pp_sp_506_634" </w:instrText>
      </w:r>
      <w:r>
        <w:fldChar w:fldCharType="separate"/>
      </w:r>
      <w:r>
        <w:rPr>
          <w:rStyle w:val="cohl"/>
          <w:rFonts w:ascii="Arial" w:hAnsi="Arial" w:cs="Arial"/>
          <w:i/>
          <w:iCs/>
          <w:color w:val="212121"/>
          <w:sz w:val="21"/>
          <w:szCs w:val="21"/>
        </w:rPr>
        <w:t>Baert</w:t>
      </w:r>
      <w:proofErr w:type="spellEnd"/>
      <w:r>
        <w:rPr>
          <w:rStyle w:val="cohl"/>
          <w:rFonts w:ascii="Arial" w:hAnsi="Arial" w:cs="Arial"/>
          <w:i/>
          <w:iCs/>
          <w:color w:val="212121"/>
          <w:sz w:val="21"/>
          <w:szCs w:val="21"/>
        </w:rPr>
        <w:t xml:space="preserve"> v. Euclid Beverage, Ltd.,</w:t>
      </w:r>
      <w:r>
        <w:rPr>
          <w:rStyle w:val="cohl"/>
          <w:rFonts w:ascii="Arial" w:hAnsi="Arial" w:cs="Arial"/>
          <w:color w:val="212121"/>
          <w:sz w:val="21"/>
          <w:szCs w:val="21"/>
        </w:rPr>
        <w:t> 149 F.3d 626, 634 (7th Cir.1998)</w:t>
      </w:r>
      <w:r>
        <w:fldChar w:fldCharType="end"/>
      </w:r>
      <w:r>
        <w:rPr>
          <w:rStyle w:val="cohl"/>
          <w:rFonts w:ascii="Arial" w:hAnsi="Arial" w:cs="Arial"/>
          <w:color w:val="212121"/>
          <w:sz w:val="21"/>
          <w:szCs w:val="21"/>
        </w:rPr>
        <w:t> (“[N]either party should be able to cause a breakdown in the process for the purpose of either avoiding or inflicting liability.”).</w:t>
      </w:r>
    </w:p>
  </w:comment>
  <w:comment w:id="31" w:author="seth guthrie" w:date="2018-03-21T01:04:00Z" w:initials="sg">
    <w:p w14:paraId="21185356" w14:textId="2BA5132C" w:rsidR="00797423" w:rsidRDefault="00797423">
      <w:pPr>
        <w:pStyle w:val="CommentText"/>
      </w:pPr>
      <w:r>
        <w:rPr>
          <w:rStyle w:val="CommentReference"/>
        </w:rPr>
        <w:annotationRef/>
      </w:r>
      <w:r>
        <w:t>Same parenthetical as above. Delete?</w:t>
      </w:r>
    </w:p>
  </w:comment>
  <w:comment w:id="33" w:author="seth guthrie" w:date="2018-03-21T13:29:00Z" w:initials="sg">
    <w:p w14:paraId="517B8709" w14:textId="4A4D7610" w:rsidR="008C3514" w:rsidRDefault="008C3514">
      <w:pPr>
        <w:pStyle w:val="CommentText"/>
      </w:pPr>
      <w:r>
        <w:rPr>
          <w:rStyle w:val="CommentReference"/>
        </w:rPr>
        <w:annotationRef/>
      </w:r>
      <w:r>
        <w:t xml:space="preserve">Is this topic sentence too </w:t>
      </w:r>
      <w:proofErr w:type="gramStart"/>
      <w:r>
        <w:t>similar to</w:t>
      </w:r>
      <w:proofErr w:type="gramEnd"/>
      <w:r>
        <w:t xml:space="preserve"> my heading?</w:t>
      </w:r>
    </w:p>
  </w:comment>
  <w:comment w:id="34" w:author="seth guthrie" w:date="2018-03-21T13:19:00Z" w:initials="sg">
    <w:p w14:paraId="3155E297" w14:textId="0DAEAD81" w:rsidR="00FC550C" w:rsidRDefault="00FC550C">
      <w:pPr>
        <w:pStyle w:val="CommentText"/>
      </w:pPr>
      <w:r>
        <w:rPr>
          <w:rStyle w:val="CommentReference"/>
        </w:rPr>
        <w:annotationRef/>
      </w:r>
      <w:r w:rsidR="00C94ED5">
        <w:t xml:space="preserve">This is potentially a </w:t>
      </w:r>
      <w:proofErr w:type="gramStart"/>
      <w:r w:rsidR="00C94ED5">
        <w:t>really good</w:t>
      </w:r>
      <w:proofErr w:type="gramEnd"/>
      <w:r w:rsidR="00C94ED5">
        <w:t xml:space="preserve"> argument for SSS, but there’s not really any facts. </w:t>
      </w:r>
    </w:p>
  </w:comment>
  <w:comment w:id="36" w:author="seth guthrie" w:date="2018-03-18T20:18:00Z" w:initials="sg">
    <w:p w14:paraId="13F3D785" w14:textId="77777777" w:rsidR="00C0528C" w:rsidRDefault="00C0528C" w:rsidP="00C0528C">
      <w:pPr>
        <w:pStyle w:val="CommentText"/>
      </w:pPr>
      <w:r>
        <w:rPr>
          <w:rStyle w:val="CommentReference"/>
        </w:rPr>
        <w:annotationRef/>
      </w:r>
      <w:r>
        <w:rPr>
          <w:rStyle w:val="CommentReference"/>
        </w:rPr>
        <w:annotationRef/>
      </w:r>
      <w:r>
        <w:t>Fill in</w:t>
      </w:r>
    </w:p>
    <w:p w14:paraId="09887DEA" w14:textId="54531FB2" w:rsidR="00C0528C" w:rsidRDefault="00C0528C">
      <w:pPr>
        <w:pStyle w:val="CommentText"/>
      </w:pPr>
    </w:p>
  </w:comment>
  <w:comment w:id="38" w:author="seth guthrie" w:date="2018-03-18T20:17:00Z" w:initials="sg">
    <w:p w14:paraId="765DA98F" w14:textId="6DDF83BC" w:rsidR="00C0528C" w:rsidRDefault="00C0528C">
      <w:pPr>
        <w:pStyle w:val="CommentText"/>
      </w:pPr>
      <w:r>
        <w:rPr>
          <w:rStyle w:val="CommentReference"/>
        </w:rPr>
        <w:annotationRef/>
      </w:r>
      <w:r>
        <w:t>Don’t forget to change</w:t>
      </w:r>
    </w:p>
  </w:comment>
  <w:comment w:id="39" w:author="seth guthrie" w:date="2018-03-18T20:18:00Z" w:initials="sg">
    <w:p w14:paraId="6F2C1758" w14:textId="77777777" w:rsidR="00C0528C" w:rsidRDefault="00C0528C" w:rsidP="00C0528C">
      <w:pPr>
        <w:pStyle w:val="CommentText"/>
      </w:pPr>
      <w:r>
        <w:rPr>
          <w:rStyle w:val="CommentReference"/>
        </w:rPr>
        <w:annotationRef/>
      </w:r>
      <w:r>
        <w:rPr>
          <w:rStyle w:val="CommentReference"/>
        </w:rPr>
        <w:annotationRef/>
      </w:r>
      <w:r>
        <w:t>Fill in</w:t>
      </w:r>
    </w:p>
    <w:p w14:paraId="6E6FF529" w14:textId="581D17EF" w:rsidR="00C0528C" w:rsidRDefault="00C0528C">
      <w:pPr>
        <w:pStyle w:val="CommentText"/>
      </w:pPr>
    </w:p>
  </w:comment>
  <w:comment w:id="41" w:author="seth guthrie" w:date="2018-03-18T20:18:00Z" w:initials="sg">
    <w:p w14:paraId="56F079FA" w14:textId="325B9C81" w:rsidR="00C0528C" w:rsidRDefault="00C0528C">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DC500" w15:done="0"/>
  <w15:commentEx w15:paraId="7FFDB8A5" w15:done="0"/>
  <w15:commentEx w15:paraId="455DE7AD" w15:done="0"/>
  <w15:commentEx w15:paraId="3467E92D" w15:done="0"/>
  <w15:commentEx w15:paraId="22E95C9A" w15:done="0"/>
  <w15:commentEx w15:paraId="6C13CA76" w15:done="0"/>
  <w15:commentEx w15:paraId="46BBF580" w15:done="0"/>
  <w15:commentEx w15:paraId="3A4911B8" w15:done="0"/>
  <w15:commentEx w15:paraId="65FC6D37" w15:done="0"/>
  <w15:commentEx w15:paraId="3024954E" w15:done="0"/>
  <w15:commentEx w15:paraId="6B5BC7A2" w15:done="0"/>
  <w15:commentEx w15:paraId="1F4F1F7A" w15:done="0"/>
  <w15:commentEx w15:paraId="77711B97" w15:done="0"/>
  <w15:commentEx w15:paraId="594E7D30" w15:done="0"/>
  <w15:commentEx w15:paraId="2F876822" w15:done="0"/>
  <w15:commentEx w15:paraId="71F28394" w15:done="0"/>
  <w15:commentEx w15:paraId="21185356" w15:done="0"/>
  <w15:commentEx w15:paraId="517B8709" w15:done="0"/>
  <w15:commentEx w15:paraId="3155E297" w15:done="0"/>
  <w15:commentEx w15:paraId="09887DEA" w15:done="0"/>
  <w15:commentEx w15:paraId="765DA98F" w15:done="0"/>
  <w15:commentEx w15:paraId="6E6FF529" w15:done="0"/>
  <w15:commentEx w15:paraId="56F07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DC500" w16cid:durableId="1E594805"/>
  <w16cid:commentId w16cid:paraId="7FFDB8A5" w16cid:durableId="1E5D0743"/>
  <w16cid:commentId w16cid:paraId="455DE7AD" w16cid:durableId="1E5F67D4"/>
  <w16cid:commentId w16cid:paraId="3467E92D" w16cid:durableId="1E5F572E"/>
  <w16cid:commentId w16cid:paraId="22E95C9A" w16cid:durableId="1E5CBA00"/>
  <w16cid:commentId w16cid:paraId="6C13CA76" w16cid:durableId="1E57CAB7"/>
  <w16cid:commentId w16cid:paraId="46BBF580" w16cid:durableId="1E57CC39"/>
  <w16cid:commentId w16cid:paraId="3A4911B8" w16cid:durableId="1E52C87C"/>
  <w16cid:commentId w16cid:paraId="65FC6D37" w16cid:durableId="1E5C0613"/>
  <w16cid:commentId w16cid:paraId="3024954E" w16cid:durableId="1E5F5CDE"/>
  <w16cid:commentId w16cid:paraId="6B5BC7A2" w16cid:durableId="1E5CC1E4"/>
  <w16cid:commentId w16cid:paraId="1F4F1F7A" w16cid:durableId="1E5CD1AB"/>
  <w16cid:commentId w16cid:paraId="77711B97" w16cid:durableId="1E5C21A5"/>
  <w16cid:commentId w16cid:paraId="594E7D30" w16cid:durableId="1E5C3310"/>
  <w16cid:commentId w16cid:paraId="2F876822" w16cid:durableId="1E5C272A"/>
  <w16cid:commentId w16cid:paraId="71F28394" w16cid:durableId="1E5AA3E5"/>
  <w16cid:commentId w16cid:paraId="21185356" w16cid:durableId="1E5C2E08"/>
  <w16cid:commentId w16cid:paraId="517B8709" w16cid:durableId="1E5CDCA9"/>
  <w16cid:commentId w16cid:paraId="3155E297" w16cid:durableId="1E5CDA73"/>
  <w16cid:commentId w16cid:paraId="09887DEA" w16cid:durableId="1E594823"/>
  <w16cid:commentId w16cid:paraId="765DA98F" w16cid:durableId="1E5947F5"/>
  <w16cid:commentId w16cid:paraId="6E6FF529" w16cid:durableId="1E59481A"/>
  <w16cid:commentId w16cid:paraId="56F079FA" w16cid:durableId="1E594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9066F" w14:textId="77777777" w:rsidR="00B03F44" w:rsidRDefault="00B03F44" w:rsidP="009B5795">
      <w:pPr>
        <w:spacing w:line="240" w:lineRule="auto"/>
      </w:pPr>
      <w:r>
        <w:separator/>
      </w:r>
    </w:p>
  </w:endnote>
  <w:endnote w:type="continuationSeparator" w:id="0">
    <w:p w14:paraId="7D845C65" w14:textId="77777777" w:rsidR="00B03F44" w:rsidRDefault="00B03F44"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94A9" w14:textId="77777777" w:rsidR="00B03F44" w:rsidRDefault="00B03F44" w:rsidP="009B5795">
      <w:pPr>
        <w:spacing w:line="240" w:lineRule="auto"/>
      </w:pPr>
      <w:r>
        <w:separator/>
      </w:r>
    </w:p>
  </w:footnote>
  <w:footnote w:type="continuationSeparator" w:id="0">
    <w:p w14:paraId="5A4E797E" w14:textId="77777777" w:rsidR="00B03F44" w:rsidRDefault="00B03F44"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1025"/>
    <w:rsid w:val="00002916"/>
    <w:rsid w:val="000033EF"/>
    <w:rsid w:val="000036EA"/>
    <w:rsid w:val="00006690"/>
    <w:rsid w:val="00007E27"/>
    <w:rsid w:val="000113AE"/>
    <w:rsid w:val="000113B6"/>
    <w:rsid w:val="00011E11"/>
    <w:rsid w:val="00015942"/>
    <w:rsid w:val="00015CD5"/>
    <w:rsid w:val="0001661B"/>
    <w:rsid w:val="000166C1"/>
    <w:rsid w:val="00017B9C"/>
    <w:rsid w:val="000203AA"/>
    <w:rsid w:val="00024457"/>
    <w:rsid w:val="0002705A"/>
    <w:rsid w:val="0002783F"/>
    <w:rsid w:val="00030D24"/>
    <w:rsid w:val="00032028"/>
    <w:rsid w:val="00032992"/>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27A9"/>
    <w:rsid w:val="00053BE2"/>
    <w:rsid w:val="000550DB"/>
    <w:rsid w:val="00055F62"/>
    <w:rsid w:val="0005612D"/>
    <w:rsid w:val="0005698A"/>
    <w:rsid w:val="00061927"/>
    <w:rsid w:val="00061F05"/>
    <w:rsid w:val="00063328"/>
    <w:rsid w:val="00066A88"/>
    <w:rsid w:val="00070244"/>
    <w:rsid w:val="00070E06"/>
    <w:rsid w:val="0007114A"/>
    <w:rsid w:val="000711ED"/>
    <w:rsid w:val="000727BD"/>
    <w:rsid w:val="000729D9"/>
    <w:rsid w:val="000739A0"/>
    <w:rsid w:val="000742E9"/>
    <w:rsid w:val="000749B4"/>
    <w:rsid w:val="00074EBC"/>
    <w:rsid w:val="00076FDC"/>
    <w:rsid w:val="00077736"/>
    <w:rsid w:val="0008407C"/>
    <w:rsid w:val="0008715A"/>
    <w:rsid w:val="00087D0F"/>
    <w:rsid w:val="000909C3"/>
    <w:rsid w:val="00090F64"/>
    <w:rsid w:val="00093059"/>
    <w:rsid w:val="00093F6C"/>
    <w:rsid w:val="00096A44"/>
    <w:rsid w:val="000A43D4"/>
    <w:rsid w:val="000A649D"/>
    <w:rsid w:val="000A6596"/>
    <w:rsid w:val="000A6B31"/>
    <w:rsid w:val="000A769E"/>
    <w:rsid w:val="000A7B80"/>
    <w:rsid w:val="000B07D2"/>
    <w:rsid w:val="000B0F3C"/>
    <w:rsid w:val="000B2CAF"/>
    <w:rsid w:val="000B496B"/>
    <w:rsid w:val="000B4A10"/>
    <w:rsid w:val="000B6691"/>
    <w:rsid w:val="000C0946"/>
    <w:rsid w:val="000C492D"/>
    <w:rsid w:val="000C4A3E"/>
    <w:rsid w:val="000D1C17"/>
    <w:rsid w:val="000D2206"/>
    <w:rsid w:val="000D337C"/>
    <w:rsid w:val="000D37C9"/>
    <w:rsid w:val="000D3802"/>
    <w:rsid w:val="000D5450"/>
    <w:rsid w:val="000D5879"/>
    <w:rsid w:val="000D59BC"/>
    <w:rsid w:val="000D6B98"/>
    <w:rsid w:val="000D6F46"/>
    <w:rsid w:val="000E0727"/>
    <w:rsid w:val="000E178C"/>
    <w:rsid w:val="000E2C7B"/>
    <w:rsid w:val="000E40D7"/>
    <w:rsid w:val="000E6093"/>
    <w:rsid w:val="000F147F"/>
    <w:rsid w:val="000F66F6"/>
    <w:rsid w:val="000F737B"/>
    <w:rsid w:val="001010F4"/>
    <w:rsid w:val="00101859"/>
    <w:rsid w:val="00101D11"/>
    <w:rsid w:val="001026F9"/>
    <w:rsid w:val="00102D70"/>
    <w:rsid w:val="0010386E"/>
    <w:rsid w:val="00104D6B"/>
    <w:rsid w:val="00105545"/>
    <w:rsid w:val="00106F50"/>
    <w:rsid w:val="001075D4"/>
    <w:rsid w:val="00107B75"/>
    <w:rsid w:val="00110C48"/>
    <w:rsid w:val="001143AD"/>
    <w:rsid w:val="00115441"/>
    <w:rsid w:val="00115BCE"/>
    <w:rsid w:val="00116D02"/>
    <w:rsid w:val="00120610"/>
    <w:rsid w:val="00120DE5"/>
    <w:rsid w:val="0012322A"/>
    <w:rsid w:val="00123D4E"/>
    <w:rsid w:val="001245E8"/>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A031F"/>
    <w:rsid w:val="001A0650"/>
    <w:rsid w:val="001A1165"/>
    <w:rsid w:val="001A6A61"/>
    <w:rsid w:val="001A7CDB"/>
    <w:rsid w:val="001A7F45"/>
    <w:rsid w:val="001B0CC8"/>
    <w:rsid w:val="001B3937"/>
    <w:rsid w:val="001B51DF"/>
    <w:rsid w:val="001B651E"/>
    <w:rsid w:val="001B6BE2"/>
    <w:rsid w:val="001B6DED"/>
    <w:rsid w:val="001C0839"/>
    <w:rsid w:val="001C0D4D"/>
    <w:rsid w:val="001C2147"/>
    <w:rsid w:val="001C3FE2"/>
    <w:rsid w:val="001C5958"/>
    <w:rsid w:val="001C6064"/>
    <w:rsid w:val="001C65B0"/>
    <w:rsid w:val="001C7E78"/>
    <w:rsid w:val="001D02BD"/>
    <w:rsid w:val="001D0DE5"/>
    <w:rsid w:val="001D18D1"/>
    <w:rsid w:val="001D34CC"/>
    <w:rsid w:val="001D64C2"/>
    <w:rsid w:val="001D6F7E"/>
    <w:rsid w:val="001E06A5"/>
    <w:rsid w:val="001E0902"/>
    <w:rsid w:val="001E14A4"/>
    <w:rsid w:val="001E16AE"/>
    <w:rsid w:val="001E36E2"/>
    <w:rsid w:val="001E42F5"/>
    <w:rsid w:val="001E5235"/>
    <w:rsid w:val="001E5638"/>
    <w:rsid w:val="001E6334"/>
    <w:rsid w:val="001E6341"/>
    <w:rsid w:val="001E634D"/>
    <w:rsid w:val="001E7D30"/>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9E4"/>
    <w:rsid w:val="0023266D"/>
    <w:rsid w:val="00234830"/>
    <w:rsid w:val="002361C0"/>
    <w:rsid w:val="002370DB"/>
    <w:rsid w:val="00237B72"/>
    <w:rsid w:val="00241EAF"/>
    <w:rsid w:val="002421DA"/>
    <w:rsid w:val="00242553"/>
    <w:rsid w:val="00243555"/>
    <w:rsid w:val="002448E9"/>
    <w:rsid w:val="00244C5F"/>
    <w:rsid w:val="0024572F"/>
    <w:rsid w:val="0024631B"/>
    <w:rsid w:val="00247425"/>
    <w:rsid w:val="002506F6"/>
    <w:rsid w:val="0025083D"/>
    <w:rsid w:val="00250AFB"/>
    <w:rsid w:val="0025173B"/>
    <w:rsid w:val="002538AC"/>
    <w:rsid w:val="00254EAA"/>
    <w:rsid w:val="00255674"/>
    <w:rsid w:val="002557AA"/>
    <w:rsid w:val="00256A15"/>
    <w:rsid w:val="00257033"/>
    <w:rsid w:val="00257040"/>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4D3"/>
    <w:rsid w:val="00277970"/>
    <w:rsid w:val="00277A0E"/>
    <w:rsid w:val="0028101D"/>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37B6"/>
    <w:rsid w:val="002A3E4B"/>
    <w:rsid w:val="002A5122"/>
    <w:rsid w:val="002A7483"/>
    <w:rsid w:val="002A7855"/>
    <w:rsid w:val="002A7872"/>
    <w:rsid w:val="002B2438"/>
    <w:rsid w:val="002B4C56"/>
    <w:rsid w:val="002B4FDF"/>
    <w:rsid w:val="002B665D"/>
    <w:rsid w:val="002B70F1"/>
    <w:rsid w:val="002C080B"/>
    <w:rsid w:val="002C1D58"/>
    <w:rsid w:val="002C24B5"/>
    <w:rsid w:val="002C2545"/>
    <w:rsid w:val="002C2A2B"/>
    <w:rsid w:val="002C31A0"/>
    <w:rsid w:val="002C484D"/>
    <w:rsid w:val="002C5448"/>
    <w:rsid w:val="002D05AF"/>
    <w:rsid w:val="002D224A"/>
    <w:rsid w:val="002D2DA8"/>
    <w:rsid w:val="002D433D"/>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11554"/>
    <w:rsid w:val="003134CA"/>
    <w:rsid w:val="0031418C"/>
    <w:rsid w:val="00314EA7"/>
    <w:rsid w:val="00316A43"/>
    <w:rsid w:val="00317584"/>
    <w:rsid w:val="0032048F"/>
    <w:rsid w:val="00324980"/>
    <w:rsid w:val="00326148"/>
    <w:rsid w:val="00326AC0"/>
    <w:rsid w:val="00326BEB"/>
    <w:rsid w:val="00330BE8"/>
    <w:rsid w:val="00331103"/>
    <w:rsid w:val="0033148A"/>
    <w:rsid w:val="0033311E"/>
    <w:rsid w:val="00333E30"/>
    <w:rsid w:val="0033554F"/>
    <w:rsid w:val="0033576A"/>
    <w:rsid w:val="003373FB"/>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E8B"/>
    <w:rsid w:val="00347F5A"/>
    <w:rsid w:val="00347F70"/>
    <w:rsid w:val="003509BB"/>
    <w:rsid w:val="003509EE"/>
    <w:rsid w:val="0035118C"/>
    <w:rsid w:val="00351EEB"/>
    <w:rsid w:val="00354213"/>
    <w:rsid w:val="00357C61"/>
    <w:rsid w:val="0036004E"/>
    <w:rsid w:val="0036119F"/>
    <w:rsid w:val="003617B7"/>
    <w:rsid w:val="00363F16"/>
    <w:rsid w:val="003646D7"/>
    <w:rsid w:val="00364AFE"/>
    <w:rsid w:val="00366359"/>
    <w:rsid w:val="00370829"/>
    <w:rsid w:val="0037206F"/>
    <w:rsid w:val="003722BA"/>
    <w:rsid w:val="00373229"/>
    <w:rsid w:val="00373EBC"/>
    <w:rsid w:val="0037661C"/>
    <w:rsid w:val="00376B92"/>
    <w:rsid w:val="0038230A"/>
    <w:rsid w:val="00385766"/>
    <w:rsid w:val="00385F40"/>
    <w:rsid w:val="00387A7B"/>
    <w:rsid w:val="00387FB7"/>
    <w:rsid w:val="0039158A"/>
    <w:rsid w:val="00392EE5"/>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7151"/>
    <w:rsid w:val="003C7280"/>
    <w:rsid w:val="003C7805"/>
    <w:rsid w:val="003C7892"/>
    <w:rsid w:val="003D06EB"/>
    <w:rsid w:val="003D0D45"/>
    <w:rsid w:val="003D18F7"/>
    <w:rsid w:val="003D213A"/>
    <w:rsid w:val="003D28EA"/>
    <w:rsid w:val="003D2EE9"/>
    <w:rsid w:val="003D5C78"/>
    <w:rsid w:val="003D7A64"/>
    <w:rsid w:val="003E0F16"/>
    <w:rsid w:val="003E2298"/>
    <w:rsid w:val="003E539C"/>
    <w:rsid w:val="003E6633"/>
    <w:rsid w:val="003E76D4"/>
    <w:rsid w:val="003F0327"/>
    <w:rsid w:val="003F140E"/>
    <w:rsid w:val="003F3099"/>
    <w:rsid w:val="003F43EE"/>
    <w:rsid w:val="003F76B5"/>
    <w:rsid w:val="00404A46"/>
    <w:rsid w:val="004103FA"/>
    <w:rsid w:val="004111E3"/>
    <w:rsid w:val="0041141C"/>
    <w:rsid w:val="0041162C"/>
    <w:rsid w:val="004119EB"/>
    <w:rsid w:val="00415B53"/>
    <w:rsid w:val="00416882"/>
    <w:rsid w:val="004179E1"/>
    <w:rsid w:val="00417B46"/>
    <w:rsid w:val="00420316"/>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4F27"/>
    <w:rsid w:val="00446BF9"/>
    <w:rsid w:val="00446C29"/>
    <w:rsid w:val="0044716D"/>
    <w:rsid w:val="0044745E"/>
    <w:rsid w:val="0044796F"/>
    <w:rsid w:val="00451502"/>
    <w:rsid w:val="004554B0"/>
    <w:rsid w:val="00455EAB"/>
    <w:rsid w:val="00457A3D"/>
    <w:rsid w:val="00460171"/>
    <w:rsid w:val="0046132A"/>
    <w:rsid w:val="00461D61"/>
    <w:rsid w:val="004631CD"/>
    <w:rsid w:val="00463862"/>
    <w:rsid w:val="00463EBE"/>
    <w:rsid w:val="004655B9"/>
    <w:rsid w:val="004664C5"/>
    <w:rsid w:val="00467017"/>
    <w:rsid w:val="004727CA"/>
    <w:rsid w:val="004731CE"/>
    <w:rsid w:val="0047333D"/>
    <w:rsid w:val="00474CCD"/>
    <w:rsid w:val="0047740D"/>
    <w:rsid w:val="00480C5D"/>
    <w:rsid w:val="00481971"/>
    <w:rsid w:val="00481A06"/>
    <w:rsid w:val="00482AE1"/>
    <w:rsid w:val="004852D1"/>
    <w:rsid w:val="00485778"/>
    <w:rsid w:val="00491B52"/>
    <w:rsid w:val="004928F3"/>
    <w:rsid w:val="00494DB3"/>
    <w:rsid w:val="00495276"/>
    <w:rsid w:val="0049703A"/>
    <w:rsid w:val="004A058E"/>
    <w:rsid w:val="004A0D79"/>
    <w:rsid w:val="004A1454"/>
    <w:rsid w:val="004A6448"/>
    <w:rsid w:val="004A6824"/>
    <w:rsid w:val="004A6BA5"/>
    <w:rsid w:val="004A7234"/>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6854"/>
    <w:rsid w:val="004D77B4"/>
    <w:rsid w:val="004E1541"/>
    <w:rsid w:val="004E16A2"/>
    <w:rsid w:val="004E2C55"/>
    <w:rsid w:val="004E380C"/>
    <w:rsid w:val="004E546E"/>
    <w:rsid w:val="004E5574"/>
    <w:rsid w:val="004F07E2"/>
    <w:rsid w:val="004F14F3"/>
    <w:rsid w:val="004F2C28"/>
    <w:rsid w:val="004F4972"/>
    <w:rsid w:val="00500197"/>
    <w:rsid w:val="00500464"/>
    <w:rsid w:val="00500ACA"/>
    <w:rsid w:val="00501212"/>
    <w:rsid w:val="00501337"/>
    <w:rsid w:val="00503374"/>
    <w:rsid w:val="00503626"/>
    <w:rsid w:val="0050369E"/>
    <w:rsid w:val="00503A5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2D6"/>
    <w:rsid w:val="005255B4"/>
    <w:rsid w:val="00526C14"/>
    <w:rsid w:val="005272F6"/>
    <w:rsid w:val="0053106B"/>
    <w:rsid w:val="005319C4"/>
    <w:rsid w:val="00531FF4"/>
    <w:rsid w:val="00535160"/>
    <w:rsid w:val="00543125"/>
    <w:rsid w:val="00545159"/>
    <w:rsid w:val="00545688"/>
    <w:rsid w:val="00546062"/>
    <w:rsid w:val="00546383"/>
    <w:rsid w:val="005474F6"/>
    <w:rsid w:val="00550A64"/>
    <w:rsid w:val="0055162D"/>
    <w:rsid w:val="00553A5D"/>
    <w:rsid w:val="005540A0"/>
    <w:rsid w:val="00555E31"/>
    <w:rsid w:val="0055677F"/>
    <w:rsid w:val="00557BA9"/>
    <w:rsid w:val="00564456"/>
    <w:rsid w:val="00564B26"/>
    <w:rsid w:val="00565250"/>
    <w:rsid w:val="00565E08"/>
    <w:rsid w:val="005668E6"/>
    <w:rsid w:val="00567140"/>
    <w:rsid w:val="00567BED"/>
    <w:rsid w:val="005729D1"/>
    <w:rsid w:val="005729FA"/>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92E"/>
    <w:rsid w:val="00595471"/>
    <w:rsid w:val="00596BBA"/>
    <w:rsid w:val="005A01D3"/>
    <w:rsid w:val="005A0716"/>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3081"/>
    <w:rsid w:val="005F3F93"/>
    <w:rsid w:val="005F45A5"/>
    <w:rsid w:val="005F6A26"/>
    <w:rsid w:val="005F7CDA"/>
    <w:rsid w:val="00600D57"/>
    <w:rsid w:val="00602196"/>
    <w:rsid w:val="00603E13"/>
    <w:rsid w:val="006067A1"/>
    <w:rsid w:val="0060701B"/>
    <w:rsid w:val="006079DA"/>
    <w:rsid w:val="00607FFA"/>
    <w:rsid w:val="006105E5"/>
    <w:rsid w:val="00610861"/>
    <w:rsid w:val="00611E54"/>
    <w:rsid w:val="006122A8"/>
    <w:rsid w:val="006125D9"/>
    <w:rsid w:val="00616596"/>
    <w:rsid w:val="0062713C"/>
    <w:rsid w:val="00627325"/>
    <w:rsid w:val="00627F16"/>
    <w:rsid w:val="006328C4"/>
    <w:rsid w:val="0063340A"/>
    <w:rsid w:val="00633C58"/>
    <w:rsid w:val="006341E1"/>
    <w:rsid w:val="0063451F"/>
    <w:rsid w:val="00636868"/>
    <w:rsid w:val="00637C01"/>
    <w:rsid w:val="006419D6"/>
    <w:rsid w:val="00642D25"/>
    <w:rsid w:val="006437B0"/>
    <w:rsid w:val="00644CC0"/>
    <w:rsid w:val="00647265"/>
    <w:rsid w:val="006513C3"/>
    <w:rsid w:val="006533B2"/>
    <w:rsid w:val="00653E22"/>
    <w:rsid w:val="0065506D"/>
    <w:rsid w:val="006612B5"/>
    <w:rsid w:val="00663457"/>
    <w:rsid w:val="0066573E"/>
    <w:rsid w:val="00666221"/>
    <w:rsid w:val="00666CF2"/>
    <w:rsid w:val="00667240"/>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86"/>
    <w:rsid w:val="006B585C"/>
    <w:rsid w:val="006B5E67"/>
    <w:rsid w:val="006C046D"/>
    <w:rsid w:val="006C227C"/>
    <w:rsid w:val="006C42E7"/>
    <w:rsid w:val="006C48F5"/>
    <w:rsid w:val="006C4AF1"/>
    <w:rsid w:val="006C4AFE"/>
    <w:rsid w:val="006C7042"/>
    <w:rsid w:val="006D17F1"/>
    <w:rsid w:val="006D239B"/>
    <w:rsid w:val="006D4508"/>
    <w:rsid w:val="006D4B02"/>
    <w:rsid w:val="006D5CA8"/>
    <w:rsid w:val="006E0CA4"/>
    <w:rsid w:val="006E1D0A"/>
    <w:rsid w:val="006E230E"/>
    <w:rsid w:val="006E2734"/>
    <w:rsid w:val="006E2D84"/>
    <w:rsid w:val="006E2D95"/>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B49"/>
    <w:rsid w:val="00706DC2"/>
    <w:rsid w:val="00707ADF"/>
    <w:rsid w:val="00711F66"/>
    <w:rsid w:val="00712A3D"/>
    <w:rsid w:val="007133B8"/>
    <w:rsid w:val="007178F0"/>
    <w:rsid w:val="007201FD"/>
    <w:rsid w:val="00720D2C"/>
    <w:rsid w:val="00723672"/>
    <w:rsid w:val="00726DA9"/>
    <w:rsid w:val="00727C1B"/>
    <w:rsid w:val="007307E8"/>
    <w:rsid w:val="00731D01"/>
    <w:rsid w:val="00732E70"/>
    <w:rsid w:val="00733D26"/>
    <w:rsid w:val="00734B3C"/>
    <w:rsid w:val="007353C8"/>
    <w:rsid w:val="007361A3"/>
    <w:rsid w:val="00737E59"/>
    <w:rsid w:val="00740BBE"/>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61CF"/>
    <w:rsid w:val="00766256"/>
    <w:rsid w:val="00766500"/>
    <w:rsid w:val="00766A6C"/>
    <w:rsid w:val="00766DC5"/>
    <w:rsid w:val="0076723F"/>
    <w:rsid w:val="007673C3"/>
    <w:rsid w:val="007674DA"/>
    <w:rsid w:val="00770384"/>
    <w:rsid w:val="00770B24"/>
    <w:rsid w:val="00770C8F"/>
    <w:rsid w:val="007725E5"/>
    <w:rsid w:val="007730C0"/>
    <w:rsid w:val="0077354F"/>
    <w:rsid w:val="00775299"/>
    <w:rsid w:val="00776B8A"/>
    <w:rsid w:val="0078051C"/>
    <w:rsid w:val="007805A9"/>
    <w:rsid w:val="00780613"/>
    <w:rsid w:val="00780ED2"/>
    <w:rsid w:val="007846BE"/>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48A1"/>
    <w:rsid w:val="007B549E"/>
    <w:rsid w:val="007B66B3"/>
    <w:rsid w:val="007C0FD6"/>
    <w:rsid w:val="007C14CA"/>
    <w:rsid w:val="007C2946"/>
    <w:rsid w:val="007C3421"/>
    <w:rsid w:val="007C41AB"/>
    <w:rsid w:val="007C4E22"/>
    <w:rsid w:val="007C50FD"/>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772E"/>
    <w:rsid w:val="007F78B8"/>
    <w:rsid w:val="008002E3"/>
    <w:rsid w:val="008007C0"/>
    <w:rsid w:val="00801352"/>
    <w:rsid w:val="0080242A"/>
    <w:rsid w:val="00803707"/>
    <w:rsid w:val="008048A7"/>
    <w:rsid w:val="008059F0"/>
    <w:rsid w:val="0080641E"/>
    <w:rsid w:val="00806A72"/>
    <w:rsid w:val="0080702E"/>
    <w:rsid w:val="008077C6"/>
    <w:rsid w:val="00810E08"/>
    <w:rsid w:val="0081172A"/>
    <w:rsid w:val="00811B68"/>
    <w:rsid w:val="0081293B"/>
    <w:rsid w:val="00812E4E"/>
    <w:rsid w:val="008131E7"/>
    <w:rsid w:val="00813353"/>
    <w:rsid w:val="00813B79"/>
    <w:rsid w:val="00815817"/>
    <w:rsid w:val="00815C2F"/>
    <w:rsid w:val="0081691D"/>
    <w:rsid w:val="008174C3"/>
    <w:rsid w:val="00817FF7"/>
    <w:rsid w:val="00820E11"/>
    <w:rsid w:val="00821733"/>
    <w:rsid w:val="00821887"/>
    <w:rsid w:val="008229DB"/>
    <w:rsid w:val="00824ED2"/>
    <w:rsid w:val="0083074F"/>
    <w:rsid w:val="008316A2"/>
    <w:rsid w:val="00832437"/>
    <w:rsid w:val="008352A0"/>
    <w:rsid w:val="00836985"/>
    <w:rsid w:val="008413A7"/>
    <w:rsid w:val="00841CA4"/>
    <w:rsid w:val="00845740"/>
    <w:rsid w:val="008458F6"/>
    <w:rsid w:val="00846329"/>
    <w:rsid w:val="00846DE1"/>
    <w:rsid w:val="00847390"/>
    <w:rsid w:val="008527A1"/>
    <w:rsid w:val="00852872"/>
    <w:rsid w:val="00852BB4"/>
    <w:rsid w:val="00853CE5"/>
    <w:rsid w:val="008609FE"/>
    <w:rsid w:val="00861069"/>
    <w:rsid w:val="00861402"/>
    <w:rsid w:val="008625FE"/>
    <w:rsid w:val="008626A3"/>
    <w:rsid w:val="00865743"/>
    <w:rsid w:val="0087101E"/>
    <w:rsid w:val="008719AD"/>
    <w:rsid w:val="00872ED1"/>
    <w:rsid w:val="008736F4"/>
    <w:rsid w:val="008741BF"/>
    <w:rsid w:val="00875FF6"/>
    <w:rsid w:val="008810B8"/>
    <w:rsid w:val="00881327"/>
    <w:rsid w:val="008826FD"/>
    <w:rsid w:val="00882E79"/>
    <w:rsid w:val="00883E76"/>
    <w:rsid w:val="00884498"/>
    <w:rsid w:val="00884D89"/>
    <w:rsid w:val="00885EFF"/>
    <w:rsid w:val="00887EAC"/>
    <w:rsid w:val="00890FD1"/>
    <w:rsid w:val="0089107C"/>
    <w:rsid w:val="008921D4"/>
    <w:rsid w:val="008924C4"/>
    <w:rsid w:val="00892783"/>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7550"/>
    <w:rsid w:val="008C7CA8"/>
    <w:rsid w:val="008C7D5E"/>
    <w:rsid w:val="008D0305"/>
    <w:rsid w:val="008D20BA"/>
    <w:rsid w:val="008D2283"/>
    <w:rsid w:val="008D5E28"/>
    <w:rsid w:val="008D6816"/>
    <w:rsid w:val="008E0278"/>
    <w:rsid w:val="008E0988"/>
    <w:rsid w:val="008E4BE6"/>
    <w:rsid w:val="008F0125"/>
    <w:rsid w:val="008F2D03"/>
    <w:rsid w:val="008F417F"/>
    <w:rsid w:val="008F441C"/>
    <w:rsid w:val="008F7C48"/>
    <w:rsid w:val="009025B1"/>
    <w:rsid w:val="0090263B"/>
    <w:rsid w:val="00903DFF"/>
    <w:rsid w:val="00904F0A"/>
    <w:rsid w:val="00905B33"/>
    <w:rsid w:val="0090603D"/>
    <w:rsid w:val="00906656"/>
    <w:rsid w:val="00906BE9"/>
    <w:rsid w:val="00907C77"/>
    <w:rsid w:val="00910991"/>
    <w:rsid w:val="009122BA"/>
    <w:rsid w:val="00912D5D"/>
    <w:rsid w:val="009135CA"/>
    <w:rsid w:val="009144AC"/>
    <w:rsid w:val="00916F27"/>
    <w:rsid w:val="00917355"/>
    <w:rsid w:val="00917680"/>
    <w:rsid w:val="00917A29"/>
    <w:rsid w:val="00917E00"/>
    <w:rsid w:val="00921A20"/>
    <w:rsid w:val="00921B3B"/>
    <w:rsid w:val="009265C1"/>
    <w:rsid w:val="00927577"/>
    <w:rsid w:val="00932378"/>
    <w:rsid w:val="00933418"/>
    <w:rsid w:val="009338B9"/>
    <w:rsid w:val="0093504C"/>
    <w:rsid w:val="009352FD"/>
    <w:rsid w:val="009359EA"/>
    <w:rsid w:val="00935A0D"/>
    <w:rsid w:val="00937F57"/>
    <w:rsid w:val="00940228"/>
    <w:rsid w:val="009408AA"/>
    <w:rsid w:val="00942412"/>
    <w:rsid w:val="00942D5A"/>
    <w:rsid w:val="00944D80"/>
    <w:rsid w:val="009479B1"/>
    <w:rsid w:val="00950924"/>
    <w:rsid w:val="00952498"/>
    <w:rsid w:val="0095280C"/>
    <w:rsid w:val="00952AD2"/>
    <w:rsid w:val="00953197"/>
    <w:rsid w:val="009544D9"/>
    <w:rsid w:val="0095674B"/>
    <w:rsid w:val="00957661"/>
    <w:rsid w:val="00957703"/>
    <w:rsid w:val="00962FBA"/>
    <w:rsid w:val="00962FCA"/>
    <w:rsid w:val="00963069"/>
    <w:rsid w:val="00964B23"/>
    <w:rsid w:val="00966838"/>
    <w:rsid w:val="00966B81"/>
    <w:rsid w:val="00966DDB"/>
    <w:rsid w:val="00967C08"/>
    <w:rsid w:val="00967EE7"/>
    <w:rsid w:val="0097157C"/>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D5B"/>
    <w:rsid w:val="009B11D9"/>
    <w:rsid w:val="009B157B"/>
    <w:rsid w:val="009B2674"/>
    <w:rsid w:val="009B3942"/>
    <w:rsid w:val="009B5746"/>
    <w:rsid w:val="009B5795"/>
    <w:rsid w:val="009B598F"/>
    <w:rsid w:val="009B5DB1"/>
    <w:rsid w:val="009B5E86"/>
    <w:rsid w:val="009B7A27"/>
    <w:rsid w:val="009C12AE"/>
    <w:rsid w:val="009C19CD"/>
    <w:rsid w:val="009C1CE1"/>
    <w:rsid w:val="009C3519"/>
    <w:rsid w:val="009C3882"/>
    <w:rsid w:val="009C66F1"/>
    <w:rsid w:val="009C71E4"/>
    <w:rsid w:val="009D0023"/>
    <w:rsid w:val="009D03C0"/>
    <w:rsid w:val="009D2A4F"/>
    <w:rsid w:val="009D36EB"/>
    <w:rsid w:val="009D3C42"/>
    <w:rsid w:val="009D5154"/>
    <w:rsid w:val="009D6B56"/>
    <w:rsid w:val="009D6F09"/>
    <w:rsid w:val="009E070C"/>
    <w:rsid w:val="009E392B"/>
    <w:rsid w:val="009E3B22"/>
    <w:rsid w:val="009E5609"/>
    <w:rsid w:val="009E5FDE"/>
    <w:rsid w:val="009F1526"/>
    <w:rsid w:val="009F561A"/>
    <w:rsid w:val="009F63B2"/>
    <w:rsid w:val="009F6B9A"/>
    <w:rsid w:val="009F6D8F"/>
    <w:rsid w:val="009F76E5"/>
    <w:rsid w:val="00A01767"/>
    <w:rsid w:val="00A021F9"/>
    <w:rsid w:val="00A03220"/>
    <w:rsid w:val="00A03B6C"/>
    <w:rsid w:val="00A04B19"/>
    <w:rsid w:val="00A053FB"/>
    <w:rsid w:val="00A06CA4"/>
    <w:rsid w:val="00A071AE"/>
    <w:rsid w:val="00A128CB"/>
    <w:rsid w:val="00A12A62"/>
    <w:rsid w:val="00A13515"/>
    <w:rsid w:val="00A14048"/>
    <w:rsid w:val="00A15044"/>
    <w:rsid w:val="00A158EF"/>
    <w:rsid w:val="00A15FD2"/>
    <w:rsid w:val="00A16CF2"/>
    <w:rsid w:val="00A17612"/>
    <w:rsid w:val="00A17C97"/>
    <w:rsid w:val="00A21EC2"/>
    <w:rsid w:val="00A23CD6"/>
    <w:rsid w:val="00A25143"/>
    <w:rsid w:val="00A30466"/>
    <w:rsid w:val="00A306DE"/>
    <w:rsid w:val="00A30CB7"/>
    <w:rsid w:val="00A31A83"/>
    <w:rsid w:val="00A32BC9"/>
    <w:rsid w:val="00A337C3"/>
    <w:rsid w:val="00A36A18"/>
    <w:rsid w:val="00A36DFB"/>
    <w:rsid w:val="00A40B2A"/>
    <w:rsid w:val="00A43437"/>
    <w:rsid w:val="00A4685F"/>
    <w:rsid w:val="00A47F44"/>
    <w:rsid w:val="00A53A04"/>
    <w:rsid w:val="00A553C7"/>
    <w:rsid w:val="00A55870"/>
    <w:rsid w:val="00A5598A"/>
    <w:rsid w:val="00A56E35"/>
    <w:rsid w:val="00A56F21"/>
    <w:rsid w:val="00A600AA"/>
    <w:rsid w:val="00A60239"/>
    <w:rsid w:val="00A633B5"/>
    <w:rsid w:val="00A63ED2"/>
    <w:rsid w:val="00A6489B"/>
    <w:rsid w:val="00A65040"/>
    <w:rsid w:val="00A6525B"/>
    <w:rsid w:val="00A66E1A"/>
    <w:rsid w:val="00A67795"/>
    <w:rsid w:val="00A67DDA"/>
    <w:rsid w:val="00A67F6F"/>
    <w:rsid w:val="00A73481"/>
    <w:rsid w:val="00A74C4A"/>
    <w:rsid w:val="00A75F85"/>
    <w:rsid w:val="00A76AC4"/>
    <w:rsid w:val="00A77224"/>
    <w:rsid w:val="00A773A3"/>
    <w:rsid w:val="00A80099"/>
    <w:rsid w:val="00A80AA1"/>
    <w:rsid w:val="00A80C13"/>
    <w:rsid w:val="00A860F3"/>
    <w:rsid w:val="00A86C73"/>
    <w:rsid w:val="00A87171"/>
    <w:rsid w:val="00A91094"/>
    <w:rsid w:val="00A9183E"/>
    <w:rsid w:val="00A91BFA"/>
    <w:rsid w:val="00A94A9C"/>
    <w:rsid w:val="00A94F3D"/>
    <w:rsid w:val="00A956B8"/>
    <w:rsid w:val="00A95DCF"/>
    <w:rsid w:val="00A96FCE"/>
    <w:rsid w:val="00A97C77"/>
    <w:rsid w:val="00AA06AA"/>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4CEC"/>
    <w:rsid w:val="00AB5CD1"/>
    <w:rsid w:val="00AC0F23"/>
    <w:rsid w:val="00AC30B7"/>
    <w:rsid w:val="00AC33E6"/>
    <w:rsid w:val="00AC4D64"/>
    <w:rsid w:val="00AC7FE2"/>
    <w:rsid w:val="00AD0275"/>
    <w:rsid w:val="00AD08CF"/>
    <w:rsid w:val="00AD29F6"/>
    <w:rsid w:val="00AD31DC"/>
    <w:rsid w:val="00AD5EBC"/>
    <w:rsid w:val="00AD6222"/>
    <w:rsid w:val="00AD69E8"/>
    <w:rsid w:val="00AE0F15"/>
    <w:rsid w:val="00AE1838"/>
    <w:rsid w:val="00AE1D9D"/>
    <w:rsid w:val="00AE325C"/>
    <w:rsid w:val="00AE38F2"/>
    <w:rsid w:val="00AE39F9"/>
    <w:rsid w:val="00AE4D3F"/>
    <w:rsid w:val="00AE685D"/>
    <w:rsid w:val="00AE6D09"/>
    <w:rsid w:val="00AE6DD4"/>
    <w:rsid w:val="00AE7182"/>
    <w:rsid w:val="00AE793D"/>
    <w:rsid w:val="00AF0826"/>
    <w:rsid w:val="00AF0E2F"/>
    <w:rsid w:val="00AF21DF"/>
    <w:rsid w:val="00AF53B4"/>
    <w:rsid w:val="00AF5DF4"/>
    <w:rsid w:val="00AF6AD8"/>
    <w:rsid w:val="00AF6C98"/>
    <w:rsid w:val="00AF75A0"/>
    <w:rsid w:val="00AF7FB9"/>
    <w:rsid w:val="00B03F44"/>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1183"/>
    <w:rsid w:val="00B21A24"/>
    <w:rsid w:val="00B21A29"/>
    <w:rsid w:val="00B23A87"/>
    <w:rsid w:val="00B24A40"/>
    <w:rsid w:val="00B25D3F"/>
    <w:rsid w:val="00B3382E"/>
    <w:rsid w:val="00B3459E"/>
    <w:rsid w:val="00B349DD"/>
    <w:rsid w:val="00B34D47"/>
    <w:rsid w:val="00B427B5"/>
    <w:rsid w:val="00B42A2D"/>
    <w:rsid w:val="00B42CAC"/>
    <w:rsid w:val="00B46775"/>
    <w:rsid w:val="00B4736D"/>
    <w:rsid w:val="00B5016F"/>
    <w:rsid w:val="00B50841"/>
    <w:rsid w:val="00B50A06"/>
    <w:rsid w:val="00B510FD"/>
    <w:rsid w:val="00B52BC0"/>
    <w:rsid w:val="00B53EC5"/>
    <w:rsid w:val="00B563A7"/>
    <w:rsid w:val="00B570D4"/>
    <w:rsid w:val="00B57988"/>
    <w:rsid w:val="00B60156"/>
    <w:rsid w:val="00B6142F"/>
    <w:rsid w:val="00B616C3"/>
    <w:rsid w:val="00B620BB"/>
    <w:rsid w:val="00B627FF"/>
    <w:rsid w:val="00B63774"/>
    <w:rsid w:val="00B67FA9"/>
    <w:rsid w:val="00B71910"/>
    <w:rsid w:val="00B721C3"/>
    <w:rsid w:val="00B7574D"/>
    <w:rsid w:val="00B75D32"/>
    <w:rsid w:val="00B76E7E"/>
    <w:rsid w:val="00B778B8"/>
    <w:rsid w:val="00B80374"/>
    <w:rsid w:val="00B81227"/>
    <w:rsid w:val="00B81A72"/>
    <w:rsid w:val="00B81D01"/>
    <w:rsid w:val="00B85981"/>
    <w:rsid w:val="00B90810"/>
    <w:rsid w:val="00B9151A"/>
    <w:rsid w:val="00B92660"/>
    <w:rsid w:val="00B92EDE"/>
    <w:rsid w:val="00B93ACA"/>
    <w:rsid w:val="00B948DB"/>
    <w:rsid w:val="00B95189"/>
    <w:rsid w:val="00BA4F2E"/>
    <w:rsid w:val="00BA5C15"/>
    <w:rsid w:val="00BA60C7"/>
    <w:rsid w:val="00BB0463"/>
    <w:rsid w:val="00BB0BE5"/>
    <w:rsid w:val="00BB5423"/>
    <w:rsid w:val="00BB6F09"/>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E000A"/>
    <w:rsid w:val="00BE1DB5"/>
    <w:rsid w:val="00BE24CD"/>
    <w:rsid w:val="00BE35D2"/>
    <w:rsid w:val="00BE5457"/>
    <w:rsid w:val="00BE55EC"/>
    <w:rsid w:val="00BE689D"/>
    <w:rsid w:val="00BF032B"/>
    <w:rsid w:val="00BF1979"/>
    <w:rsid w:val="00BF1A32"/>
    <w:rsid w:val="00BF2CF3"/>
    <w:rsid w:val="00BF33AF"/>
    <w:rsid w:val="00BF3EEB"/>
    <w:rsid w:val="00BF7DF9"/>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8F9"/>
    <w:rsid w:val="00C22124"/>
    <w:rsid w:val="00C229E5"/>
    <w:rsid w:val="00C2659B"/>
    <w:rsid w:val="00C26982"/>
    <w:rsid w:val="00C27494"/>
    <w:rsid w:val="00C27548"/>
    <w:rsid w:val="00C30290"/>
    <w:rsid w:val="00C3070D"/>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4898"/>
    <w:rsid w:val="00C474F5"/>
    <w:rsid w:val="00C47AFB"/>
    <w:rsid w:val="00C5016E"/>
    <w:rsid w:val="00C50B8F"/>
    <w:rsid w:val="00C5219C"/>
    <w:rsid w:val="00C52D1E"/>
    <w:rsid w:val="00C53F3A"/>
    <w:rsid w:val="00C57078"/>
    <w:rsid w:val="00C607BD"/>
    <w:rsid w:val="00C6244B"/>
    <w:rsid w:val="00C640F8"/>
    <w:rsid w:val="00C64ECF"/>
    <w:rsid w:val="00C65BB3"/>
    <w:rsid w:val="00C708BF"/>
    <w:rsid w:val="00C70F67"/>
    <w:rsid w:val="00C7140E"/>
    <w:rsid w:val="00C73093"/>
    <w:rsid w:val="00C734B3"/>
    <w:rsid w:val="00C74695"/>
    <w:rsid w:val="00C808F6"/>
    <w:rsid w:val="00C811D0"/>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2620"/>
    <w:rsid w:val="00CA397A"/>
    <w:rsid w:val="00CA39E2"/>
    <w:rsid w:val="00CA48CB"/>
    <w:rsid w:val="00CA4BDD"/>
    <w:rsid w:val="00CA5F5E"/>
    <w:rsid w:val="00CA7A6B"/>
    <w:rsid w:val="00CB106B"/>
    <w:rsid w:val="00CB3C06"/>
    <w:rsid w:val="00CB4742"/>
    <w:rsid w:val="00CB57E6"/>
    <w:rsid w:val="00CB580A"/>
    <w:rsid w:val="00CB6365"/>
    <w:rsid w:val="00CB7269"/>
    <w:rsid w:val="00CB7681"/>
    <w:rsid w:val="00CC00EB"/>
    <w:rsid w:val="00CC1552"/>
    <w:rsid w:val="00CC211A"/>
    <w:rsid w:val="00CC2B13"/>
    <w:rsid w:val="00CC440E"/>
    <w:rsid w:val="00CC7DBB"/>
    <w:rsid w:val="00CD0FD2"/>
    <w:rsid w:val="00CD1859"/>
    <w:rsid w:val="00CD1F1D"/>
    <w:rsid w:val="00CD2B59"/>
    <w:rsid w:val="00CD4C70"/>
    <w:rsid w:val="00CD5D4E"/>
    <w:rsid w:val="00CD5FA6"/>
    <w:rsid w:val="00CE332B"/>
    <w:rsid w:val="00CE4E61"/>
    <w:rsid w:val="00CE514E"/>
    <w:rsid w:val="00CE5C7C"/>
    <w:rsid w:val="00CE5E7D"/>
    <w:rsid w:val="00CE6E31"/>
    <w:rsid w:val="00CF0F0F"/>
    <w:rsid w:val="00CF20AF"/>
    <w:rsid w:val="00CF246F"/>
    <w:rsid w:val="00CF7683"/>
    <w:rsid w:val="00D010F8"/>
    <w:rsid w:val="00D01B0F"/>
    <w:rsid w:val="00D02773"/>
    <w:rsid w:val="00D03066"/>
    <w:rsid w:val="00D0484C"/>
    <w:rsid w:val="00D06858"/>
    <w:rsid w:val="00D119BA"/>
    <w:rsid w:val="00D126BB"/>
    <w:rsid w:val="00D13EDC"/>
    <w:rsid w:val="00D14385"/>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C5B"/>
    <w:rsid w:val="00D42D82"/>
    <w:rsid w:val="00D47298"/>
    <w:rsid w:val="00D476E0"/>
    <w:rsid w:val="00D55433"/>
    <w:rsid w:val="00D55FB1"/>
    <w:rsid w:val="00D565FB"/>
    <w:rsid w:val="00D567D1"/>
    <w:rsid w:val="00D56D39"/>
    <w:rsid w:val="00D6050C"/>
    <w:rsid w:val="00D619D3"/>
    <w:rsid w:val="00D628AD"/>
    <w:rsid w:val="00D649D5"/>
    <w:rsid w:val="00D71595"/>
    <w:rsid w:val="00D72B9F"/>
    <w:rsid w:val="00D73F63"/>
    <w:rsid w:val="00D75092"/>
    <w:rsid w:val="00D75C2E"/>
    <w:rsid w:val="00D77BBF"/>
    <w:rsid w:val="00D8146D"/>
    <w:rsid w:val="00D814CF"/>
    <w:rsid w:val="00D82538"/>
    <w:rsid w:val="00D82B1A"/>
    <w:rsid w:val="00D831F7"/>
    <w:rsid w:val="00D85812"/>
    <w:rsid w:val="00D85B75"/>
    <w:rsid w:val="00D87D06"/>
    <w:rsid w:val="00D908FB"/>
    <w:rsid w:val="00D92577"/>
    <w:rsid w:val="00D9327D"/>
    <w:rsid w:val="00D95816"/>
    <w:rsid w:val="00D9664D"/>
    <w:rsid w:val="00DA0C5B"/>
    <w:rsid w:val="00DA0EB6"/>
    <w:rsid w:val="00DA3A89"/>
    <w:rsid w:val="00DA5BC1"/>
    <w:rsid w:val="00DA6E8D"/>
    <w:rsid w:val="00DB0E03"/>
    <w:rsid w:val="00DB274D"/>
    <w:rsid w:val="00DB39ED"/>
    <w:rsid w:val="00DB3D0C"/>
    <w:rsid w:val="00DB43DC"/>
    <w:rsid w:val="00DB46AA"/>
    <w:rsid w:val="00DB665B"/>
    <w:rsid w:val="00DB77F9"/>
    <w:rsid w:val="00DB7EB6"/>
    <w:rsid w:val="00DC1A57"/>
    <w:rsid w:val="00DC1BF7"/>
    <w:rsid w:val="00DC3BE3"/>
    <w:rsid w:val="00DC7D1F"/>
    <w:rsid w:val="00DD1549"/>
    <w:rsid w:val="00DD182B"/>
    <w:rsid w:val="00DD1E7C"/>
    <w:rsid w:val="00DD20A8"/>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459E"/>
    <w:rsid w:val="00E64729"/>
    <w:rsid w:val="00E65758"/>
    <w:rsid w:val="00E6751C"/>
    <w:rsid w:val="00E70B74"/>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31A4"/>
    <w:rsid w:val="00E93781"/>
    <w:rsid w:val="00E93C8F"/>
    <w:rsid w:val="00E9436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7753"/>
    <w:rsid w:val="00EB7D2C"/>
    <w:rsid w:val="00EC383E"/>
    <w:rsid w:val="00EC5308"/>
    <w:rsid w:val="00EC6F49"/>
    <w:rsid w:val="00ED0866"/>
    <w:rsid w:val="00ED0C68"/>
    <w:rsid w:val="00ED2429"/>
    <w:rsid w:val="00ED2D4A"/>
    <w:rsid w:val="00ED30ED"/>
    <w:rsid w:val="00ED3CCA"/>
    <w:rsid w:val="00ED614F"/>
    <w:rsid w:val="00EE1BC1"/>
    <w:rsid w:val="00EE1D56"/>
    <w:rsid w:val="00EE1DE8"/>
    <w:rsid w:val="00EE22CB"/>
    <w:rsid w:val="00EE6A09"/>
    <w:rsid w:val="00EE6A5A"/>
    <w:rsid w:val="00EE755C"/>
    <w:rsid w:val="00EE75C2"/>
    <w:rsid w:val="00EF16B4"/>
    <w:rsid w:val="00EF1C51"/>
    <w:rsid w:val="00EF3023"/>
    <w:rsid w:val="00EF3EC2"/>
    <w:rsid w:val="00EF560A"/>
    <w:rsid w:val="00EF6AB2"/>
    <w:rsid w:val="00F00E93"/>
    <w:rsid w:val="00F034B3"/>
    <w:rsid w:val="00F04180"/>
    <w:rsid w:val="00F04229"/>
    <w:rsid w:val="00F04E6D"/>
    <w:rsid w:val="00F123FE"/>
    <w:rsid w:val="00F14CB8"/>
    <w:rsid w:val="00F158A9"/>
    <w:rsid w:val="00F15963"/>
    <w:rsid w:val="00F205F2"/>
    <w:rsid w:val="00F20759"/>
    <w:rsid w:val="00F22994"/>
    <w:rsid w:val="00F260E0"/>
    <w:rsid w:val="00F2634A"/>
    <w:rsid w:val="00F27751"/>
    <w:rsid w:val="00F27817"/>
    <w:rsid w:val="00F27C2E"/>
    <w:rsid w:val="00F30104"/>
    <w:rsid w:val="00F306CC"/>
    <w:rsid w:val="00F3098C"/>
    <w:rsid w:val="00F31745"/>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60293"/>
    <w:rsid w:val="00F61329"/>
    <w:rsid w:val="00F6175A"/>
    <w:rsid w:val="00F62093"/>
    <w:rsid w:val="00F6758B"/>
    <w:rsid w:val="00F70CAE"/>
    <w:rsid w:val="00F7124D"/>
    <w:rsid w:val="00F718AC"/>
    <w:rsid w:val="00F71B14"/>
    <w:rsid w:val="00F71FBA"/>
    <w:rsid w:val="00F73590"/>
    <w:rsid w:val="00F7405E"/>
    <w:rsid w:val="00F82890"/>
    <w:rsid w:val="00F82A5F"/>
    <w:rsid w:val="00F833D1"/>
    <w:rsid w:val="00F86843"/>
    <w:rsid w:val="00F9349E"/>
    <w:rsid w:val="00F93FD6"/>
    <w:rsid w:val="00F94AB5"/>
    <w:rsid w:val="00F94F9D"/>
    <w:rsid w:val="00F95BFA"/>
    <w:rsid w:val="00F97D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79C4"/>
    <w:rsid w:val="00FD31F4"/>
    <w:rsid w:val="00FD5C83"/>
    <w:rsid w:val="00FE05ED"/>
    <w:rsid w:val="00FE3898"/>
    <w:rsid w:val="00FF122F"/>
    <w:rsid w:val="00FF182D"/>
    <w:rsid w:val="00FF2A26"/>
    <w:rsid w:val="00FF3351"/>
    <w:rsid w:val="00FF35E6"/>
    <w:rsid w:val="00FF516F"/>
    <w:rsid w:val="00FF5B55"/>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1.next.westlaw.com/Link/Document/FullText?findType=Y&amp;serNum=1996038764&amp;pubNum=506&amp;originatingDoc=Id0ec1db494a511d9a707f4371c9c34f0&amp;refType=RP&amp;fi=co_pp_sp_506_1135&amp;originationContext=document&amp;transitionType=DocumentItem&amp;contextData=(sc.Folder*cid.10dbfc0c003541e2bab3d5648918e366*oc.Search)" TargetMode="External"/><Relationship Id="rId2" Type="http://schemas.openxmlformats.org/officeDocument/2006/relationships/hyperlink" Target="https://1.next.westlaw.com/Link/Document/FullText?findType=Y&amp;serNum=1999094592&amp;pubNum=506&amp;originatingDoc=Id0ec1db494a511d9a707f4371c9c34f0&amp;refType=RP&amp;originationContext=document&amp;transitionType=DocumentItem&amp;contextData=(sc.Folder*cid.10dbfc0c003541e2bab3d5648918e366*oc.Search)" TargetMode="External"/><Relationship Id="rId1" Type="http://schemas.openxmlformats.org/officeDocument/2006/relationships/hyperlink" Target="https://1.next.westlaw.com/Document/I6cc65d0d798911d99c4dbb2f0352441d/View/FullText.html?navigationPath=%2FFoldering%2Fv1%2Fskguth10%2Fcontainers%2Fuser%2Ff87d28437abd40d7a353c8920892a1f6%2Fcontents%2FdocumentNavigation%2Fb317aedb-1fe8-4cb9-89c3-45279539b38b%2FI6cc65d0d798911d99c4dbb2f0352441d%3FcontainerType%3Dfolder&amp;listSource=Foldering&amp;list=folderContents&amp;rank=1&amp;sessionScopeId=cf9e75974a6a5d481cb109532cb76c7be40573f891c73a2f59e832dc6ef7ced4&amp;rulebookMode=false&amp;fcid=0a29c5e22e5d4ea28d02f6afea939803&amp;transitionType=FolderItem&amp;contextData=%28cid.0a29c5e22e5d4ea28d02f6afea939803*oc.DocLink%2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42AA-9FA7-4134-A677-7450BB1F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9</Pages>
  <Words>6706</Words>
  <Characters>38226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1774</cp:revision>
  <cp:lastPrinted>2018-03-22T12:23:00Z</cp:lastPrinted>
  <dcterms:created xsi:type="dcterms:W3CDTF">2018-02-13T23:33:00Z</dcterms:created>
  <dcterms:modified xsi:type="dcterms:W3CDTF">2018-03-23T15:47:00Z</dcterms:modified>
</cp:coreProperties>
</file>