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9122BA"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9122BA"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9122BA"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r w:rsidRPr="00D831F7">
        <w:rPr>
          <w:color w:val="auto"/>
        </w:rPr>
        <w:t>Student’s Anonymous Identifier</w:t>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rPr>
        <w:id w:val="-1047216807"/>
        <w:docPartObj>
          <w:docPartGallery w:val="Table of Contents"/>
          <w:docPartUnique/>
        </w:docPartObj>
      </w:sdtPr>
      <w:sdtEndPr>
        <w:rPr>
          <w:b w:val="0"/>
          <w:bCs/>
          <w:noProof/>
        </w:rPr>
      </w:sdtEndPr>
      <w:sdtContent>
        <w:p w14:paraId="563BACCB" w14:textId="15AC66BC" w:rsidR="00815C2F" w:rsidRDefault="00DD4517">
          <w:pPr>
            <w:pStyle w:val="TOCHeading"/>
          </w:pPr>
          <w:r>
            <w:t>TABLE OF CONTENTS</w:t>
          </w:r>
        </w:p>
        <w:p w14:paraId="0475C1FE" w14:textId="77777777" w:rsidR="00DD4517" w:rsidRPr="00DD4517" w:rsidRDefault="00DD4517" w:rsidP="00DD4517">
          <w:bookmarkStart w:id="0" w:name="_GoBack"/>
          <w:bookmarkEnd w:id="0"/>
        </w:p>
        <w:p w14:paraId="10EF9B81" w14:textId="3D494EBD" w:rsidR="00BD0AAF"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9071338" w:history="1">
            <w:r w:rsidR="00BD0AAF" w:rsidRPr="00E24AE8">
              <w:rPr>
                <w:rStyle w:val="Hyperlink"/>
                <w:noProof/>
              </w:rPr>
              <w:t>TABLE OF AUTHORITIES</w:t>
            </w:r>
            <w:r w:rsidR="00BD0AAF">
              <w:rPr>
                <w:noProof/>
                <w:webHidden/>
              </w:rPr>
              <w:tab/>
            </w:r>
            <w:r w:rsidR="00BD0AAF">
              <w:rPr>
                <w:noProof/>
                <w:webHidden/>
              </w:rPr>
              <w:fldChar w:fldCharType="begin"/>
            </w:r>
            <w:r w:rsidR="00BD0AAF">
              <w:rPr>
                <w:noProof/>
                <w:webHidden/>
              </w:rPr>
              <w:instrText xml:space="preserve"> PAGEREF _Toc509071338 \h </w:instrText>
            </w:r>
            <w:r w:rsidR="00BD0AAF">
              <w:rPr>
                <w:noProof/>
                <w:webHidden/>
              </w:rPr>
            </w:r>
            <w:r w:rsidR="00BD0AAF">
              <w:rPr>
                <w:noProof/>
                <w:webHidden/>
              </w:rPr>
              <w:fldChar w:fldCharType="separate"/>
            </w:r>
            <w:r w:rsidR="00BD0AAF">
              <w:rPr>
                <w:noProof/>
                <w:webHidden/>
              </w:rPr>
              <w:t>iii</w:t>
            </w:r>
            <w:r w:rsidR="00BD0AAF">
              <w:rPr>
                <w:noProof/>
                <w:webHidden/>
              </w:rPr>
              <w:fldChar w:fldCharType="end"/>
            </w:r>
          </w:hyperlink>
        </w:p>
        <w:p w14:paraId="532D4FB2" w14:textId="03C4458E" w:rsidR="00BD0AAF" w:rsidRDefault="00BD0AAF">
          <w:pPr>
            <w:pStyle w:val="TOC1"/>
            <w:rPr>
              <w:rFonts w:asciiTheme="minorHAnsi" w:eastAsiaTheme="minorEastAsia" w:hAnsiTheme="minorHAnsi"/>
              <w:noProof/>
              <w:sz w:val="22"/>
            </w:rPr>
          </w:pPr>
          <w:hyperlink w:anchor="_Toc509071339" w:history="1">
            <w:r w:rsidRPr="00E24AE8">
              <w:rPr>
                <w:rStyle w:val="Hyperlink"/>
                <w:noProof/>
              </w:rPr>
              <w:t>STATEMENT OF JURISDICTION</w:t>
            </w:r>
            <w:r>
              <w:rPr>
                <w:noProof/>
                <w:webHidden/>
              </w:rPr>
              <w:tab/>
            </w:r>
            <w:r>
              <w:rPr>
                <w:noProof/>
                <w:webHidden/>
              </w:rPr>
              <w:fldChar w:fldCharType="begin"/>
            </w:r>
            <w:r>
              <w:rPr>
                <w:noProof/>
                <w:webHidden/>
              </w:rPr>
              <w:instrText xml:space="preserve"> PAGEREF _Toc509071339 \h </w:instrText>
            </w:r>
            <w:r>
              <w:rPr>
                <w:noProof/>
                <w:webHidden/>
              </w:rPr>
            </w:r>
            <w:r>
              <w:rPr>
                <w:noProof/>
                <w:webHidden/>
              </w:rPr>
              <w:fldChar w:fldCharType="separate"/>
            </w:r>
            <w:r>
              <w:rPr>
                <w:noProof/>
                <w:webHidden/>
              </w:rPr>
              <w:t>1</w:t>
            </w:r>
            <w:r>
              <w:rPr>
                <w:noProof/>
                <w:webHidden/>
              </w:rPr>
              <w:fldChar w:fldCharType="end"/>
            </w:r>
          </w:hyperlink>
        </w:p>
        <w:p w14:paraId="0C574379" w14:textId="5B3E3641" w:rsidR="00BD0AAF" w:rsidRDefault="00BD0AAF">
          <w:pPr>
            <w:pStyle w:val="TOC1"/>
            <w:rPr>
              <w:rFonts w:asciiTheme="minorHAnsi" w:eastAsiaTheme="minorEastAsia" w:hAnsiTheme="minorHAnsi"/>
              <w:noProof/>
              <w:sz w:val="22"/>
            </w:rPr>
          </w:pPr>
          <w:hyperlink w:anchor="_Toc509071340" w:history="1">
            <w:r w:rsidRPr="00E24AE8">
              <w:rPr>
                <w:rStyle w:val="Hyperlink"/>
                <w:noProof/>
              </w:rPr>
              <w:t>STATEMENT OF THE ISSUE</w:t>
            </w:r>
            <w:r>
              <w:rPr>
                <w:noProof/>
                <w:webHidden/>
              </w:rPr>
              <w:tab/>
            </w:r>
            <w:r>
              <w:rPr>
                <w:noProof/>
                <w:webHidden/>
              </w:rPr>
              <w:fldChar w:fldCharType="begin"/>
            </w:r>
            <w:r>
              <w:rPr>
                <w:noProof/>
                <w:webHidden/>
              </w:rPr>
              <w:instrText xml:space="preserve"> PAGEREF _Toc509071340 \h </w:instrText>
            </w:r>
            <w:r>
              <w:rPr>
                <w:noProof/>
                <w:webHidden/>
              </w:rPr>
            </w:r>
            <w:r>
              <w:rPr>
                <w:noProof/>
                <w:webHidden/>
              </w:rPr>
              <w:fldChar w:fldCharType="separate"/>
            </w:r>
            <w:r>
              <w:rPr>
                <w:noProof/>
                <w:webHidden/>
              </w:rPr>
              <w:t>1</w:t>
            </w:r>
            <w:r>
              <w:rPr>
                <w:noProof/>
                <w:webHidden/>
              </w:rPr>
              <w:fldChar w:fldCharType="end"/>
            </w:r>
          </w:hyperlink>
        </w:p>
        <w:p w14:paraId="0AC42A57" w14:textId="2C89C5BD" w:rsidR="00BD0AAF" w:rsidRDefault="00BD0AAF">
          <w:pPr>
            <w:pStyle w:val="TOC1"/>
            <w:rPr>
              <w:rFonts w:asciiTheme="minorHAnsi" w:eastAsiaTheme="minorEastAsia" w:hAnsiTheme="minorHAnsi"/>
              <w:noProof/>
              <w:sz w:val="22"/>
            </w:rPr>
          </w:pPr>
          <w:hyperlink w:anchor="_Toc509071341" w:history="1">
            <w:r w:rsidRPr="00E24AE8">
              <w:rPr>
                <w:rStyle w:val="Hyperlink"/>
                <w:noProof/>
              </w:rPr>
              <w:t>STATEMENT OF THE CASE</w:t>
            </w:r>
            <w:r>
              <w:rPr>
                <w:noProof/>
                <w:webHidden/>
              </w:rPr>
              <w:tab/>
            </w:r>
            <w:r>
              <w:rPr>
                <w:noProof/>
                <w:webHidden/>
              </w:rPr>
              <w:fldChar w:fldCharType="begin"/>
            </w:r>
            <w:r>
              <w:rPr>
                <w:noProof/>
                <w:webHidden/>
              </w:rPr>
              <w:instrText xml:space="preserve"> PAGEREF _Toc509071341 \h </w:instrText>
            </w:r>
            <w:r>
              <w:rPr>
                <w:noProof/>
                <w:webHidden/>
              </w:rPr>
            </w:r>
            <w:r>
              <w:rPr>
                <w:noProof/>
                <w:webHidden/>
              </w:rPr>
              <w:fldChar w:fldCharType="separate"/>
            </w:r>
            <w:r>
              <w:rPr>
                <w:noProof/>
                <w:webHidden/>
              </w:rPr>
              <w:t>1</w:t>
            </w:r>
            <w:r>
              <w:rPr>
                <w:noProof/>
                <w:webHidden/>
              </w:rPr>
              <w:fldChar w:fldCharType="end"/>
            </w:r>
          </w:hyperlink>
        </w:p>
        <w:p w14:paraId="2298F39F" w14:textId="3E98B06A" w:rsidR="00BD0AAF" w:rsidRDefault="00BD0AAF">
          <w:pPr>
            <w:pStyle w:val="TOC1"/>
            <w:rPr>
              <w:rFonts w:asciiTheme="minorHAnsi" w:eastAsiaTheme="minorEastAsia" w:hAnsiTheme="minorHAnsi"/>
              <w:noProof/>
              <w:sz w:val="22"/>
            </w:rPr>
          </w:pPr>
          <w:hyperlink w:anchor="_Toc509071342" w:history="1">
            <w:r w:rsidRPr="00E24AE8">
              <w:rPr>
                <w:rStyle w:val="Hyperlink"/>
                <w:noProof/>
              </w:rPr>
              <w:t>STATEMENT OF FACTS</w:t>
            </w:r>
            <w:r>
              <w:rPr>
                <w:noProof/>
                <w:webHidden/>
              </w:rPr>
              <w:tab/>
            </w:r>
            <w:r>
              <w:rPr>
                <w:noProof/>
                <w:webHidden/>
              </w:rPr>
              <w:fldChar w:fldCharType="begin"/>
            </w:r>
            <w:r>
              <w:rPr>
                <w:noProof/>
                <w:webHidden/>
              </w:rPr>
              <w:instrText xml:space="preserve"> PAGEREF _Toc509071342 \h </w:instrText>
            </w:r>
            <w:r>
              <w:rPr>
                <w:noProof/>
                <w:webHidden/>
              </w:rPr>
            </w:r>
            <w:r>
              <w:rPr>
                <w:noProof/>
                <w:webHidden/>
              </w:rPr>
              <w:fldChar w:fldCharType="separate"/>
            </w:r>
            <w:r>
              <w:rPr>
                <w:noProof/>
                <w:webHidden/>
              </w:rPr>
              <w:t>2</w:t>
            </w:r>
            <w:r>
              <w:rPr>
                <w:noProof/>
                <w:webHidden/>
              </w:rPr>
              <w:fldChar w:fldCharType="end"/>
            </w:r>
          </w:hyperlink>
        </w:p>
        <w:p w14:paraId="60C6CE16" w14:textId="684A63BE" w:rsidR="00BD0AAF" w:rsidRDefault="00BD0AAF">
          <w:pPr>
            <w:pStyle w:val="TOC1"/>
            <w:rPr>
              <w:rFonts w:asciiTheme="minorHAnsi" w:eastAsiaTheme="minorEastAsia" w:hAnsiTheme="minorHAnsi"/>
              <w:noProof/>
              <w:sz w:val="22"/>
            </w:rPr>
          </w:pPr>
          <w:hyperlink w:anchor="_Toc509071343" w:history="1">
            <w:r w:rsidRPr="00E24AE8">
              <w:rPr>
                <w:rStyle w:val="Hyperlink"/>
                <w:noProof/>
              </w:rPr>
              <w:t>SUMMARY OF THE ARGUMENT</w:t>
            </w:r>
            <w:r>
              <w:rPr>
                <w:noProof/>
                <w:webHidden/>
              </w:rPr>
              <w:tab/>
            </w:r>
            <w:r>
              <w:rPr>
                <w:noProof/>
                <w:webHidden/>
              </w:rPr>
              <w:fldChar w:fldCharType="begin"/>
            </w:r>
            <w:r>
              <w:rPr>
                <w:noProof/>
                <w:webHidden/>
              </w:rPr>
              <w:instrText xml:space="preserve"> PAGEREF _Toc509071343 \h </w:instrText>
            </w:r>
            <w:r>
              <w:rPr>
                <w:noProof/>
                <w:webHidden/>
              </w:rPr>
            </w:r>
            <w:r>
              <w:rPr>
                <w:noProof/>
                <w:webHidden/>
              </w:rPr>
              <w:fldChar w:fldCharType="separate"/>
            </w:r>
            <w:r>
              <w:rPr>
                <w:noProof/>
                <w:webHidden/>
              </w:rPr>
              <w:t>4</w:t>
            </w:r>
            <w:r>
              <w:rPr>
                <w:noProof/>
                <w:webHidden/>
              </w:rPr>
              <w:fldChar w:fldCharType="end"/>
            </w:r>
          </w:hyperlink>
        </w:p>
        <w:p w14:paraId="45DD0C17" w14:textId="4A4DD8BF" w:rsidR="00BD0AAF" w:rsidRDefault="00BD0AAF">
          <w:pPr>
            <w:pStyle w:val="TOC1"/>
            <w:rPr>
              <w:rFonts w:asciiTheme="minorHAnsi" w:eastAsiaTheme="minorEastAsia" w:hAnsiTheme="minorHAnsi"/>
              <w:noProof/>
              <w:sz w:val="22"/>
            </w:rPr>
          </w:pPr>
          <w:hyperlink w:anchor="_Toc509071344" w:history="1">
            <w:r w:rsidRPr="00E24AE8">
              <w:rPr>
                <w:rStyle w:val="Hyperlink"/>
                <w:noProof/>
              </w:rPr>
              <w:t>ARGUMENT</w:t>
            </w:r>
            <w:r>
              <w:rPr>
                <w:noProof/>
                <w:webHidden/>
              </w:rPr>
              <w:tab/>
            </w:r>
            <w:r>
              <w:rPr>
                <w:noProof/>
                <w:webHidden/>
              </w:rPr>
              <w:fldChar w:fldCharType="begin"/>
            </w:r>
            <w:r>
              <w:rPr>
                <w:noProof/>
                <w:webHidden/>
              </w:rPr>
              <w:instrText xml:space="preserve"> PAGEREF _Toc509071344 \h </w:instrText>
            </w:r>
            <w:r>
              <w:rPr>
                <w:noProof/>
                <w:webHidden/>
              </w:rPr>
            </w:r>
            <w:r>
              <w:rPr>
                <w:noProof/>
                <w:webHidden/>
              </w:rPr>
              <w:fldChar w:fldCharType="separate"/>
            </w:r>
            <w:r>
              <w:rPr>
                <w:noProof/>
                <w:webHidden/>
              </w:rPr>
              <w:t>4</w:t>
            </w:r>
            <w:r>
              <w:rPr>
                <w:noProof/>
                <w:webHidden/>
              </w:rPr>
              <w:fldChar w:fldCharType="end"/>
            </w:r>
          </w:hyperlink>
        </w:p>
        <w:p w14:paraId="4C25AFFD" w14:textId="19EC61A6" w:rsidR="00BD0AAF" w:rsidRDefault="00BD0AAF">
          <w:pPr>
            <w:pStyle w:val="TOC2"/>
            <w:rPr>
              <w:rFonts w:asciiTheme="minorHAnsi" w:eastAsiaTheme="minorEastAsia" w:hAnsiTheme="minorHAnsi"/>
              <w:noProof/>
              <w:sz w:val="22"/>
            </w:rPr>
          </w:pPr>
          <w:hyperlink w:anchor="_Toc509071345" w:history="1">
            <w:r w:rsidRPr="00E24AE8">
              <w:rPr>
                <w:rStyle w:val="Hyperlink"/>
                <w:noProof/>
              </w:rPr>
              <w:t>I.</w:t>
            </w:r>
            <w:r>
              <w:rPr>
                <w:rFonts w:asciiTheme="minorHAnsi" w:eastAsiaTheme="minorEastAsia" w:hAnsiTheme="minorHAnsi"/>
                <w:noProof/>
                <w:sz w:val="22"/>
              </w:rPr>
              <w:tab/>
            </w:r>
            <w:r w:rsidRPr="00E24AE8">
              <w:rPr>
                <w:rStyle w:val="Hyperlink"/>
                <w:noProof/>
              </w:rPr>
              <w:t>SSS RETALIATED AGAINST MR. HERNANDEZ BY TERMINATING HIS EMPLOYMENT AND PROVIDING A NEGATIVE REFERENCE TWO WEEKS AND THREE MONTHS RESPECTIVELY AFTER FILING AN EEOC COMPLAINT AND ITS REASONS FOR TERMINATION WERE INCONSISTENT.</w:t>
            </w:r>
            <w:r>
              <w:rPr>
                <w:noProof/>
                <w:webHidden/>
              </w:rPr>
              <w:tab/>
            </w:r>
            <w:r>
              <w:rPr>
                <w:noProof/>
                <w:webHidden/>
              </w:rPr>
              <w:fldChar w:fldCharType="begin"/>
            </w:r>
            <w:r>
              <w:rPr>
                <w:noProof/>
                <w:webHidden/>
              </w:rPr>
              <w:instrText xml:space="preserve"> PAGEREF _Toc509071345 \h </w:instrText>
            </w:r>
            <w:r>
              <w:rPr>
                <w:noProof/>
                <w:webHidden/>
              </w:rPr>
            </w:r>
            <w:r>
              <w:rPr>
                <w:noProof/>
                <w:webHidden/>
              </w:rPr>
              <w:fldChar w:fldCharType="separate"/>
            </w:r>
            <w:r>
              <w:rPr>
                <w:noProof/>
                <w:webHidden/>
              </w:rPr>
              <w:t>4</w:t>
            </w:r>
            <w:r>
              <w:rPr>
                <w:noProof/>
                <w:webHidden/>
              </w:rPr>
              <w:fldChar w:fldCharType="end"/>
            </w:r>
          </w:hyperlink>
        </w:p>
        <w:p w14:paraId="5CDD4A62" w14:textId="4A7367D6" w:rsidR="00BD0AAF" w:rsidRDefault="00BD0AAF">
          <w:pPr>
            <w:pStyle w:val="TOC3"/>
            <w:tabs>
              <w:tab w:val="left" w:pos="1760"/>
              <w:tab w:val="right" w:leader="dot" w:pos="9350"/>
            </w:tabs>
            <w:rPr>
              <w:rFonts w:asciiTheme="minorHAnsi" w:eastAsiaTheme="minorEastAsia" w:hAnsiTheme="minorHAnsi"/>
              <w:noProof/>
              <w:sz w:val="22"/>
            </w:rPr>
          </w:pPr>
          <w:hyperlink w:anchor="_Toc509071346" w:history="1">
            <w:r w:rsidRPr="00E24AE8">
              <w:rPr>
                <w:rStyle w:val="Hyperlink"/>
                <w:noProof/>
              </w:rPr>
              <w:t>A.</w:t>
            </w:r>
            <w:r>
              <w:rPr>
                <w:rFonts w:asciiTheme="minorHAnsi" w:eastAsiaTheme="minorEastAsia" w:hAnsiTheme="minorHAnsi"/>
                <w:noProof/>
                <w:sz w:val="22"/>
              </w:rPr>
              <w:tab/>
            </w:r>
            <w:r w:rsidRPr="00E24AE8">
              <w:rPr>
                <w:rStyle w:val="Hyperlink"/>
                <w:noProof/>
              </w:rPr>
              <w:t xml:space="preserve">SSS Committed Adverse Employment Action Against Mr. Hernandez by Terminating His Employment, and by Providing a Reference that Contributed to E Building Solutions Not Employing Mr. Hernandez. </w:t>
            </w:r>
            <w:r>
              <w:rPr>
                <w:noProof/>
                <w:webHidden/>
              </w:rPr>
              <w:tab/>
            </w:r>
            <w:r>
              <w:rPr>
                <w:noProof/>
                <w:webHidden/>
              </w:rPr>
              <w:fldChar w:fldCharType="begin"/>
            </w:r>
            <w:r>
              <w:rPr>
                <w:noProof/>
                <w:webHidden/>
              </w:rPr>
              <w:instrText xml:space="preserve"> PAGEREF _Toc509071346 \h </w:instrText>
            </w:r>
            <w:r>
              <w:rPr>
                <w:noProof/>
                <w:webHidden/>
              </w:rPr>
            </w:r>
            <w:r>
              <w:rPr>
                <w:noProof/>
                <w:webHidden/>
              </w:rPr>
              <w:fldChar w:fldCharType="separate"/>
            </w:r>
            <w:r>
              <w:rPr>
                <w:noProof/>
                <w:webHidden/>
              </w:rPr>
              <w:t>5</w:t>
            </w:r>
            <w:r>
              <w:rPr>
                <w:noProof/>
                <w:webHidden/>
              </w:rPr>
              <w:fldChar w:fldCharType="end"/>
            </w:r>
          </w:hyperlink>
        </w:p>
        <w:p w14:paraId="307B8AC3" w14:textId="23D85C81" w:rsidR="00BD0AAF" w:rsidRDefault="00BD0AAF">
          <w:pPr>
            <w:pStyle w:val="TOC3"/>
            <w:tabs>
              <w:tab w:val="left" w:pos="1760"/>
              <w:tab w:val="right" w:leader="dot" w:pos="9350"/>
            </w:tabs>
            <w:rPr>
              <w:rFonts w:asciiTheme="minorHAnsi" w:eastAsiaTheme="minorEastAsia" w:hAnsiTheme="minorHAnsi"/>
              <w:noProof/>
              <w:sz w:val="22"/>
            </w:rPr>
          </w:pPr>
          <w:hyperlink w:anchor="_Toc509071347" w:history="1">
            <w:r w:rsidRPr="00E24AE8">
              <w:rPr>
                <w:rStyle w:val="Hyperlink"/>
                <w:noProof/>
              </w:rPr>
              <w:t>B.</w:t>
            </w:r>
            <w:r>
              <w:rPr>
                <w:rFonts w:asciiTheme="minorHAnsi" w:eastAsiaTheme="minorEastAsia" w:hAnsiTheme="minorHAnsi"/>
                <w:noProof/>
                <w:sz w:val="22"/>
              </w:rPr>
              <w:tab/>
            </w:r>
            <w:r w:rsidRPr="00E24AE8">
              <w:rPr>
                <w:rStyle w:val="Hyperlink"/>
                <w:noProof/>
              </w:rPr>
              <w:t xml:space="preserve">The Termination and Negative Reference Have a Causal Connection to the EEOC Filing Because the Termination Occurred Two Weeks After, and the Negative Reference Occurred Three Months Later and is Supported by Inconsistent Behavior from SSS. </w:t>
            </w:r>
            <w:r>
              <w:rPr>
                <w:noProof/>
                <w:webHidden/>
              </w:rPr>
              <w:tab/>
            </w:r>
            <w:r>
              <w:rPr>
                <w:noProof/>
                <w:webHidden/>
              </w:rPr>
              <w:fldChar w:fldCharType="begin"/>
            </w:r>
            <w:r>
              <w:rPr>
                <w:noProof/>
                <w:webHidden/>
              </w:rPr>
              <w:instrText xml:space="preserve"> PAGEREF _Toc509071347 \h </w:instrText>
            </w:r>
            <w:r>
              <w:rPr>
                <w:noProof/>
                <w:webHidden/>
              </w:rPr>
            </w:r>
            <w:r>
              <w:rPr>
                <w:noProof/>
                <w:webHidden/>
              </w:rPr>
              <w:fldChar w:fldCharType="separate"/>
            </w:r>
            <w:r>
              <w:rPr>
                <w:noProof/>
                <w:webHidden/>
              </w:rPr>
              <w:t>7</w:t>
            </w:r>
            <w:r>
              <w:rPr>
                <w:noProof/>
                <w:webHidden/>
              </w:rPr>
              <w:fldChar w:fldCharType="end"/>
            </w:r>
          </w:hyperlink>
        </w:p>
        <w:p w14:paraId="0E8729AB" w14:textId="3EA17DC8" w:rsidR="00BD0AAF" w:rsidRDefault="00BD0AAF">
          <w:pPr>
            <w:pStyle w:val="TOC3"/>
            <w:tabs>
              <w:tab w:val="left" w:pos="1760"/>
              <w:tab w:val="right" w:leader="dot" w:pos="9350"/>
            </w:tabs>
            <w:rPr>
              <w:rFonts w:asciiTheme="minorHAnsi" w:eastAsiaTheme="minorEastAsia" w:hAnsiTheme="minorHAnsi"/>
              <w:noProof/>
              <w:sz w:val="22"/>
            </w:rPr>
          </w:pPr>
          <w:hyperlink w:anchor="_Toc509071348" w:history="1">
            <w:r w:rsidRPr="00E24AE8">
              <w:rPr>
                <w:rStyle w:val="Hyperlink"/>
                <w:noProof/>
              </w:rPr>
              <w:t>C.</w:t>
            </w:r>
            <w:r>
              <w:rPr>
                <w:rFonts w:asciiTheme="minorHAnsi" w:eastAsiaTheme="minorEastAsia" w:hAnsiTheme="minorHAnsi"/>
                <w:noProof/>
                <w:sz w:val="22"/>
              </w:rPr>
              <w:tab/>
            </w:r>
            <w:r w:rsidRPr="00E24AE8">
              <w:rPr>
                <w:rStyle w:val="Hyperlink"/>
                <w:noProof/>
              </w:rPr>
              <w:t>SSS’s Reasons for Termination and the Negative Reference are Pretext Because They are Inconsistent and Do Not Suggest SSS Followed Policy, Thus Strengthening the Causal Connection Between the Protected Activity and Adverse Action.</w:t>
            </w:r>
            <w:r>
              <w:rPr>
                <w:noProof/>
                <w:webHidden/>
              </w:rPr>
              <w:tab/>
            </w:r>
            <w:r>
              <w:rPr>
                <w:noProof/>
                <w:webHidden/>
              </w:rPr>
              <w:fldChar w:fldCharType="begin"/>
            </w:r>
            <w:r>
              <w:rPr>
                <w:noProof/>
                <w:webHidden/>
              </w:rPr>
              <w:instrText xml:space="preserve"> PAGEREF _Toc509071348 \h </w:instrText>
            </w:r>
            <w:r>
              <w:rPr>
                <w:noProof/>
                <w:webHidden/>
              </w:rPr>
            </w:r>
            <w:r>
              <w:rPr>
                <w:noProof/>
                <w:webHidden/>
              </w:rPr>
              <w:fldChar w:fldCharType="separate"/>
            </w:r>
            <w:r>
              <w:rPr>
                <w:noProof/>
                <w:webHidden/>
              </w:rPr>
              <w:t>8</w:t>
            </w:r>
            <w:r>
              <w:rPr>
                <w:noProof/>
                <w:webHidden/>
              </w:rPr>
              <w:fldChar w:fldCharType="end"/>
            </w:r>
          </w:hyperlink>
        </w:p>
        <w:p w14:paraId="72563BE4" w14:textId="7EE29DD0" w:rsidR="00BD0AAF" w:rsidRDefault="00BD0AAF">
          <w:pPr>
            <w:pStyle w:val="TOC2"/>
            <w:rPr>
              <w:rFonts w:asciiTheme="minorHAnsi" w:eastAsiaTheme="minorEastAsia" w:hAnsiTheme="minorHAnsi"/>
              <w:noProof/>
              <w:sz w:val="22"/>
            </w:rPr>
          </w:pPr>
          <w:hyperlink w:anchor="_Toc509071349" w:history="1">
            <w:r w:rsidRPr="00E24AE8">
              <w:rPr>
                <w:rStyle w:val="Hyperlink"/>
                <w:noProof/>
              </w:rPr>
              <w:t>II.</w:t>
            </w:r>
            <w:r>
              <w:rPr>
                <w:rFonts w:asciiTheme="minorHAnsi" w:eastAsiaTheme="minorEastAsia" w:hAnsiTheme="minorHAnsi"/>
                <w:noProof/>
                <w:sz w:val="22"/>
              </w:rPr>
              <w:tab/>
            </w:r>
            <w:r w:rsidRPr="00E24AE8">
              <w:rPr>
                <w:rStyle w:val="Hyperlink"/>
                <w:noProof/>
              </w:rPr>
              <w:t>SSS DRIMINATED AGAINST MR. HERNANDEZ BECAUSE IT HAD KNOWLEDGE OF HIS DISABILITY, HIS REQUEST FOR ACCOMMODATION WAS REASONABLE AND WAS DENIED, AND WOULD NOT HAVE IMPOSED UNDUE HARDSHIP.</w:t>
            </w:r>
            <w:r>
              <w:rPr>
                <w:noProof/>
                <w:webHidden/>
              </w:rPr>
              <w:tab/>
            </w:r>
            <w:r>
              <w:rPr>
                <w:noProof/>
                <w:webHidden/>
              </w:rPr>
              <w:fldChar w:fldCharType="begin"/>
            </w:r>
            <w:r>
              <w:rPr>
                <w:noProof/>
                <w:webHidden/>
              </w:rPr>
              <w:instrText xml:space="preserve"> PAGEREF _Toc509071349 \h </w:instrText>
            </w:r>
            <w:r>
              <w:rPr>
                <w:noProof/>
                <w:webHidden/>
              </w:rPr>
            </w:r>
            <w:r>
              <w:rPr>
                <w:noProof/>
                <w:webHidden/>
              </w:rPr>
              <w:fldChar w:fldCharType="separate"/>
            </w:r>
            <w:r>
              <w:rPr>
                <w:noProof/>
                <w:webHidden/>
              </w:rPr>
              <w:t>10</w:t>
            </w:r>
            <w:r>
              <w:rPr>
                <w:noProof/>
                <w:webHidden/>
              </w:rPr>
              <w:fldChar w:fldCharType="end"/>
            </w:r>
          </w:hyperlink>
        </w:p>
        <w:p w14:paraId="71449190" w14:textId="189C3E78" w:rsidR="00BD0AAF" w:rsidRDefault="00BD0AAF">
          <w:pPr>
            <w:pStyle w:val="TOC3"/>
            <w:tabs>
              <w:tab w:val="left" w:pos="1760"/>
              <w:tab w:val="right" w:leader="dot" w:pos="9350"/>
            </w:tabs>
            <w:rPr>
              <w:rFonts w:asciiTheme="minorHAnsi" w:eastAsiaTheme="minorEastAsia" w:hAnsiTheme="minorHAnsi"/>
              <w:noProof/>
              <w:sz w:val="22"/>
            </w:rPr>
          </w:pPr>
          <w:hyperlink w:anchor="_Toc509071350" w:history="1">
            <w:r w:rsidRPr="00E24AE8">
              <w:rPr>
                <w:rStyle w:val="Hyperlink"/>
                <w:noProof/>
              </w:rPr>
              <w:t>A.</w:t>
            </w:r>
            <w:r>
              <w:rPr>
                <w:rFonts w:asciiTheme="minorHAnsi" w:eastAsiaTheme="minorEastAsia" w:hAnsiTheme="minorHAnsi"/>
                <w:noProof/>
                <w:sz w:val="22"/>
              </w:rPr>
              <w:tab/>
            </w:r>
            <w:r w:rsidRPr="00E24AE8">
              <w:rPr>
                <w:rStyle w:val="Hyperlink"/>
                <w:noProof/>
              </w:rPr>
              <w:t>Disabled</w:t>
            </w:r>
            <w:r>
              <w:rPr>
                <w:noProof/>
                <w:webHidden/>
              </w:rPr>
              <w:tab/>
            </w:r>
            <w:r>
              <w:rPr>
                <w:noProof/>
                <w:webHidden/>
              </w:rPr>
              <w:fldChar w:fldCharType="begin"/>
            </w:r>
            <w:r>
              <w:rPr>
                <w:noProof/>
                <w:webHidden/>
              </w:rPr>
              <w:instrText xml:space="preserve"> PAGEREF _Toc509071350 \h </w:instrText>
            </w:r>
            <w:r>
              <w:rPr>
                <w:noProof/>
                <w:webHidden/>
              </w:rPr>
            </w:r>
            <w:r>
              <w:rPr>
                <w:noProof/>
                <w:webHidden/>
              </w:rPr>
              <w:fldChar w:fldCharType="separate"/>
            </w:r>
            <w:r>
              <w:rPr>
                <w:noProof/>
                <w:webHidden/>
              </w:rPr>
              <w:t>11</w:t>
            </w:r>
            <w:r>
              <w:rPr>
                <w:noProof/>
                <w:webHidden/>
              </w:rPr>
              <w:fldChar w:fldCharType="end"/>
            </w:r>
          </w:hyperlink>
        </w:p>
        <w:p w14:paraId="6E912557" w14:textId="72BE5868" w:rsidR="00BD0AAF" w:rsidRDefault="00BD0AAF">
          <w:pPr>
            <w:pStyle w:val="TOC3"/>
            <w:tabs>
              <w:tab w:val="left" w:pos="1760"/>
              <w:tab w:val="right" w:leader="dot" w:pos="9350"/>
            </w:tabs>
            <w:rPr>
              <w:rFonts w:asciiTheme="minorHAnsi" w:eastAsiaTheme="minorEastAsia" w:hAnsiTheme="minorHAnsi"/>
              <w:noProof/>
              <w:sz w:val="22"/>
            </w:rPr>
          </w:pPr>
          <w:hyperlink w:anchor="_Toc509071351" w:history="1">
            <w:r w:rsidRPr="00E24AE8">
              <w:rPr>
                <w:rStyle w:val="Hyperlink"/>
                <w:noProof/>
              </w:rPr>
              <w:t>B.</w:t>
            </w:r>
            <w:r>
              <w:rPr>
                <w:rFonts w:asciiTheme="minorHAnsi" w:eastAsiaTheme="minorEastAsia" w:hAnsiTheme="minorHAnsi"/>
                <w:noProof/>
                <w:sz w:val="22"/>
              </w:rPr>
              <w:tab/>
            </w:r>
            <w:r w:rsidRPr="00E24AE8">
              <w:rPr>
                <w:rStyle w:val="Hyperlink"/>
                <w:noProof/>
              </w:rPr>
              <w:t>Is Qualified</w:t>
            </w:r>
            <w:r>
              <w:rPr>
                <w:noProof/>
                <w:webHidden/>
              </w:rPr>
              <w:tab/>
            </w:r>
            <w:r>
              <w:rPr>
                <w:noProof/>
                <w:webHidden/>
              </w:rPr>
              <w:fldChar w:fldCharType="begin"/>
            </w:r>
            <w:r>
              <w:rPr>
                <w:noProof/>
                <w:webHidden/>
              </w:rPr>
              <w:instrText xml:space="preserve"> PAGEREF _Toc509071351 \h </w:instrText>
            </w:r>
            <w:r>
              <w:rPr>
                <w:noProof/>
                <w:webHidden/>
              </w:rPr>
            </w:r>
            <w:r>
              <w:rPr>
                <w:noProof/>
                <w:webHidden/>
              </w:rPr>
              <w:fldChar w:fldCharType="separate"/>
            </w:r>
            <w:r>
              <w:rPr>
                <w:noProof/>
                <w:webHidden/>
              </w:rPr>
              <w:t>11</w:t>
            </w:r>
            <w:r>
              <w:rPr>
                <w:noProof/>
                <w:webHidden/>
              </w:rPr>
              <w:fldChar w:fldCharType="end"/>
            </w:r>
          </w:hyperlink>
        </w:p>
        <w:p w14:paraId="51526753" w14:textId="75665906" w:rsidR="00BD0AAF" w:rsidRDefault="00BD0AAF">
          <w:pPr>
            <w:pStyle w:val="TOC3"/>
            <w:tabs>
              <w:tab w:val="left" w:pos="1760"/>
              <w:tab w:val="right" w:leader="dot" w:pos="9350"/>
            </w:tabs>
            <w:rPr>
              <w:rFonts w:asciiTheme="minorHAnsi" w:eastAsiaTheme="minorEastAsia" w:hAnsiTheme="minorHAnsi"/>
              <w:noProof/>
              <w:sz w:val="22"/>
            </w:rPr>
          </w:pPr>
          <w:hyperlink w:anchor="_Toc509071352" w:history="1">
            <w:r w:rsidRPr="00E24AE8">
              <w:rPr>
                <w:rStyle w:val="Hyperlink"/>
                <w:noProof/>
              </w:rPr>
              <w:t>C.</w:t>
            </w:r>
            <w:r>
              <w:rPr>
                <w:rFonts w:asciiTheme="minorHAnsi" w:eastAsiaTheme="minorEastAsia" w:hAnsiTheme="minorHAnsi"/>
                <w:noProof/>
                <w:sz w:val="22"/>
              </w:rPr>
              <w:tab/>
            </w:r>
            <w:r w:rsidRPr="00E24AE8">
              <w:rPr>
                <w:rStyle w:val="Hyperlink"/>
                <w:noProof/>
              </w:rPr>
              <w:t>Plausibly Request Reasonable Accommodation</w:t>
            </w:r>
            <w:r>
              <w:rPr>
                <w:noProof/>
                <w:webHidden/>
              </w:rPr>
              <w:tab/>
            </w:r>
            <w:r>
              <w:rPr>
                <w:noProof/>
                <w:webHidden/>
              </w:rPr>
              <w:fldChar w:fldCharType="begin"/>
            </w:r>
            <w:r>
              <w:rPr>
                <w:noProof/>
                <w:webHidden/>
              </w:rPr>
              <w:instrText xml:space="preserve"> PAGEREF _Toc509071352 \h </w:instrText>
            </w:r>
            <w:r>
              <w:rPr>
                <w:noProof/>
                <w:webHidden/>
              </w:rPr>
            </w:r>
            <w:r>
              <w:rPr>
                <w:noProof/>
                <w:webHidden/>
              </w:rPr>
              <w:fldChar w:fldCharType="separate"/>
            </w:r>
            <w:r>
              <w:rPr>
                <w:noProof/>
                <w:webHidden/>
              </w:rPr>
              <w:t>11</w:t>
            </w:r>
            <w:r>
              <w:rPr>
                <w:noProof/>
                <w:webHidden/>
              </w:rPr>
              <w:fldChar w:fldCharType="end"/>
            </w:r>
          </w:hyperlink>
        </w:p>
        <w:p w14:paraId="6152CA92" w14:textId="20BF2E8F" w:rsidR="00BD0AAF" w:rsidRDefault="00BD0AAF">
          <w:pPr>
            <w:pStyle w:val="TOC3"/>
            <w:tabs>
              <w:tab w:val="left" w:pos="1760"/>
              <w:tab w:val="right" w:leader="dot" w:pos="9350"/>
            </w:tabs>
            <w:rPr>
              <w:rFonts w:asciiTheme="minorHAnsi" w:eastAsiaTheme="minorEastAsia" w:hAnsiTheme="minorHAnsi"/>
              <w:noProof/>
              <w:sz w:val="22"/>
            </w:rPr>
          </w:pPr>
          <w:hyperlink w:anchor="_Toc509071353" w:history="1">
            <w:r w:rsidRPr="00E24AE8">
              <w:rPr>
                <w:rStyle w:val="Hyperlink"/>
                <w:noProof/>
              </w:rPr>
              <w:t>D.</w:t>
            </w:r>
            <w:r>
              <w:rPr>
                <w:rFonts w:asciiTheme="minorHAnsi" w:eastAsiaTheme="minorEastAsia" w:hAnsiTheme="minorHAnsi"/>
                <w:noProof/>
                <w:sz w:val="22"/>
              </w:rPr>
              <w:tab/>
            </w:r>
            <w:r w:rsidRPr="00E24AE8">
              <w:rPr>
                <w:rStyle w:val="Hyperlink"/>
                <w:noProof/>
              </w:rPr>
              <w:t>No Undue Hardship</w:t>
            </w:r>
            <w:r>
              <w:rPr>
                <w:noProof/>
                <w:webHidden/>
              </w:rPr>
              <w:tab/>
            </w:r>
            <w:r>
              <w:rPr>
                <w:noProof/>
                <w:webHidden/>
              </w:rPr>
              <w:fldChar w:fldCharType="begin"/>
            </w:r>
            <w:r>
              <w:rPr>
                <w:noProof/>
                <w:webHidden/>
              </w:rPr>
              <w:instrText xml:space="preserve"> PAGEREF _Toc509071353 \h </w:instrText>
            </w:r>
            <w:r>
              <w:rPr>
                <w:noProof/>
                <w:webHidden/>
              </w:rPr>
            </w:r>
            <w:r>
              <w:rPr>
                <w:noProof/>
                <w:webHidden/>
              </w:rPr>
              <w:fldChar w:fldCharType="separate"/>
            </w:r>
            <w:r>
              <w:rPr>
                <w:noProof/>
                <w:webHidden/>
              </w:rPr>
              <w:t>11</w:t>
            </w:r>
            <w:r>
              <w:rPr>
                <w:noProof/>
                <w:webHidden/>
              </w:rPr>
              <w:fldChar w:fldCharType="end"/>
            </w:r>
          </w:hyperlink>
        </w:p>
        <w:p w14:paraId="403220B3" w14:textId="36ADA8EC" w:rsidR="00BD0AAF" w:rsidRDefault="00BD0AAF">
          <w:pPr>
            <w:pStyle w:val="TOC1"/>
            <w:rPr>
              <w:rFonts w:asciiTheme="minorHAnsi" w:eastAsiaTheme="minorEastAsia" w:hAnsiTheme="minorHAnsi"/>
              <w:noProof/>
              <w:sz w:val="22"/>
            </w:rPr>
          </w:pPr>
          <w:hyperlink w:anchor="_Toc509071354" w:history="1">
            <w:r w:rsidRPr="00E24AE8">
              <w:rPr>
                <w:rStyle w:val="Hyperlink"/>
                <w:noProof/>
              </w:rPr>
              <w:t>CONCLUSION</w:t>
            </w:r>
            <w:r>
              <w:rPr>
                <w:noProof/>
                <w:webHidden/>
              </w:rPr>
              <w:tab/>
            </w:r>
            <w:r>
              <w:rPr>
                <w:noProof/>
                <w:webHidden/>
              </w:rPr>
              <w:fldChar w:fldCharType="begin"/>
            </w:r>
            <w:r>
              <w:rPr>
                <w:noProof/>
                <w:webHidden/>
              </w:rPr>
              <w:instrText xml:space="preserve"> PAGEREF _Toc509071354 \h </w:instrText>
            </w:r>
            <w:r>
              <w:rPr>
                <w:noProof/>
                <w:webHidden/>
              </w:rPr>
            </w:r>
            <w:r>
              <w:rPr>
                <w:noProof/>
                <w:webHidden/>
              </w:rPr>
              <w:fldChar w:fldCharType="separate"/>
            </w:r>
            <w:r>
              <w:rPr>
                <w:noProof/>
                <w:webHidden/>
              </w:rPr>
              <w:t>11</w:t>
            </w:r>
            <w:r>
              <w:rPr>
                <w:noProof/>
                <w:webHidden/>
              </w:rPr>
              <w:fldChar w:fldCharType="end"/>
            </w:r>
          </w:hyperlink>
        </w:p>
        <w:p w14:paraId="5E1D4ED0" w14:textId="1ED00079" w:rsidR="00BD0AAF" w:rsidRDefault="00BD0AAF">
          <w:pPr>
            <w:pStyle w:val="TOC1"/>
            <w:rPr>
              <w:rFonts w:asciiTheme="minorHAnsi" w:eastAsiaTheme="minorEastAsia" w:hAnsiTheme="minorHAnsi"/>
              <w:noProof/>
              <w:sz w:val="22"/>
            </w:rPr>
          </w:pPr>
          <w:hyperlink w:anchor="_Toc509071355" w:history="1">
            <w:r w:rsidRPr="00E24AE8">
              <w:rPr>
                <w:rStyle w:val="Hyperlink"/>
                <w:noProof/>
              </w:rPr>
              <w:t>CERTIFICATE OF COMPLIANCE</w:t>
            </w:r>
            <w:r>
              <w:rPr>
                <w:noProof/>
                <w:webHidden/>
              </w:rPr>
              <w:tab/>
            </w:r>
            <w:r>
              <w:rPr>
                <w:noProof/>
                <w:webHidden/>
              </w:rPr>
              <w:fldChar w:fldCharType="begin"/>
            </w:r>
            <w:r>
              <w:rPr>
                <w:noProof/>
                <w:webHidden/>
              </w:rPr>
              <w:instrText xml:space="preserve"> PAGEREF _Toc509071355 \h </w:instrText>
            </w:r>
            <w:r>
              <w:rPr>
                <w:noProof/>
                <w:webHidden/>
              </w:rPr>
            </w:r>
            <w:r>
              <w:rPr>
                <w:noProof/>
                <w:webHidden/>
              </w:rPr>
              <w:fldChar w:fldCharType="separate"/>
            </w:r>
            <w:r>
              <w:rPr>
                <w:noProof/>
                <w:webHidden/>
              </w:rPr>
              <w:t>13</w:t>
            </w:r>
            <w:r>
              <w:rPr>
                <w:noProof/>
                <w:webHidden/>
              </w:rPr>
              <w:fldChar w:fldCharType="end"/>
            </w:r>
          </w:hyperlink>
        </w:p>
        <w:p w14:paraId="25656EF6" w14:textId="4DEDAA94" w:rsidR="00BD0AAF" w:rsidRDefault="00BD0AAF">
          <w:pPr>
            <w:pStyle w:val="TOC1"/>
            <w:rPr>
              <w:rFonts w:asciiTheme="minorHAnsi" w:eastAsiaTheme="minorEastAsia" w:hAnsiTheme="minorHAnsi"/>
              <w:noProof/>
              <w:sz w:val="22"/>
            </w:rPr>
          </w:pPr>
          <w:hyperlink w:anchor="_Toc509071356" w:history="1">
            <w:r w:rsidRPr="00E24AE8">
              <w:rPr>
                <w:rStyle w:val="Hyperlink"/>
                <w:noProof/>
              </w:rPr>
              <w:t>CERTIFICATE OF SERVICE</w:t>
            </w:r>
            <w:r>
              <w:rPr>
                <w:noProof/>
                <w:webHidden/>
              </w:rPr>
              <w:tab/>
            </w:r>
            <w:r>
              <w:rPr>
                <w:noProof/>
                <w:webHidden/>
              </w:rPr>
              <w:fldChar w:fldCharType="begin"/>
            </w:r>
            <w:r>
              <w:rPr>
                <w:noProof/>
                <w:webHidden/>
              </w:rPr>
              <w:instrText xml:space="preserve"> PAGEREF _Toc509071356 \h </w:instrText>
            </w:r>
            <w:r>
              <w:rPr>
                <w:noProof/>
                <w:webHidden/>
              </w:rPr>
            </w:r>
            <w:r>
              <w:rPr>
                <w:noProof/>
                <w:webHidden/>
              </w:rPr>
              <w:fldChar w:fldCharType="separate"/>
            </w:r>
            <w:r>
              <w:rPr>
                <w:noProof/>
                <w:webHidden/>
              </w:rPr>
              <w:t>13</w:t>
            </w:r>
            <w:r>
              <w:rPr>
                <w:noProof/>
                <w:webHidden/>
              </w:rPr>
              <w:fldChar w:fldCharType="end"/>
            </w:r>
          </w:hyperlink>
        </w:p>
        <w:p w14:paraId="4A60D4B1" w14:textId="09E0D247" w:rsidR="00815C2F" w:rsidRDefault="00815C2F">
          <w:r>
            <w:rPr>
              <w:b/>
              <w:bCs/>
              <w:noProof/>
            </w:rPr>
            <w:fldChar w:fldCharType="end"/>
          </w:r>
        </w:p>
      </w:sdtContent>
    </w:sdt>
    <w:p w14:paraId="2CF57B58" w14:textId="459ED59F" w:rsidR="00564456" w:rsidRPr="000D59BC" w:rsidRDefault="00564456" w:rsidP="00D476E0">
      <w:pPr>
        <w:jc w:val="center"/>
        <w:rPr>
          <w:rFonts w:cs="Times New Roman"/>
          <w:color w:val="2E74B5" w:themeColor="accent5" w:themeShade="BF"/>
          <w:szCs w:val="24"/>
        </w:rPr>
      </w:pPr>
      <w:r w:rsidRPr="000D59BC">
        <w:rPr>
          <w:rFonts w:cs="Times New Roman"/>
          <w:color w:val="2E74B5" w:themeColor="accent5" w:themeShade="BF"/>
          <w:szCs w:val="24"/>
        </w:rPr>
        <w:br w:type="page"/>
      </w:r>
    </w:p>
    <w:p w14:paraId="7976030F" w14:textId="7AE56FB7" w:rsidR="00A67795" w:rsidRPr="00894EFF" w:rsidRDefault="00894EFF" w:rsidP="00B92EDE">
      <w:pPr>
        <w:pStyle w:val="Heading1"/>
        <w:ind w:firstLine="0"/>
      </w:pPr>
      <w:bookmarkStart w:id="1" w:name="_Toc509071338"/>
      <w:r w:rsidRPr="00894EFF">
        <w:lastRenderedPageBreak/>
        <w:t xml:space="preserve">TABLE OF </w:t>
      </w:r>
      <w:r w:rsidRPr="00D01B0F">
        <w:t>AUTHORITIES</w:t>
      </w:r>
      <w:bookmarkEnd w:id="1"/>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77777777" w:rsidR="00A30CB7" w:rsidRDefault="00A30CB7">
      <w:pPr>
        <w:pStyle w:val="TableofAuthorities"/>
        <w:tabs>
          <w:tab w:val="right" w:leader="dot" w:pos="9350"/>
        </w:tabs>
        <w:rPr>
          <w:noProof/>
        </w:rPr>
      </w:pPr>
      <w:r>
        <w:rPr>
          <w:noProof/>
        </w:rPr>
        <w:t>. 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444896CC" w14:textId="5658D00C" w:rsidR="00D01B0F" w:rsidRDefault="00D01B0F" w:rsidP="00D476E0">
      <w:pPr>
        <w:jc w:val="center"/>
        <w:rPr>
          <w:rFonts w:eastAsiaTheme="majorEastAsia" w:cs="Times New Roman"/>
          <w:color w:val="2F5496" w:themeColor="accent1" w:themeShade="BF"/>
          <w:szCs w:val="24"/>
        </w:rPr>
      </w:pPr>
    </w:p>
    <w:p w14:paraId="30DDA4DB" w14:textId="090C2997" w:rsidR="00CB57E6" w:rsidRDefault="00D01B0F" w:rsidP="00D476E0">
      <w:pPr>
        <w:pStyle w:val="Heading1"/>
        <w:ind w:firstLine="0"/>
      </w:pPr>
      <w:bookmarkStart w:id="2" w:name="_Toc509071339"/>
      <w:r w:rsidRPr="00D01B0F">
        <w:t>STATEMENT OF JURISDICTION</w:t>
      </w:r>
      <w:bookmarkEnd w:id="2"/>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3"/>
      <w:r w:rsidR="00162F94">
        <w:rPr>
          <w:rFonts w:ascii="TimesNewRomanPSMT" w:hAnsi="TimesNewRomanPSMT" w:cs="TimesNewRomanPSMT"/>
          <w:szCs w:val="24"/>
        </w:rPr>
        <w:t xml:space="preserve">(YEAR) </w:t>
      </w:r>
      <w:commentRangeEnd w:id="3"/>
      <w:r w:rsidR="00162F94">
        <w:rPr>
          <w:rStyle w:val="CommentReference"/>
        </w:rPr>
        <w:commentReference w:id="3"/>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837BD7F" w:rsidR="00BC623A" w:rsidRDefault="003F3099" w:rsidP="00D476E0">
      <w:pPr>
        <w:pStyle w:val="Heading1"/>
        <w:ind w:firstLine="0"/>
      </w:pPr>
      <w:bookmarkStart w:id="4" w:name="_Toc509071340"/>
      <w:r>
        <w:t>STATEMENT OF THE ISSUE</w:t>
      </w:r>
      <w:bookmarkEnd w:id="4"/>
    </w:p>
    <w:p w14:paraId="7D6D6A61" w14:textId="0355366B" w:rsidR="00E93781" w:rsidRDefault="00BC7DE7" w:rsidP="00EF1C51">
      <w:pPr>
        <w:pStyle w:val="ListParagraph"/>
        <w:numPr>
          <w:ilvl w:val="0"/>
          <w:numId w:val="8"/>
        </w:numPr>
        <w:ind w:left="810"/>
      </w:pPr>
      <w:r>
        <w:t>Whether Stuart Stockton Systems</w:t>
      </w:r>
      <w:r w:rsidR="0012758E">
        <w:t>’</w:t>
      </w:r>
      <w:r>
        <w:t xml:space="preserve"> </w:t>
      </w:r>
      <w:r w:rsidR="00F9349E">
        <w:t xml:space="preserve">actions </w:t>
      </w:r>
      <w:r w:rsidR="00DB274D">
        <w:t xml:space="preserve">retaliated against Erik Hernandez </w:t>
      </w:r>
      <w:r w:rsidR="00D14385">
        <w:t xml:space="preserve">for filing an </w:t>
      </w:r>
      <w:r w:rsidR="0012758E">
        <w:t>administrative</w:t>
      </w:r>
      <w:r w:rsidR="00197C4B">
        <w:t xml:space="preserve"> claim with the Equal Employment Opportunity Commis</w:t>
      </w:r>
      <w:r w:rsidR="0012758E">
        <w:t>sion (“</w:t>
      </w:r>
      <w:r w:rsidR="00D14385">
        <w:t>EEOC</w:t>
      </w:r>
      <w:r w:rsidR="0012758E">
        <w:t>”)</w:t>
      </w:r>
      <w:r w:rsidR="00D14385">
        <w:t xml:space="preserve">,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7102E296" w:rsidR="00F44FA5" w:rsidRDefault="00D56D39" w:rsidP="00EF1C51">
      <w:pPr>
        <w:pStyle w:val="ListParagraph"/>
        <w:numPr>
          <w:ilvl w:val="0"/>
          <w:numId w:val="8"/>
        </w:numPr>
        <w:ind w:left="810"/>
      </w:pPr>
      <w:r>
        <w:t>Whether Stuart Stock Systems</w:t>
      </w:r>
      <w:r w:rsidR="0012758E">
        <w:t>’</w:t>
      </w:r>
      <w:r>
        <w:t xml:space="preserve"> </w:t>
      </w:r>
      <w:r w:rsidR="00397DDC">
        <w:t>failure</w:t>
      </w:r>
      <w:r>
        <w:t xml:space="preserve"> to provide Erik Hernandez with a modified work schedule</w:t>
      </w:r>
      <w:r w:rsidR="00397DDC">
        <w:t xml:space="preserve"> was a failure to provide reasonable accommodations under the ADA, and thus discriminatory. </w:t>
      </w:r>
    </w:p>
    <w:p w14:paraId="402BDD68" w14:textId="397BDA58" w:rsidR="006E1D0A" w:rsidRDefault="006E1D0A" w:rsidP="00D476E0">
      <w:pPr>
        <w:pStyle w:val="Heading1"/>
        <w:ind w:firstLine="0"/>
      </w:pPr>
      <w:bookmarkStart w:id="5" w:name="_Toc509071341"/>
      <w:r>
        <w:t>STATEMENT OF THE CASE</w:t>
      </w:r>
      <w:bookmarkEnd w:id="5"/>
    </w:p>
    <w:p w14:paraId="01E725D6" w14:textId="23B4CAA9"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CD0FD2">
        <w:t>Mr. Hernandez</w:t>
      </w:r>
      <w:r w:rsidR="008A2310">
        <w:t xml:space="preserve"> </w:t>
      </w:r>
      <w:r w:rsidR="007D0AFF">
        <w:t xml:space="preserve">requested a modified work schedule </w:t>
      </w:r>
      <w:r w:rsidR="00324980">
        <w:t xml:space="preserve">to accommodate his illness, that was </w:t>
      </w:r>
      <w:r w:rsidR="005272F6">
        <w:t xml:space="preserve">diagnosed as cancer. This request was denied, and Mr. Hernandez </w:t>
      </w:r>
      <w:r w:rsidR="00CD0FD2">
        <w:t xml:space="preserve">filed </w:t>
      </w:r>
      <w:r w:rsidR="002628F5">
        <w:t>a discrimination charge with the EEOC</w:t>
      </w:r>
      <w:r w:rsidR="00EB2A57">
        <w:t xml:space="preserve"> on January 10, 201</w:t>
      </w:r>
      <w:r w:rsidR="00EA6010">
        <w:t>7</w:t>
      </w:r>
      <w:r w:rsidR="006B5E67">
        <w:t>.</w:t>
      </w:r>
      <w:r w:rsidR="006A1D81">
        <w:t xml:space="preserve"> </w:t>
      </w:r>
      <w:r w:rsidR="00DB7EB6">
        <w:t>SSS</w:t>
      </w:r>
      <w:r w:rsidR="00AB1D4D">
        <w:t xml:space="preserve"> terminated Mr. Hernandez’s </w:t>
      </w:r>
      <w:r w:rsidR="00AB1D4D">
        <w:lastRenderedPageBreak/>
        <w:t xml:space="preserve">employment </w:t>
      </w:r>
      <w:r w:rsidR="00324980">
        <w:t>citing</w:t>
      </w:r>
      <w:r w:rsidR="00AB1D4D">
        <w:t xml:space="preserve"> absences and missed deadlines. </w:t>
      </w:r>
      <w:r w:rsidR="00EB2A57">
        <w:t xml:space="preserve">On January </w:t>
      </w:r>
      <w:r w:rsidR="001879B5">
        <w:t>2</w:t>
      </w:r>
      <w:r w:rsidR="00EB2A57">
        <w:t xml:space="preserve">,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3C07E0">
        <w:t xml:space="preserve">Mr. Hernandez </w:t>
      </w:r>
      <w:r w:rsidR="00BC2487">
        <w:t xml:space="preserve">applied and was granted In Forma Pauperis and Appointment of Counsel.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90D2617" w:rsidR="000508DE" w:rsidRDefault="004A6BA5" w:rsidP="00D565FB">
      <w:pPr>
        <w:pStyle w:val="Heading1"/>
        <w:ind w:firstLine="0"/>
      </w:pPr>
      <w:bookmarkStart w:id="6" w:name="_Toc509071342"/>
      <w:r>
        <w:t>STATEMENT OF FACTS</w:t>
      </w:r>
      <w:bookmarkEnd w:id="6"/>
    </w:p>
    <w:p w14:paraId="687B27AE" w14:textId="6EBD53D2" w:rsidR="00776B8A" w:rsidRDefault="009F1526" w:rsidP="00776B8A">
      <w:r>
        <w:t xml:space="preserve">On January 13, 2017 </w:t>
      </w:r>
      <w:r w:rsidR="00582F04">
        <w:t xml:space="preserve">Erik Hernandez </w:t>
      </w:r>
      <w:r>
        <w:t>was diagnosed</w:t>
      </w:r>
      <w:r w:rsidR="00582F04">
        <w:t xml:space="preserve"> </w:t>
      </w:r>
      <w:r w:rsidR="00A40B2A">
        <w:t>with</w:t>
      </w:r>
      <w:r w:rsidR="00582F04">
        <w:t xml:space="preserve">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3F12C4D5" w:rsidR="00007E27" w:rsidRDefault="00A40B2A" w:rsidP="002B4FDF">
      <w:r>
        <w:t>Two years previously, i</w:t>
      </w:r>
      <w:r w:rsidR="00CD1859">
        <w:t xml:space="preserve">n February 2015 Mr. Hernandez </w:t>
      </w:r>
      <w:r>
        <w:t>began work</w:t>
      </w:r>
      <w:r w:rsidR="00CD1859">
        <w:t xml:space="preserve">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r w:rsidR="00E116C8">
        <w:t>R. at 10</w:t>
      </w:r>
      <w:r w:rsidR="00BD6818">
        <w:t xml:space="preserve">; </w:t>
      </w:r>
      <w:r w:rsidR="003646D7" w:rsidRPr="00A852B5">
        <w:rPr>
          <w:rFonts w:cs="Times New Roman"/>
          <w:szCs w:val="24"/>
        </w:rPr>
        <w:t xml:space="preserve">Pl.’s Appl. for In Forma Pauperis and Appointment of Counsel </w:t>
      </w:r>
      <w:r w:rsidR="007B3AB5">
        <w:rPr>
          <w:rFonts w:cs="Times New Roman"/>
          <w:szCs w:val="24"/>
        </w:rPr>
        <w:t>2</w:t>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EF3EC2">
        <w:t>to discuss h</w:t>
      </w:r>
      <w:r w:rsidR="00AF6AD8">
        <w:t xml:space="preserve">is work performance. R. at 2. In the same meeting,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w:t>
      </w:r>
      <w:r w:rsidR="009F63B2">
        <w:t xml:space="preserve">as he </w:t>
      </w:r>
      <w:r w:rsidR="00ED2429">
        <w:t>struggled with his health, but</w:t>
      </w:r>
      <w:r w:rsidR="00691194">
        <w:t xml:space="preserve"> </w:t>
      </w:r>
      <w:r w:rsidR="00ED2429">
        <w:t xml:space="preserve">Ms. Gryphon </w:t>
      </w:r>
      <w:r w:rsidR="00691194">
        <w:t xml:space="preserve">denied </w:t>
      </w:r>
      <w:r w:rsidR="00ED2429">
        <w:t>this request citing</w:t>
      </w:r>
      <w:r w:rsidR="00691194">
        <w:t xml:space="preserve"> a new software project. R. at 2. </w:t>
      </w:r>
      <w:r w:rsidR="00347E8B">
        <w:t xml:space="preserve">On December 15, 2016 Mr. Hernandez’s colleague </w:t>
      </w:r>
      <w:r w:rsidR="00347E8B">
        <w:lastRenderedPageBreak/>
        <w:t>Samantha Smith</w:t>
      </w:r>
      <w:r w:rsidR="00203A21">
        <w:t xml:space="preserve"> became angry at him, accusing him of sabotaging the project because he had missed </w:t>
      </w:r>
      <w:r w:rsidR="00C734B3">
        <w:t>several meetings due to his illness. R. at 2.</w:t>
      </w:r>
    </w:p>
    <w:p w14:paraId="5FCCB6AA" w14:textId="77777777" w:rsidR="005A66C8" w:rsidRDefault="00766500" w:rsidP="002B4FDF">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 xml:space="preserve">Hernandez </w:t>
      </w:r>
      <w:r w:rsidR="0076723F">
        <w:t>to discuss his absence</w:t>
      </w:r>
      <w:r w:rsidR="00824ED2">
        <w:t xml:space="preserve"> request he work</w:t>
      </w:r>
      <w:r w:rsidR="00653E22">
        <w:t xml:space="preserve"> better with his colleagues.</w:t>
      </w:r>
      <w:r w:rsidR="00A60239">
        <w:t xml:space="preserve"> R. at 3. </w:t>
      </w:r>
      <w:r w:rsidR="00C1573E">
        <w:t xml:space="preserve">Mr. Hernandez explained that his neurological exam had </w:t>
      </w:r>
      <w:r w:rsidR="00824ED2">
        <w:t>shown</w:t>
      </w:r>
      <w:r w:rsidR="00C1573E">
        <w:t xml:space="preserve"> an abnormality, which </w:t>
      </w:r>
      <w:r w:rsidR="0017192A">
        <w:t xml:space="preserve">may be cancer, and requested </w:t>
      </w:r>
      <w:r w:rsidR="00962FBA">
        <w:t>the following week off</w:t>
      </w:r>
      <w:r w:rsidR="0017192A">
        <w:t xml:space="preserve">. R. at 3. </w:t>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o pay medical bills</w:t>
      </w:r>
      <w:r w:rsidR="0028403D">
        <w:t xml:space="preserve"> </w:t>
      </w:r>
      <w:r w:rsidR="008B51EA">
        <w:t>and acquire</w:t>
      </w:r>
      <w:r w:rsidR="002877B5">
        <w:t xml:space="preserve"> health insurance </w:t>
      </w:r>
      <w:r w:rsidR="0028403D">
        <w:t>for his</w:t>
      </w:r>
      <w:r w:rsidR="002B4FDF">
        <w:t xml:space="preserve"> treatment</w:t>
      </w:r>
      <w:r w:rsidR="00A56E35">
        <w:t xml:space="preserve">, Mr. Hernandez sought out </w:t>
      </w:r>
      <w:r w:rsidR="00B24A40">
        <w:t>new employment with E Building Solutions</w:t>
      </w:r>
      <w:r w:rsidR="00B42A2D">
        <w:t xml:space="preserve"> (“EB</w:t>
      </w:r>
      <w:r w:rsidR="009B0D5B">
        <w:t>S</w:t>
      </w:r>
      <w:r w:rsidR="00B42A2D">
        <w:t xml:space="preserve">”). </w:t>
      </w:r>
      <w:commentRangeStart w:id="7"/>
      <w:r w:rsidR="00446BF9">
        <w:t>R. at 3, 20</w:t>
      </w:r>
      <w:commentRangeEnd w:id="7"/>
      <w:r w:rsidR="002C24B5">
        <w:rPr>
          <w:rStyle w:val="CommentReference"/>
        </w:rPr>
        <w:commentReference w:id="7"/>
      </w:r>
      <w:r w:rsidR="002877B5">
        <w:t xml:space="preserve">; </w:t>
      </w:r>
      <w:r w:rsidR="002877B5" w:rsidRPr="00A852B5">
        <w:rPr>
          <w:rFonts w:cs="Times New Roman"/>
          <w:szCs w:val="24"/>
        </w:rPr>
        <w:t xml:space="preserve">Pl.’s Appl. for In Forma Pauperis and Appointment of Counsel </w:t>
      </w:r>
      <w:r w:rsidR="002877B5">
        <w:rPr>
          <w:rFonts w:cs="Times New Roman"/>
          <w:szCs w:val="24"/>
        </w:rPr>
        <w:t xml:space="preserve">2; </w:t>
      </w:r>
      <w:r w:rsidR="00346936">
        <w:rPr>
          <w:rFonts w:cs="Times New Roman"/>
          <w:szCs w:val="24"/>
        </w:rPr>
        <w:t xml:space="preserve">Fin. </w:t>
      </w:r>
      <w:r w:rsidR="009816D7">
        <w:rPr>
          <w:rFonts w:cs="Times New Roman"/>
          <w:szCs w:val="24"/>
        </w:rPr>
        <w:t xml:space="preserve">Aff. </w:t>
      </w:r>
      <w:r w:rsidR="00A25143">
        <w:rPr>
          <w:rFonts w:cs="Times New Roman"/>
          <w:szCs w:val="24"/>
        </w:rPr>
        <w:t xml:space="preserve">for Appl. In Forma Pauperis and </w:t>
      </w:r>
      <w:r w:rsidR="000E40D7">
        <w:rPr>
          <w:rFonts w:cs="Times New Roman"/>
          <w:szCs w:val="24"/>
        </w:rPr>
        <w:t>Appointment of Counsel 1</w:t>
      </w:r>
      <w:r w:rsidR="00446BF9">
        <w:t xml:space="preserve">. </w:t>
      </w:r>
      <w:r w:rsidR="00CD2B59">
        <w:t xml:space="preserve">He passed through three rounds of interviews, </w:t>
      </w:r>
      <w:r w:rsidR="002D224A">
        <w:t xml:space="preserve">but was denied the position after Ms. Gryphon delivered a negative reference </w:t>
      </w:r>
      <w:r w:rsidR="005B41F1">
        <w:t>to Axel Rosenberg, COO of EB</w:t>
      </w:r>
      <w:r w:rsidR="009B0D5B">
        <w:t>S</w:t>
      </w:r>
      <w:r w:rsidR="00ED0866">
        <w:t xml:space="preserve"> on March 30, 2017</w:t>
      </w:r>
      <w:commentRangeStart w:id="8"/>
      <w:r w:rsidR="005B41F1">
        <w:t xml:space="preserve">. R. </w:t>
      </w:r>
      <w:r w:rsidR="00FB4EA6">
        <w:t xml:space="preserve">at 3, </w:t>
      </w:r>
      <w:r w:rsidR="00ED0866">
        <w:t xml:space="preserve">8, </w:t>
      </w:r>
      <w:r w:rsidR="001C0839">
        <w:t xml:space="preserve">19. </w:t>
      </w:r>
      <w:r w:rsidR="00CD2B59">
        <w:t xml:space="preserve"> </w:t>
      </w:r>
      <w:commentRangeEnd w:id="8"/>
      <w:r w:rsidR="00ED0866">
        <w:rPr>
          <w:rStyle w:val="CommentReference"/>
        </w:rPr>
        <w:commentReference w:id="8"/>
      </w:r>
      <w:r w:rsidR="005A66C8" w:rsidRPr="005A66C8">
        <w:t xml:space="preserve"> </w:t>
      </w:r>
    </w:p>
    <w:p w14:paraId="1FD4C8B0" w14:textId="3C59DFAB" w:rsidR="00B510FD" w:rsidRPr="00776B8A" w:rsidRDefault="005A66C8" w:rsidP="002B4FDF">
      <w:r>
        <w:t xml:space="preserve">On January 2, 2018 Hernandez filed suit against SSS for discrimination and retaliation. </w:t>
      </w:r>
      <w:r>
        <w:t xml:space="preserve">R. at 4. </w:t>
      </w:r>
      <w:r>
        <w:t>Mr. Hernandez applied</w:t>
      </w:r>
      <w:r w:rsidR="00514172">
        <w:t xml:space="preserve"> for</w:t>
      </w:r>
      <w:r>
        <w:t xml:space="preserve"> and was granted In Forma Pauperis and Appointment of Counsel.</w:t>
      </w:r>
      <w:r w:rsidR="00A74C4A">
        <w:t xml:space="preserve"> </w:t>
      </w:r>
      <w:r w:rsidR="00A74C4A" w:rsidRPr="00A852B5">
        <w:rPr>
          <w:rFonts w:cs="Times New Roman"/>
          <w:szCs w:val="24"/>
        </w:rPr>
        <w:t>Pl.’s Appl. for In Forma Pauperis and Appointment of Counsel 1</w:t>
      </w:r>
      <w:r w:rsidR="00A74C4A">
        <w:rPr>
          <w:rFonts w:cs="Times New Roman"/>
          <w:szCs w:val="24"/>
        </w:rPr>
        <w:t>.</w:t>
      </w:r>
      <w:r>
        <w:t xml:space="preserve"> On February 8, 2018 the district court in the District of Colorado granted Summary Judgment for SSS holding that Mr. Hernandez failed to meet the prima facie cases for retaliation and discrimination. </w:t>
      </w:r>
      <w:r w:rsidR="008741BF">
        <w:t xml:space="preserve">R. at 22. </w:t>
      </w:r>
      <w:r>
        <w:t>Hernandez filed a timely appeal of the final judgement of the district court February 9, 2018, and the appeal is now before this Court.</w:t>
      </w:r>
      <w:r w:rsidR="008741BF">
        <w:t xml:space="preserve"> R. at 23 – 24. </w:t>
      </w:r>
    </w:p>
    <w:p w14:paraId="27B0AA96" w14:textId="48665AC3" w:rsidR="000508DE" w:rsidRDefault="000508DE" w:rsidP="00D476E0">
      <w:pPr>
        <w:pStyle w:val="Heading1"/>
        <w:ind w:firstLine="0"/>
      </w:pPr>
      <w:bookmarkStart w:id="9" w:name="_Toc509071343"/>
      <w:r>
        <w:lastRenderedPageBreak/>
        <w:t xml:space="preserve">SUMMARY OF </w:t>
      </w:r>
      <w:r w:rsidR="00766DC5">
        <w:t xml:space="preserve">THE </w:t>
      </w:r>
      <w:r>
        <w:t>ARGUMENT</w:t>
      </w:r>
      <w:bookmarkEnd w:id="9"/>
    </w:p>
    <w:p w14:paraId="16184E9F" w14:textId="3BAA0B68" w:rsidR="000508DE" w:rsidRDefault="000508DE" w:rsidP="00D476E0">
      <w:pPr>
        <w:pStyle w:val="Heading1"/>
        <w:ind w:firstLine="0"/>
      </w:pPr>
      <w:bookmarkStart w:id="10" w:name="_Toc509071344"/>
      <w:r>
        <w:t>ARGUMENT</w:t>
      </w:r>
      <w:bookmarkEnd w:id="10"/>
    </w:p>
    <w:p w14:paraId="395A76D2" w14:textId="4C62A8BA" w:rsidR="00A91BFA" w:rsidRDefault="002C24B5" w:rsidP="000B2CAF">
      <w:r>
        <w:t xml:space="preserve">SSS’s termination and reference of Mr. Hernandez was </w:t>
      </w:r>
      <w:r>
        <w:t>retaliatory</w:t>
      </w:r>
      <w:r>
        <w:t xml:space="preserve"> because Mr. Hernandez was an extremely qualified employee, and the termination and reference occurred within two weeks and three months of the EEOC filing. </w:t>
      </w:r>
      <w:r>
        <w:t xml:space="preserve"> Further, </w:t>
      </w:r>
      <w:r w:rsidR="002A3E4B">
        <w:t>SSS</w:t>
      </w:r>
      <w:r w:rsidR="00BF1979">
        <w:t xml:space="preserve">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 xml:space="preserve">was reasonable, and would not have caused undue hardship. </w:t>
      </w:r>
      <w:r w:rsidR="008B42CA">
        <w:fldChar w:fldCharType="begin"/>
      </w:r>
      <w:r w:rsidR="008B42CA">
        <w:instrText xml:space="preserve"> TA \l "</w:instrText>
      </w:r>
      <w:r w:rsidR="008B42CA" w:rsidRPr="000A31DB">
        <w:rPr>
          <w:i/>
        </w:rPr>
        <w:instrText>E.E.O.C. v. C.R. England, Inc.</w:instrText>
      </w:r>
      <w:r w:rsidR="008B42CA" w:rsidRPr="000A31DB">
        <w:instrText>, 644 F.3d 1028, 1051 (10th Cir. 2011).</w:instrText>
      </w:r>
      <w:r w:rsidR="008B42CA">
        <w:instrText xml:space="preserve">" \s "E.E.O.C. v. C.R. England, Inc., 644 F.3d 1028, 1051 (10th Cir. 2011)." \c 1 </w:instrText>
      </w:r>
      <w:r w:rsidR="008B42CA">
        <w:fldChar w:fldCharType="end"/>
      </w:r>
      <w:r w:rsidR="00C640F8">
        <w:t>The issues on review</w:t>
      </w:r>
      <w:r w:rsidR="0042203F">
        <w:t xml:space="preserve">, </w:t>
      </w:r>
      <w:commentRangeStart w:id="11"/>
      <w:r w:rsidR="006E75F2">
        <w:t>whet</w:t>
      </w:r>
      <w:r w:rsidR="00C50B8F">
        <w:t xml:space="preserve">her the district court committed reversible error by granting summary judgment to the Defendant on Plaintiff’s claims of </w:t>
      </w:r>
      <w:r w:rsidR="00766A6C">
        <w:t>retaliation</w:t>
      </w:r>
      <w:r w:rsidR="00C50B8F">
        <w:t xml:space="preserve"> and discrimination</w:t>
      </w:r>
      <w:commentRangeEnd w:id="11"/>
      <w:r w:rsidR="00766A6C">
        <w:rPr>
          <w:rStyle w:val="CommentReference"/>
        </w:rPr>
        <w:commentReference w:id="11"/>
      </w:r>
      <w:r w:rsidR="00766A6C">
        <w:t>,</w:t>
      </w:r>
      <w:r w:rsidR="00C640F8">
        <w:t xml:space="preserve">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xml:space="preserve">, 374 F.3d 906, 916 (10th Cir. 2004).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 judgement being affirmed unless there is a genuine issue of fact</w:t>
      </w:r>
      <w:r w:rsidR="00ED30ED">
        <w:t xml:space="preserve">. </w:t>
      </w:r>
      <w:r w:rsidR="009A47CF">
        <w:rPr>
          <w:i/>
        </w:rPr>
        <w:t>Proctor</w:t>
      </w:r>
      <w:r w:rsidR="009A47CF">
        <w:t>, 502 F.3d at 1205</w:t>
      </w:r>
      <w:r w:rsidR="009A47CF">
        <w:rPr>
          <w:i/>
        </w:rPr>
        <w:t>.</w:t>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590E122F" w14:textId="77777777" w:rsidR="006971F7" w:rsidRDefault="00CB7681" w:rsidP="00136C29">
      <w:pPr>
        <w:pStyle w:val="Heading2"/>
        <w:numPr>
          <w:ilvl w:val="0"/>
          <w:numId w:val="7"/>
        </w:numPr>
        <w:spacing w:line="240" w:lineRule="auto"/>
        <w:ind w:left="720"/>
      </w:pPr>
      <w:bookmarkStart w:id="12" w:name="_Toc509071345"/>
      <w:commentRangeStart w:id="13"/>
      <w:r>
        <w:t xml:space="preserve">SSS </w:t>
      </w:r>
      <w:r w:rsidRPr="00DD7178">
        <w:t>RETALIATED</w:t>
      </w:r>
      <w:r>
        <w:t xml:space="preserve"> AGAINST MR. HERNANDEZ </w:t>
      </w:r>
      <w:r w:rsidR="00726DA9">
        <w:t>BY TERMINAT</w:t>
      </w:r>
      <w:r w:rsidR="00BF2CF3">
        <w:t>ING</w:t>
      </w:r>
      <w:r w:rsidR="00726DA9">
        <w:t xml:space="preserve"> HIS </w:t>
      </w:r>
      <w:commentRangeEnd w:id="13"/>
      <w:r w:rsidR="003978D9">
        <w:rPr>
          <w:rStyle w:val="CommentReference"/>
          <w:rFonts w:eastAsiaTheme="minorHAnsi" w:cstheme="minorBidi"/>
          <w:color w:val="auto"/>
        </w:rPr>
        <w:commentReference w:id="13"/>
      </w:r>
      <w:r w:rsidR="00726DA9">
        <w:t>EMPLOYMENT</w:t>
      </w:r>
      <w:r w:rsidR="00BF2CF3">
        <w:t xml:space="preserve"> AND</w:t>
      </w:r>
      <w:r w:rsidR="00726DA9">
        <w:t xml:space="preserve"> PROVIDING A NEGATIVE REFERENCE</w:t>
      </w:r>
      <w:r w:rsidR="0083074F">
        <w:t xml:space="preserve"> </w:t>
      </w:r>
      <w:r w:rsidR="00123D4E">
        <w:t xml:space="preserve">TWO WEEKS AND </w:t>
      </w:r>
      <w:r w:rsidR="004852D1">
        <w:t xml:space="preserve">THREE </w:t>
      </w:r>
      <w:r w:rsidR="00123D4E">
        <w:t xml:space="preserve">MONTHS </w:t>
      </w:r>
      <w:r w:rsidR="0083074F">
        <w:t xml:space="preserve">RESPECTIVELY </w:t>
      </w:r>
      <w:r w:rsidR="00123D4E">
        <w:t xml:space="preserve">AFTER </w:t>
      </w:r>
      <w:r w:rsidR="00B80374">
        <w:t>FILING AN EEOC COMPLAINT</w:t>
      </w:r>
      <w:r w:rsidR="004B55EA">
        <w:t xml:space="preserve"> AND ITS REASONS FOR TERMINATION WERE INCONSISTENT.</w:t>
      </w:r>
      <w:bookmarkEnd w:id="12"/>
      <w:r w:rsidR="008007C0">
        <w:t xml:space="preserve"> </w:t>
      </w:r>
    </w:p>
    <w:p w14:paraId="06410522" w14:textId="77777777" w:rsidR="006971F7" w:rsidRDefault="006971F7" w:rsidP="006971F7">
      <w:pPr>
        <w:pStyle w:val="Heading2"/>
        <w:spacing w:line="240" w:lineRule="auto"/>
      </w:pPr>
    </w:p>
    <w:p w14:paraId="31ACAF63" w14:textId="499C2C89" w:rsidR="00A91BFA" w:rsidRDefault="00F326FE" w:rsidP="00FC1818">
      <w:r>
        <w:t xml:space="preserve">Retaliation occurs when an individual is discriminated against because he or she opposed any act or practice made unlawful under the </w:t>
      </w:r>
      <w:r w:rsidR="00CE6E31">
        <w:t>Americans with Disability Act (“ADA”)</w:t>
      </w:r>
      <w:r>
        <w:t>. 42 U.S.C. § 12203(a)</w:t>
      </w:r>
      <w:r>
        <w:fldChar w:fldCharType="begin"/>
      </w:r>
      <w:r>
        <w:instrText xml:space="preserve"> TA \s "42 U.S.C. § 12203(a)" </w:instrText>
      </w:r>
      <w:r>
        <w:fldChar w:fldCharType="end"/>
      </w:r>
      <w:r>
        <w:t xml:space="preserve">. </w:t>
      </w:r>
      <w:r w:rsidR="00950924">
        <w:t>When</w:t>
      </w:r>
      <w:r w:rsidR="00FC1818">
        <w:t xml:space="preserve"> there is no direct evidence</w:t>
      </w:r>
      <w:r w:rsidR="00950924">
        <w:t xml:space="preserve"> of retaliation</w:t>
      </w:r>
      <w:r w:rsidR="00FC1818">
        <w:t xml:space="preserve">, retaliation is analyzed with a burden </w:t>
      </w:r>
      <w:r w:rsidR="00FC1818">
        <w:lastRenderedPageBreak/>
        <w:t xml:space="preserve">shifting framework that requires Plaintiff to establish prima facie case for retaliation and then if Plaintiff </w:t>
      </w:r>
      <w:proofErr w:type="gramStart"/>
      <w:r w:rsidR="00FC1818">
        <w:t>is able to</w:t>
      </w:r>
      <w:proofErr w:type="gramEnd"/>
      <w:r w:rsidR="00FC1818">
        <w:t xml:space="preserve"> do so, burden goes to the defendant to show that the action was not discriminatory. </w:t>
      </w:r>
      <w:r w:rsidR="00FC1818" w:rsidRPr="00167333">
        <w:rPr>
          <w:i/>
        </w:rPr>
        <w:t>McDonnell Douglas Corp. v. Green</w:t>
      </w:r>
      <w:r w:rsidR="00FC1818" w:rsidRPr="00167333">
        <w:t>, 411 U.S. 792, 802</w:t>
      </w:r>
      <w:r w:rsidR="00FC1818">
        <w:t xml:space="preserve"> </w:t>
      </w:r>
      <w:r w:rsidR="00FC1818" w:rsidRPr="00167333">
        <w:t>(1973)</w:t>
      </w:r>
      <w:r w:rsidR="00FC1818">
        <w:fldChar w:fldCharType="begin"/>
      </w:r>
      <w:r w:rsidR="00FC1818">
        <w:instrText xml:space="preserve"> TA \l "</w:instrText>
      </w:r>
      <w:r w:rsidR="00FC1818" w:rsidRPr="00042B6E">
        <w:rPr>
          <w:i/>
        </w:rPr>
        <w:instrText>McDonnell Douglas Corp. v. Green</w:instrText>
      </w:r>
      <w:r w:rsidR="00FC1818" w:rsidRPr="00042B6E">
        <w:instrText>, 411 U.S. 792, 802 (1973)</w:instrText>
      </w:r>
      <w:r w:rsidR="00FC1818">
        <w:instrText xml:space="preserve">" \s "McDonnell Douglas Corp. v. Green, 411 U.S. 792, 802 (1973)" \c 1 </w:instrText>
      </w:r>
      <w:r w:rsidR="00FC1818">
        <w:fldChar w:fldCharType="end"/>
      </w:r>
      <w:r w:rsidR="00FC1818">
        <w:t xml:space="preserve">. Plaintiff must then show that this reason is merely pretext. </w:t>
      </w:r>
      <w:r w:rsidR="00FC1818" w:rsidRPr="001743F5">
        <w:rPr>
          <w:i/>
        </w:rPr>
        <w:t xml:space="preserve">Id. </w:t>
      </w:r>
      <w:r w:rsidR="00FC1818" w:rsidRPr="001743F5">
        <w:t xml:space="preserve">A </w:t>
      </w:r>
      <w:r w:rsidR="00FC1818">
        <w:t xml:space="preserve">prima facie case for relation must show that (1) employee participated in a protected activity; (2) there was adverse employment action; and (3) there was a causal connection between the protected activity and adverse action. </w:t>
      </w:r>
      <w:r w:rsidR="00FC1818" w:rsidRPr="00A94A9C">
        <w:rPr>
          <w:i/>
        </w:rPr>
        <w:t>E.E.O.C. v. C.R. England, Inc.</w:t>
      </w:r>
      <w:r w:rsidR="00FC1818" w:rsidRPr="00A94A9C">
        <w:t>, 644 F.3d 1028</w:t>
      </w:r>
      <w:r w:rsidR="00FC1818">
        <w:t>, 1051</w:t>
      </w:r>
      <w:r w:rsidR="00FC1818" w:rsidRPr="00A94A9C">
        <w:t xml:space="preserve"> (10th Cir. 2011)</w:t>
      </w:r>
      <w:r w:rsidR="00FC1818">
        <w:t>.</w:t>
      </w:r>
      <w:r>
        <w:t xml:space="preserve"> </w:t>
      </w:r>
      <w:commentRangeStart w:id="14"/>
      <w:r w:rsidR="005D19EC">
        <w:t>Some courts require that a plaintiff show that he or she had a reasonable, good-faith belief they were disabled to prosecute a ADA retaliation claim</w:t>
      </w:r>
      <w:r w:rsidR="005D19EC" w:rsidRPr="00A03B6C">
        <w:rPr>
          <w:rFonts w:cs="Times New Roman"/>
          <w:szCs w:val="24"/>
        </w:rPr>
        <w:t xml:space="preserve">. </w:t>
      </w:r>
      <w:r w:rsidR="005D19EC" w:rsidRPr="00C37C3B">
        <w:rPr>
          <w:rFonts w:eastAsia="Times New Roman" w:cs="Times New Roman"/>
          <w:i/>
          <w:color w:val="000000"/>
          <w:szCs w:val="24"/>
        </w:rPr>
        <w:t>Foster v. Mountain Coal Co., LLC</w:t>
      </w:r>
      <w:r w:rsidR="005D19EC" w:rsidRPr="00C37C3B">
        <w:rPr>
          <w:rFonts w:eastAsia="Times New Roman" w:cs="Times New Roman"/>
          <w:color w:val="000000"/>
          <w:szCs w:val="24"/>
        </w:rPr>
        <w:t>, 830 F.3d 1178, 1186 (10th Cir. 2016)</w:t>
      </w:r>
      <w:commentRangeEnd w:id="14"/>
      <w:r w:rsidR="005D19EC">
        <w:rPr>
          <w:rStyle w:val="CommentReference"/>
        </w:rPr>
        <w:commentReference w:id="14"/>
      </w:r>
      <w:r w:rsidR="005D19EC" w:rsidRPr="00A03B6C">
        <w:rPr>
          <w:rFonts w:eastAsia="Times New Roman" w:cs="Times New Roman"/>
          <w:color w:val="000000"/>
          <w:szCs w:val="24"/>
        </w:rPr>
        <w:t xml:space="preserve">. </w:t>
      </w:r>
      <w:r w:rsidR="005D19EC" w:rsidRPr="00A03B6C">
        <w:rPr>
          <w:rFonts w:cs="Times New Roman"/>
          <w:szCs w:val="24"/>
        </w:rPr>
        <w:t xml:space="preserve"> </w:t>
      </w:r>
      <w:r w:rsidR="00C87EBF">
        <w:rPr>
          <w:rFonts w:cs="Times New Roman"/>
          <w:szCs w:val="24"/>
        </w:rPr>
        <w:t xml:space="preserve">Here, </w:t>
      </w:r>
      <w:r w:rsidR="00C005D7">
        <w:t xml:space="preserve">the fist requirement of a prima facie case for retaliation </w:t>
      </w:r>
      <w:r w:rsidR="00C87EBF">
        <w:t>is met</w:t>
      </w:r>
      <w:r w:rsidR="00A80AA1">
        <w:t>:</w:t>
      </w:r>
      <w:r w:rsidR="00C87EBF">
        <w:t xml:space="preserve"> </w:t>
      </w:r>
      <w:r w:rsidR="00A80AA1">
        <w:t>f</w:t>
      </w:r>
      <w:r>
        <w:t xml:space="preserve">iling administrative charges with the EEOC is a protected activity. </w:t>
      </w:r>
      <w:r>
        <w:rPr>
          <w:i/>
        </w:rPr>
        <w:t>Proctor</w:t>
      </w:r>
      <w:r>
        <w:t>, 502 F.3d at 1208</w:t>
      </w:r>
      <w:r>
        <w:fldChar w:fldCharType="begin"/>
      </w:r>
      <w:r>
        <w:instrText xml:space="preserve"> TA \s "Proctor v. United Parcel Serv., 502 F.3d 1200, 1208 (10th Cir. 2007)" </w:instrText>
      </w:r>
      <w:r>
        <w:fldChar w:fldCharType="end"/>
      </w:r>
      <w:r>
        <w:t xml:space="preserve">; </w:t>
      </w:r>
      <w:r w:rsidRPr="00A6525B">
        <w:rPr>
          <w:i/>
        </w:rPr>
        <w:t>Anderson v. Coors Brewing Co.</w:t>
      </w:r>
      <w:r w:rsidRPr="00A6525B">
        <w:t>, 181 F.3d 1171, 1178 (10th Cir. 1999)</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w:t>
      </w:r>
    </w:p>
    <w:p w14:paraId="3DB5A7B1" w14:textId="39886A11" w:rsidR="00C30290" w:rsidRDefault="007730C0" w:rsidP="00B179B3">
      <w:pPr>
        <w:pStyle w:val="Heading3"/>
        <w:numPr>
          <w:ilvl w:val="0"/>
          <w:numId w:val="9"/>
        </w:numPr>
        <w:ind w:left="1440" w:hanging="720"/>
      </w:pPr>
      <w:bookmarkStart w:id="15" w:name="_Toc509071346"/>
      <w:r>
        <w:t xml:space="preserve">SSS Committed </w:t>
      </w:r>
      <w:r w:rsidR="00157746">
        <w:t xml:space="preserve">Adverse </w:t>
      </w:r>
      <w:r>
        <w:t xml:space="preserve">Employment </w:t>
      </w:r>
      <w:r w:rsidR="00157746">
        <w:t>Action</w:t>
      </w:r>
      <w:r>
        <w:t xml:space="preserve"> Against Mr. Hernandez </w:t>
      </w:r>
      <w:r w:rsidR="00A17C97">
        <w:t xml:space="preserve">by Terminating His Employment, </w:t>
      </w:r>
      <w:r w:rsidR="00E002AD">
        <w:t>a</w:t>
      </w:r>
      <w:r w:rsidR="00A17C97">
        <w:t xml:space="preserve">nd </w:t>
      </w:r>
      <w:r w:rsidR="00E002AD">
        <w:t>by</w:t>
      </w:r>
      <w:r w:rsidR="00A17C97">
        <w:t xml:space="preserve"> Providing a</w:t>
      </w:r>
      <w:r w:rsidR="006105E5">
        <w:t xml:space="preserve"> Reference that Contributed to</w:t>
      </w:r>
      <w:r w:rsidR="00E002AD">
        <w:t xml:space="preserve"> </w:t>
      </w:r>
      <w:commentRangeStart w:id="16"/>
      <w:r w:rsidR="00E002AD">
        <w:t>E Building Solution</w:t>
      </w:r>
      <w:r w:rsidR="00C961AF">
        <w:t>s</w:t>
      </w:r>
      <w:r w:rsidR="00E002AD">
        <w:t xml:space="preserve"> Not Employing Mr. Hernandez</w:t>
      </w:r>
      <w:r w:rsidR="00A66E1A">
        <w:t>.</w:t>
      </w:r>
      <w:r w:rsidR="00821887">
        <w:t xml:space="preserve"> </w:t>
      </w:r>
      <w:commentRangeEnd w:id="16"/>
      <w:r w:rsidR="00E002AD">
        <w:rPr>
          <w:rStyle w:val="CommentReference"/>
          <w:rFonts w:eastAsiaTheme="minorHAnsi" w:cstheme="minorBidi"/>
          <w:color w:val="auto"/>
          <w:u w:val="none"/>
        </w:rPr>
        <w:commentReference w:id="16"/>
      </w:r>
      <w:bookmarkEnd w:id="15"/>
    </w:p>
    <w:p w14:paraId="346AA87E" w14:textId="26D78CDE" w:rsidR="008413A7" w:rsidRDefault="008413A7" w:rsidP="00066A88">
      <w:r>
        <w:t xml:space="preserve">The second </w:t>
      </w:r>
      <w:r w:rsidR="00F5413B">
        <w:t>element of a prima facie case</w:t>
      </w:r>
      <w:r>
        <w:t xml:space="preserve">, adverse employment action, has been liberally defined, requiring analysis on a case by case basis, and must meet the requirement of causing more than </w:t>
      </w:r>
      <w:r w:rsidRPr="008413A7">
        <w:rPr>
          <w:i/>
        </w:rPr>
        <w:t xml:space="preserve">de </w:t>
      </w:r>
      <w:proofErr w:type="spellStart"/>
      <w:r w:rsidRPr="008413A7">
        <w:rPr>
          <w:i/>
        </w:rPr>
        <w:t>minimis</w:t>
      </w:r>
      <w:proofErr w:type="spellEnd"/>
      <w:r w:rsidRPr="008413A7">
        <w:rPr>
          <w:i/>
        </w:rPr>
        <w:t xml:space="preserve"> </w:t>
      </w:r>
      <w:r>
        <w:t xml:space="preserve">harm. </w:t>
      </w:r>
      <w:r w:rsidRPr="008413A7">
        <w:rPr>
          <w:i/>
        </w:rPr>
        <w:t>E.E.O.C.</w:t>
      </w:r>
      <w:r>
        <w:t xml:space="preserve">, </w:t>
      </w:r>
      <w:r w:rsidRPr="00A94A9C">
        <w:t>644 F.</w:t>
      </w:r>
      <w:r w:rsidRPr="009C12AE">
        <w:rPr>
          <w:rFonts w:cs="Times New Roman"/>
        </w:rPr>
        <w:t>3d at 1040</w:t>
      </w:r>
      <w:r w:rsidRPr="009C12AE">
        <w:rPr>
          <w:rFonts w:cs="Times New Roman"/>
        </w:rPr>
        <w:fldChar w:fldCharType="begin"/>
      </w:r>
      <w:r w:rsidRPr="009C12AE">
        <w:rPr>
          <w:rFonts w:cs="Times New Roman"/>
        </w:rPr>
        <w:instrText xml:space="preserve"> TA \s "E.E.O.C. v. C.R. England, Inc., 644 F.3d 1028, 1051 (10th Cir. 2011)." </w:instrText>
      </w:r>
      <w:r w:rsidRPr="009C12AE">
        <w:rPr>
          <w:rFonts w:cs="Times New Roman"/>
        </w:rPr>
        <w:fldChar w:fldCharType="end"/>
      </w:r>
      <w:r w:rsidRPr="009C12AE">
        <w:rPr>
          <w:rFonts w:cs="Times New Roman"/>
        </w:rPr>
        <w:t xml:space="preserve"> (holding that “hiring, firing or failing to promote” rise to the level of adverse employment action)</w:t>
      </w:r>
      <w:r w:rsidR="001E5638" w:rsidRPr="009C12AE">
        <w:rPr>
          <w:rFonts w:cs="Times New Roman"/>
        </w:rPr>
        <w:t xml:space="preserve">; </w:t>
      </w:r>
      <w:r w:rsidR="00AA76ED" w:rsidRPr="00AA76ED">
        <w:rPr>
          <w:rFonts w:eastAsia="Times New Roman" w:cs="Times New Roman"/>
          <w:i/>
          <w:color w:val="000000"/>
          <w:szCs w:val="24"/>
        </w:rPr>
        <w:t>Sanchez v. Denver Pub. Sch.</w:t>
      </w:r>
      <w:r w:rsidR="00AA76ED" w:rsidRPr="00AA76ED">
        <w:rPr>
          <w:rFonts w:eastAsia="Times New Roman" w:cs="Times New Roman"/>
          <w:color w:val="000000"/>
          <w:szCs w:val="24"/>
        </w:rPr>
        <w:t>, 164 F.3d 527, 532 (10th Cir. 1998)</w:t>
      </w:r>
      <w:r w:rsidR="00AA76ED" w:rsidRPr="009C12AE">
        <w:rPr>
          <w:rFonts w:eastAsia="Times New Roman" w:cs="Times New Roman"/>
          <w:color w:val="000000"/>
          <w:szCs w:val="24"/>
        </w:rPr>
        <w:t xml:space="preserve"> (</w:t>
      </w:r>
      <w:r w:rsidR="0015630E" w:rsidRPr="009C12AE">
        <w:rPr>
          <w:rFonts w:eastAsia="Times New Roman" w:cs="Times New Roman"/>
          <w:color w:val="000000"/>
          <w:szCs w:val="24"/>
        </w:rPr>
        <w:t>finding that an increase in commute time did not rise to the level of adverse action)</w:t>
      </w:r>
      <w:r w:rsidRPr="009C12AE">
        <w:rPr>
          <w:rFonts w:cs="Times New Roman"/>
        </w:rPr>
        <w:t xml:space="preserve">. </w:t>
      </w:r>
      <w:r w:rsidR="00AE38F2" w:rsidRPr="009C12AE">
        <w:rPr>
          <w:rFonts w:cs="Times New Roman"/>
        </w:rPr>
        <w:t>E</w:t>
      </w:r>
      <w:r w:rsidRPr="009C12AE">
        <w:rPr>
          <w:rFonts w:cs="Times New Roman"/>
        </w:rPr>
        <w:t xml:space="preserve">mployment action is </w:t>
      </w:r>
      <w:r w:rsidR="00AE38F2" w:rsidRPr="009C12AE">
        <w:rPr>
          <w:rFonts w:cs="Times New Roman"/>
        </w:rPr>
        <w:t>a</w:t>
      </w:r>
      <w:r w:rsidRPr="009C12AE">
        <w:rPr>
          <w:rFonts w:cs="Times New Roman"/>
        </w:rPr>
        <w:t xml:space="preserve">dverse if it causes harm to future employment prospects. </w:t>
      </w:r>
      <w:r w:rsidRPr="009C12AE">
        <w:rPr>
          <w:rFonts w:cs="Times New Roman"/>
          <w:i/>
        </w:rPr>
        <w:t xml:space="preserve">Berry v. </w:t>
      </w:r>
      <w:proofErr w:type="spellStart"/>
      <w:r w:rsidRPr="009C12AE">
        <w:rPr>
          <w:rFonts w:cs="Times New Roman"/>
          <w:i/>
        </w:rPr>
        <w:t>Stevinson</w:t>
      </w:r>
      <w:proofErr w:type="spellEnd"/>
      <w:r w:rsidRPr="008413A7">
        <w:rPr>
          <w:i/>
        </w:rPr>
        <w:t xml:space="preserve"> Chevrolet</w:t>
      </w:r>
      <w:r w:rsidRPr="00FB7667">
        <w:t>, 74 F.3d 980, 986–87 (10th Cir.1996)</w:t>
      </w:r>
      <w:r w:rsidR="00416882">
        <w:t xml:space="preserve"> (finding that </w:t>
      </w:r>
      <w:r w:rsidR="00B1120B">
        <w:t>filing charges against a former employee may be adverse action)</w:t>
      </w:r>
      <w:r>
        <w:fldChar w:fldCharType="begin"/>
      </w:r>
      <w:r>
        <w:instrText xml:space="preserve"> TA \l "</w:instrText>
      </w:r>
      <w:r w:rsidRPr="008413A7">
        <w:rPr>
          <w:i/>
        </w:rPr>
        <w:instrText>Berry v. Stevinson Chevrolet</w:instrText>
      </w:r>
      <w:r w:rsidRPr="0081665E">
        <w:instrText>, 74 F.3d 980, 986–87 (10th Cir.1996)</w:instrText>
      </w:r>
      <w:r>
        <w:instrText xml:space="preserve">" \s "Berry v. Stevinson Chevrolet, 74 F.3d 980, 986–87 (10th Cir.1996)" \c 1 </w:instrText>
      </w:r>
      <w:r>
        <w:fldChar w:fldCharType="end"/>
      </w:r>
      <w:r>
        <w:t xml:space="preserve">; </w:t>
      </w:r>
      <w:proofErr w:type="spellStart"/>
      <w:r w:rsidRPr="008413A7">
        <w:rPr>
          <w:i/>
        </w:rPr>
        <w:t>Hillig</w:t>
      </w:r>
      <w:proofErr w:type="spellEnd"/>
      <w:r w:rsidRPr="008413A7">
        <w:rPr>
          <w:i/>
        </w:rPr>
        <w:t xml:space="preserve"> v. Rumsfeld</w:t>
      </w:r>
      <w:r>
        <w:t xml:space="preserve">, 381 F.3d 1028, 1031 </w:t>
      </w:r>
      <w:r>
        <w:lastRenderedPageBreak/>
        <w:t>(10th Cir. 2004)</w:t>
      </w:r>
      <w:r w:rsidR="000D5450">
        <w:t xml:space="preserve"> (holding reference that prevented</w:t>
      </w:r>
      <w:r w:rsidR="00077736">
        <w:t xml:space="preserve"> plaintiff from obtaining employment </w:t>
      </w:r>
      <w:r w:rsidR="00F30104">
        <w:t>as adverse action)</w:t>
      </w:r>
      <w:r w:rsidR="00E430CA">
        <w:t xml:space="preserve">; </w:t>
      </w:r>
      <w:r w:rsidR="00066A88" w:rsidRPr="00066A88">
        <w:rPr>
          <w:i/>
        </w:rPr>
        <w:t>E.E.O.C. v. L.B. Foster Co.</w:t>
      </w:r>
      <w:r w:rsidR="00066A88">
        <w:t>, 123 F.3d 746, 753 (3d Cir. 1997)</w:t>
      </w:r>
      <w:r w:rsidR="00066A88">
        <w:t xml:space="preserve"> (</w:t>
      </w:r>
      <w:r w:rsidR="00C47AFB">
        <w:t>holding the refusal of a reference can be adverse action)</w:t>
      </w:r>
      <w:r>
        <w:fldChar w:fldCharType="begin"/>
      </w:r>
      <w:r>
        <w:instrText xml:space="preserve"> TA \l "</w:instrText>
      </w:r>
      <w:r w:rsidRPr="008413A7">
        <w:rPr>
          <w:i/>
        </w:rPr>
        <w:instrText>Hillig v. Rumsfeld</w:instrText>
      </w:r>
      <w:r w:rsidRPr="000D3F55">
        <w:instrText>, 381 F.3d 1028, 1031 (10th Cir. 2004)</w:instrText>
      </w:r>
      <w:r>
        <w:instrText xml:space="preserve">" \s "Hillig v. Rumsfeld, 381 F.3d 1028, 1031 (10th Cir. 2004)" \c 1 </w:instrText>
      </w:r>
      <w:r>
        <w:fldChar w:fldCharType="end"/>
      </w:r>
      <w:r>
        <w:t xml:space="preserve">. Negative references can be adverse action, even if the recommendation is not the sole reason for a potential employer rejecting the plaintiff. </w:t>
      </w:r>
      <w:r w:rsidR="00187847" w:rsidRPr="00187847">
        <w:rPr>
          <w:i/>
        </w:rPr>
        <w:t>Hashimoto v. Dalton</w:t>
      </w:r>
      <w:r w:rsidR="00187847" w:rsidRPr="00187847">
        <w:t>, 118 F.3d 671 (9th Cir.1997)</w:t>
      </w:r>
      <w:r w:rsidRPr="00187847">
        <w:fldChar w:fldCharType="begin"/>
      </w:r>
      <w:r w:rsidRPr="00187847">
        <w:instrText xml:space="preserve"> TA \s "Hillig v. Rumsfeld, 381 F.3d 1028, 1031 (10th Cir. 2004)" </w:instrText>
      </w:r>
      <w:r w:rsidRPr="00187847">
        <w:fldChar w:fldCharType="end"/>
      </w:r>
      <w:r w:rsidRPr="00187847">
        <w:t xml:space="preserve"> </w:t>
      </w:r>
      <w:r>
        <w:t>(holding that a negative reference was still adverse action despite that plaintiff would not have been hired in absence of the negative recommendation).</w:t>
      </w:r>
      <w:commentRangeStart w:id="17"/>
      <w:r>
        <w:t xml:space="preserve"> </w:t>
      </w:r>
      <w:r w:rsidRPr="008413A7">
        <w:rPr>
          <w:strike/>
        </w:rPr>
        <w:t xml:space="preserve">Negative references may be oral or written. </w:t>
      </w:r>
      <w:r w:rsidRPr="008413A7">
        <w:rPr>
          <w:i/>
          <w:strike/>
        </w:rPr>
        <w:t xml:space="preserve">Id. </w:t>
      </w:r>
      <w:r w:rsidRPr="008413A7">
        <w:rPr>
          <w:strike/>
        </w:rPr>
        <w:t>at 1035.</w:t>
      </w:r>
      <w:r>
        <w:t xml:space="preserve"> </w:t>
      </w:r>
      <w:commentRangeEnd w:id="17"/>
      <w:r w:rsidR="008D2283">
        <w:rPr>
          <w:rStyle w:val="CommentReference"/>
        </w:rPr>
        <w:commentReference w:id="17"/>
      </w:r>
    </w:p>
    <w:p w14:paraId="11B07A43" w14:textId="4510AC57" w:rsidR="009B2674" w:rsidRPr="00055F62" w:rsidRDefault="00AA28EC" w:rsidP="00055F62">
      <w:commentRangeStart w:id="18"/>
      <w:r>
        <w:t xml:space="preserve">Mr. Hernandez meets </w:t>
      </w:r>
      <w:commentRangeEnd w:id="18"/>
      <w:r w:rsidR="00E51DDC">
        <w:rPr>
          <w:rStyle w:val="CommentReference"/>
        </w:rPr>
        <w:commentReference w:id="18"/>
      </w:r>
      <w:r>
        <w:t xml:space="preserve">the requirements of the second element for a prima facie case of retaliation. </w:t>
      </w:r>
      <w:r w:rsidR="0047333D">
        <w:t xml:space="preserve">Here, Mr. Hernandez’s employment was terminated, </w:t>
      </w:r>
      <w:r w:rsidR="00ED2D4A">
        <w:t>which</w:t>
      </w:r>
      <w:r w:rsidR="00364AFE">
        <w:t xml:space="preserve"> </w:t>
      </w:r>
      <w:r w:rsidR="007353C8">
        <w:t xml:space="preserve">meets the requirement of more than </w:t>
      </w:r>
      <w:r w:rsidR="007353C8">
        <w:rPr>
          <w:i/>
        </w:rPr>
        <w:t xml:space="preserve">de </w:t>
      </w:r>
      <w:proofErr w:type="spellStart"/>
      <w:r w:rsidR="007353C8">
        <w:rPr>
          <w:i/>
        </w:rPr>
        <w:t>minimus</w:t>
      </w:r>
      <w:proofErr w:type="spellEnd"/>
      <w:r w:rsidR="007353C8">
        <w:t xml:space="preserve"> </w:t>
      </w:r>
      <w:r w:rsidR="0047333D">
        <w:t>harm and</w:t>
      </w:r>
      <w:r w:rsidR="007353C8">
        <w:t xml:space="preserve"> is </w:t>
      </w:r>
      <w:r>
        <w:t xml:space="preserve">therefore </w:t>
      </w:r>
      <w:r w:rsidR="007353C8">
        <w:t>adverse action</w:t>
      </w:r>
      <w:r w:rsidR="00C3239A">
        <w:t xml:space="preserve">. </w:t>
      </w:r>
      <w:r w:rsidRPr="008413A7">
        <w:rPr>
          <w:i/>
        </w:rPr>
        <w:t>E.E.O.C.</w:t>
      </w:r>
      <w:r>
        <w:t xml:space="preserve">, </w:t>
      </w:r>
      <w:r w:rsidRPr="00A94A9C">
        <w:t xml:space="preserve">644 F.3d </w:t>
      </w:r>
      <w:r>
        <w:t xml:space="preserve">at 1040. </w:t>
      </w:r>
      <w:r>
        <w:fldChar w:fldCharType="begin"/>
      </w:r>
      <w:r>
        <w:instrText xml:space="preserve"> TA \s "E.E.O.C. v. C.R. England, Inc., 644 F.3d 1028, 1051 (10th Cir. 2011)." </w:instrText>
      </w:r>
      <w:r>
        <w:fldChar w:fldCharType="end"/>
      </w:r>
      <w:r w:rsidR="000E6093">
        <w:t xml:space="preserve">The negative reference of Maeve Gryphon was also retaliatory. </w:t>
      </w:r>
      <w:r w:rsidR="006E230E">
        <w:t xml:space="preserve">In </w:t>
      </w:r>
      <w:r w:rsidR="00B21183" w:rsidRPr="00B21183">
        <w:rPr>
          <w:i/>
        </w:rPr>
        <w:t>Hashimoto v. Dalton</w:t>
      </w:r>
      <w:r w:rsidR="00B21183" w:rsidRPr="00B21183">
        <w:t>, 870 F. Supp. 1544, 1554–55 (D. Haw. 1994), aff'd, 118 F.3d 671 (9th Cir. 1997)</w:t>
      </w:r>
      <w:r w:rsidR="006E230E">
        <w:fldChar w:fldCharType="begin"/>
      </w:r>
      <w:r w:rsidR="006E230E">
        <w:instrText xml:space="preserve"> TA \l "</w:instrText>
      </w:r>
      <w:r w:rsidR="006E230E" w:rsidRPr="004F7988">
        <w:rPr>
          <w:i/>
        </w:rPr>
        <w:instrText>Hashimoto v. Dalton</w:instrText>
      </w:r>
      <w:r w:rsidR="006E230E" w:rsidRPr="004F7988">
        <w:instrText>, 118 F.3d 671 (9th Cir.1997)</w:instrText>
      </w:r>
      <w:r w:rsidR="006E230E">
        <w:instrText xml:space="preserve">" \s "Hashimoto v. Dalton, 118 F.3d 671 (9th Cir.1997)" \c 1 </w:instrText>
      </w:r>
      <w:r w:rsidR="006E230E">
        <w:fldChar w:fldCharType="end"/>
      </w:r>
      <w:r w:rsidR="006E230E">
        <w:t xml:space="preserve">, plaintiff received a negative job reference from </w:t>
      </w:r>
      <w:r w:rsidR="00C57078">
        <w:t xml:space="preserve">when </w:t>
      </w:r>
      <w:r w:rsidR="003617B7">
        <w:t>plaintiff’s supervisor told a potential employer</w:t>
      </w:r>
      <w:r w:rsidR="00D35564">
        <w:t xml:space="preserve"> of attempts at counseling and suspensions</w:t>
      </w:r>
      <w:r w:rsidR="00E81A70">
        <w:t xml:space="preserve"> and the future employer did not consider the plaintiff for employment</w:t>
      </w:r>
      <w:r w:rsidR="00D35564">
        <w:t>.</w:t>
      </w:r>
      <w:r w:rsidR="005D0C06">
        <w:t xml:space="preserve"> </w:t>
      </w:r>
      <w:r w:rsidR="007846BE">
        <w:t xml:space="preserve">Here, Ms. Gryphon informed EBS that </w:t>
      </w:r>
      <w:r w:rsidR="002B4C56">
        <w:t xml:space="preserve">Mr. Hernandez </w:t>
      </w:r>
      <w:r w:rsidR="006612B5">
        <w:t xml:space="preserve">missed work without </w:t>
      </w:r>
      <w:r w:rsidR="002B4C56">
        <w:t>authorization and</w:t>
      </w:r>
      <w:r w:rsidR="007E5DDE">
        <w:t xml:space="preserve"> missed severally deadlines due to health</w:t>
      </w:r>
      <w:r w:rsidR="005D0C06">
        <w:t xml:space="preserve"> </w:t>
      </w:r>
      <w:r w:rsidR="007E5DDE">
        <w:t>reasons</w:t>
      </w:r>
      <w:r w:rsidR="002E1EFE">
        <w:t xml:space="preserve">, which Mr. Rosenberg found problematic. </w:t>
      </w:r>
      <w:r w:rsidR="00953197">
        <w:t xml:space="preserve">In </w:t>
      </w:r>
      <w:r w:rsidR="00953197" w:rsidRPr="00953197">
        <w:rPr>
          <w:i/>
        </w:rPr>
        <w:t>Hashimoto</w:t>
      </w:r>
      <w:r w:rsidR="00953197">
        <w:t xml:space="preserve">, the </w:t>
      </w:r>
      <w:r w:rsidR="006E230E">
        <w:t xml:space="preserve">court found that the potential employer would not have hired the plaintiff even in the absence of the negative recommendation but awarded plaintiff fees and costs. </w:t>
      </w:r>
      <w:r w:rsidR="006E230E">
        <w:t xml:space="preserve">Here, </w:t>
      </w:r>
      <w:r w:rsidR="00127A13">
        <w:rPr>
          <w:rFonts w:cs="Times New Roman"/>
          <w:bCs/>
          <w:szCs w:val="24"/>
        </w:rPr>
        <w:t xml:space="preserve">Mr. Rosenberg states that the reference was not dispositive, but problematic. Mr. Rosenberg </w:t>
      </w:r>
      <w:r w:rsidR="00127A13">
        <w:rPr>
          <w:rFonts w:cs="Times New Roman"/>
          <w:bCs/>
          <w:szCs w:val="24"/>
        </w:rPr>
        <w:t>states</w:t>
      </w:r>
      <w:r w:rsidR="00127A13">
        <w:rPr>
          <w:rFonts w:cs="Times New Roman"/>
          <w:bCs/>
          <w:szCs w:val="24"/>
        </w:rPr>
        <w:t xml:space="preserve"> the company determined to go into international expansion and so chose a candidate with multilingual abilities. R. at 20. </w:t>
      </w:r>
      <w:r w:rsidR="00127A13">
        <w:rPr>
          <w:rFonts w:cs="Times New Roman"/>
          <w:bCs/>
          <w:szCs w:val="24"/>
        </w:rPr>
        <w:t xml:space="preserve">Like in </w:t>
      </w:r>
      <w:r w:rsidR="00127A13">
        <w:rPr>
          <w:rFonts w:cs="Times New Roman"/>
          <w:bCs/>
          <w:i/>
          <w:szCs w:val="24"/>
        </w:rPr>
        <w:t>Hashimoto</w:t>
      </w:r>
      <w:r w:rsidR="00D55FB1">
        <w:rPr>
          <w:rFonts w:cs="Times New Roman"/>
          <w:bCs/>
          <w:i/>
          <w:szCs w:val="24"/>
        </w:rPr>
        <w:fldChar w:fldCharType="begin"/>
      </w:r>
      <w:r w:rsidR="00D55FB1">
        <w:instrText xml:space="preserve"> TA \s "Hashimoto v. Dalton, 118 F.3d 671 (9th Cir.1997)" </w:instrText>
      </w:r>
      <w:r w:rsidR="00D55FB1">
        <w:rPr>
          <w:rFonts w:cs="Times New Roman"/>
          <w:bCs/>
          <w:i/>
          <w:szCs w:val="24"/>
        </w:rPr>
        <w:fldChar w:fldCharType="end"/>
      </w:r>
      <w:r w:rsidR="00D55FB1">
        <w:rPr>
          <w:rFonts w:cs="Times New Roman"/>
          <w:bCs/>
          <w:szCs w:val="24"/>
        </w:rPr>
        <w:t xml:space="preserve">, it is not necessary for reference to be the reason Mr. Hernandez was not hired, it is enough that the negative reference was given. </w:t>
      </w:r>
      <w:r w:rsidR="00D55FB1">
        <w:t xml:space="preserve">118 F.3d 671. </w:t>
      </w:r>
      <w:r w:rsidR="000E6093" w:rsidRPr="00CE5E7D">
        <w:rPr>
          <w:rFonts w:cs="Times New Roman"/>
          <w:szCs w:val="24"/>
        </w:rPr>
        <w:t xml:space="preserve">In </w:t>
      </w:r>
      <w:proofErr w:type="spellStart"/>
      <w:r w:rsidR="000E6093" w:rsidRPr="00CE5E7D">
        <w:rPr>
          <w:rFonts w:cs="Times New Roman"/>
          <w:bCs/>
          <w:i/>
          <w:szCs w:val="24"/>
        </w:rPr>
        <w:t>Hillig</w:t>
      </w:r>
      <w:proofErr w:type="spellEnd"/>
      <w:r w:rsidR="000E6093" w:rsidRPr="00CE5E7D">
        <w:rPr>
          <w:rFonts w:cs="Times New Roman"/>
          <w:bCs/>
          <w:i/>
          <w:szCs w:val="24"/>
        </w:rPr>
        <w:t xml:space="preserve"> v. Rumsfeld</w:t>
      </w:r>
      <w:r w:rsidR="000E6093" w:rsidRPr="00CE5E7D">
        <w:rPr>
          <w:rFonts w:cs="Times New Roman"/>
          <w:bCs/>
          <w:szCs w:val="24"/>
        </w:rPr>
        <w:t>, 381 F.3d 1028, 1035 (10th Cir. 2004)</w:t>
      </w:r>
      <w:r w:rsidR="000E6093">
        <w:rPr>
          <w:rFonts w:cs="Times New Roman"/>
          <w:bCs/>
          <w:szCs w:val="24"/>
        </w:rPr>
        <w:fldChar w:fldCharType="begin"/>
      </w:r>
      <w:r w:rsidR="000E6093">
        <w:instrText xml:space="preserve"> TA \s "Hillig v. Rumsfeld, 381 F.3d 1028, 1031 (10th Cir. 2004)" </w:instrText>
      </w:r>
      <w:r w:rsidR="000E6093">
        <w:rPr>
          <w:rFonts w:cs="Times New Roman"/>
          <w:bCs/>
          <w:szCs w:val="24"/>
        </w:rPr>
        <w:fldChar w:fldCharType="end"/>
      </w:r>
      <w:r w:rsidR="000E6093">
        <w:rPr>
          <w:rFonts w:cs="Times New Roman"/>
          <w:bCs/>
          <w:szCs w:val="24"/>
        </w:rPr>
        <w:t xml:space="preserve">, plaintiff </w:t>
      </w:r>
      <w:r w:rsidR="000E6093">
        <w:rPr>
          <w:rFonts w:cs="Times New Roman"/>
          <w:bCs/>
          <w:szCs w:val="24"/>
        </w:rPr>
        <w:lastRenderedPageBreak/>
        <w:t xml:space="preserve">suffered more than de </w:t>
      </w:r>
      <w:proofErr w:type="spellStart"/>
      <w:r w:rsidR="000E6093">
        <w:rPr>
          <w:rFonts w:cs="Times New Roman"/>
          <w:bCs/>
          <w:szCs w:val="24"/>
        </w:rPr>
        <w:t>minimis</w:t>
      </w:r>
      <w:proofErr w:type="spellEnd"/>
      <w:r w:rsidR="000E6093">
        <w:rPr>
          <w:rFonts w:cs="Times New Roman"/>
          <w:bCs/>
          <w:szCs w:val="24"/>
        </w:rPr>
        <w:t xml:space="preserve"> harm to future employment prospects from a negative reference when applying at the United States Attorney’s Office</w:t>
      </w:r>
      <w:r w:rsidR="00FA1503">
        <w:rPr>
          <w:rFonts w:cs="Times New Roman"/>
          <w:bCs/>
          <w:szCs w:val="24"/>
        </w:rPr>
        <w:t xml:space="preserve"> because</w:t>
      </w:r>
      <w:r w:rsidR="000E6093">
        <w:rPr>
          <w:rFonts w:cs="Times New Roman"/>
          <w:bCs/>
          <w:szCs w:val="24"/>
        </w:rPr>
        <w:t xml:space="preserve"> </w:t>
      </w:r>
      <w:r w:rsidR="00FA1503">
        <w:rPr>
          <w:rFonts w:cs="Times New Roman"/>
          <w:bCs/>
          <w:szCs w:val="24"/>
        </w:rPr>
        <w:t>t</w:t>
      </w:r>
      <w:r w:rsidR="000E6093">
        <w:rPr>
          <w:rFonts w:cs="Times New Roman"/>
          <w:bCs/>
          <w:szCs w:val="24"/>
        </w:rPr>
        <w:t xml:space="preserve">he hiring authority at the Department of Justice testified that applicants with negative references would not be hired. </w:t>
      </w:r>
      <w:r w:rsidR="00BE000A">
        <w:rPr>
          <w:rFonts w:cs="Times New Roman"/>
          <w:bCs/>
          <w:i/>
          <w:szCs w:val="24"/>
        </w:rPr>
        <w:t>Id.</w:t>
      </w:r>
      <w:r w:rsidR="00BE000A">
        <w:rPr>
          <w:rFonts w:cs="Times New Roman"/>
          <w:bCs/>
          <w:szCs w:val="24"/>
        </w:rPr>
        <w:t xml:space="preserve"> </w:t>
      </w:r>
      <w:commentRangeStart w:id="19"/>
      <w:r w:rsidR="000E6093" w:rsidRPr="00EE22CB">
        <w:rPr>
          <w:rFonts w:cs="Times New Roman"/>
          <w:bCs/>
          <w:szCs w:val="24"/>
        </w:rPr>
        <w:t>Here, Mr. Hernandez received a negative reference which affected his future employment at EB</w:t>
      </w:r>
      <w:r w:rsidR="00BE000A" w:rsidRPr="00EE22CB">
        <w:rPr>
          <w:rFonts w:cs="Times New Roman"/>
          <w:bCs/>
          <w:szCs w:val="24"/>
        </w:rPr>
        <w:t>S</w:t>
      </w:r>
      <w:r w:rsidR="006F774E" w:rsidRPr="00EE22CB">
        <w:rPr>
          <w:rFonts w:cs="Times New Roman"/>
          <w:bCs/>
          <w:szCs w:val="24"/>
        </w:rPr>
        <w:t xml:space="preserve">, as </w:t>
      </w:r>
      <w:r w:rsidR="007C14CA" w:rsidRPr="00EE22CB">
        <w:rPr>
          <w:rFonts w:cs="Times New Roman"/>
          <w:bCs/>
          <w:szCs w:val="24"/>
        </w:rPr>
        <w:t xml:space="preserve">EBS </w:t>
      </w:r>
      <w:r w:rsidR="00EE22CB" w:rsidRPr="00EE22CB">
        <w:rPr>
          <w:rFonts w:cs="Times New Roman"/>
          <w:bCs/>
          <w:szCs w:val="24"/>
        </w:rPr>
        <w:t xml:space="preserve">may </w:t>
      </w:r>
      <w:r w:rsidR="007C14CA" w:rsidRPr="00EE22CB">
        <w:rPr>
          <w:rFonts w:cs="Times New Roman"/>
          <w:bCs/>
          <w:szCs w:val="24"/>
        </w:rPr>
        <w:t xml:space="preserve">have extended an offer to Mr. Hernandez because </w:t>
      </w:r>
      <w:r w:rsidR="006F774E" w:rsidRPr="00EE22CB">
        <w:rPr>
          <w:rFonts w:cs="Times New Roman"/>
          <w:bCs/>
          <w:szCs w:val="24"/>
        </w:rPr>
        <w:t>his strong analytical abilities</w:t>
      </w:r>
      <w:r w:rsidR="007C14CA" w:rsidRPr="00EE22CB">
        <w:rPr>
          <w:rFonts w:cs="Times New Roman"/>
          <w:bCs/>
          <w:szCs w:val="24"/>
        </w:rPr>
        <w:t xml:space="preserve"> despite his lack of international experience</w:t>
      </w:r>
      <w:r w:rsidR="00EE22CB" w:rsidRPr="00EE22CB">
        <w:rPr>
          <w:rFonts w:cs="Times New Roman"/>
          <w:bCs/>
          <w:szCs w:val="24"/>
        </w:rPr>
        <w:t xml:space="preserve"> if no negative reference had been given</w:t>
      </w:r>
      <w:r w:rsidR="000E6093" w:rsidRPr="00EE22CB">
        <w:rPr>
          <w:rFonts w:cs="Times New Roman"/>
          <w:bCs/>
          <w:szCs w:val="24"/>
        </w:rPr>
        <w:t>.</w:t>
      </w:r>
      <w:r w:rsidR="000E6093">
        <w:rPr>
          <w:rFonts w:cs="Times New Roman"/>
          <w:bCs/>
          <w:szCs w:val="24"/>
        </w:rPr>
        <w:t xml:space="preserve"> </w:t>
      </w:r>
      <w:commentRangeEnd w:id="19"/>
      <w:r w:rsidR="00EE22CB">
        <w:rPr>
          <w:rStyle w:val="CommentReference"/>
        </w:rPr>
        <w:commentReference w:id="19"/>
      </w:r>
    </w:p>
    <w:p w14:paraId="73442F70" w14:textId="225BC1E9" w:rsidR="00157746" w:rsidRDefault="006B2DA6" w:rsidP="001D02BD">
      <w:pPr>
        <w:pStyle w:val="Heading3"/>
        <w:numPr>
          <w:ilvl w:val="0"/>
          <w:numId w:val="9"/>
        </w:numPr>
        <w:ind w:left="1440" w:hanging="720"/>
      </w:pPr>
      <w:bookmarkStart w:id="20" w:name="_Toc509071347"/>
      <w:r>
        <w:t>The Termination and Negative Reference</w:t>
      </w:r>
      <w:r w:rsidR="00D03066">
        <w:t xml:space="preserve"> Have a </w:t>
      </w:r>
      <w:r w:rsidR="00157746">
        <w:t>Causal Connection</w:t>
      </w:r>
      <w:r w:rsidR="00D03066">
        <w:t xml:space="preserve"> to the EEOC Filing Because the Termination Occurred Two Weeks </w:t>
      </w:r>
      <w:r w:rsidR="00C036E3">
        <w:t>A</w:t>
      </w:r>
      <w:commentRangeStart w:id="21"/>
      <w:r w:rsidR="00C036E3">
        <w:t>fter, and the Negative Reference Occurred</w:t>
      </w:r>
      <w:r w:rsidR="00875FF6">
        <w:t xml:space="preserve"> Three Months Later and is Supported by </w:t>
      </w:r>
      <w:r w:rsidR="005D2772">
        <w:t>Inconsistent Behavior</w:t>
      </w:r>
      <w:r w:rsidR="00684505">
        <w:t xml:space="preserve"> from SSS. </w:t>
      </w:r>
      <w:commentRangeEnd w:id="21"/>
      <w:r w:rsidR="00684505">
        <w:rPr>
          <w:rStyle w:val="CommentReference"/>
          <w:rFonts w:eastAsiaTheme="minorHAnsi" w:cstheme="minorBidi"/>
          <w:color w:val="auto"/>
          <w:u w:val="none"/>
        </w:rPr>
        <w:commentReference w:id="21"/>
      </w:r>
      <w:bookmarkEnd w:id="20"/>
    </w:p>
    <w:p w14:paraId="117AE1AB" w14:textId="606E0487" w:rsidR="000E6093" w:rsidRDefault="000E6093" w:rsidP="000E6093">
      <w:r>
        <w:t xml:space="preserve">The third prong, requiring causal connection between a protected activity and adverse employment action, may be shown via evidence that justifies an inference of a retaliatory motive, such as temporal proximity. </w:t>
      </w:r>
      <w:r>
        <w:rPr>
          <w:i/>
        </w:rPr>
        <w:t>Proctor</w:t>
      </w:r>
      <w:r>
        <w:t>, 502 F.3d at 1208</w:t>
      </w:r>
      <w:r>
        <w:fldChar w:fldCharType="begin"/>
      </w:r>
      <w:r>
        <w:instrText xml:space="preserve"> TA \s "Proctor v. United Parcel Serv., 502 F.3d 1200, 1208 (10th Cir. 2007)" </w:instrText>
      </w:r>
      <w:r>
        <w:fldChar w:fldCharType="end"/>
      </w:r>
      <w:r>
        <w:t xml:space="preserve">. Closer temporal proximity may stand alone as a causal connection, but greater separation requires additional evidence to establish causation. </w:t>
      </w:r>
      <w:r w:rsidRPr="00A77224">
        <w:rPr>
          <w:i/>
        </w:rPr>
        <w:t>Ramirez v</w:t>
      </w:r>
      <w:r w:rsidRPr="00535160">
        <w:rPr>
          <w:rFonts w:cs="Times New Roman"/>
          <w:i/>
          <w:szCs w:val="24"/>
        </w:rPr>
        <w:t>. Oklahoma Dept. of Mental Health</w:t>
      </w:r>
      <w:r w:rsidRPr="00535160">
        <w:rPr>
          <w:rFonts w:cs="Times New Roman"/>
          <w:szCs w:val="24"/>
        </w:rPr>
        <w:t>, 41 F.3d 584, 596 (10th Cir.1994)</w:t>
      </w:r>
      <w:r w:rsidRPr="00535160">
        <w:rPr>
          <w:rFonts w:cs="Times New Roman"/>
          <w:i/>
          <w:szCs w:val="24"/>
        </w:rPr>
        <w:t xml:space="preserve"> </w:t>
      </w:r>
      <w:r w:rsidRPr="00535160">
        <w:rPr>
          <w:rFonts w:cs="Times New Roman"/>
          <w:szCs w:val="24"/>
        </w:rPr>
        <w:t>(stating that a one and one-half month period between protected activity and adverse action may, by itself, establish causation</w:t>
      </w:r>
      <w:r w:rsidR="009479B1" w:rsidRPr="00535160">
        <w:rPr>
          <w:rFonts w:cs="Times New Roman"/>
          <w:szCs w:val="24"/>
        </w:rPr>
        <w:t>)</w:t>
      </w:r>
      <w:r w:rsidR="00750BFF">
        <w:rPr>
          <w:rFonts w:cs="Times New Roman"/>
          <w:szCs w:val="24"/>
        </w:rPr>
        <w:t xml:space="preserve"> </w:t>
      </w:r>
      <w:r w:rsidR="00750BFF" w:rsidRPr="00535160">
        <w:rPr>
          <w:rFonts w:cs="Times New Roman"/>
          <w:szCs w:val="24"/>
        </w:rPr>
        <w:t xml:space="preserve">overruled on other grounds by </w:t>
      </w:r>
      <w:r w:rsidR="00750BFF" w:rsidRPr="00535160">
        <w:rPr>
          <w:rFonts w:cs="Times New Roman"/>
          <w:i/>
          <w:szCs w:val="24"/>
        </w:rPr>
        <w:t>Ellis v. University of Kansas Medical Center</w:t>
      </w:r>
      <w:r w:rsidR="00750BFF" w:rsidRPr="00535160">
        <w:rPr>
          <w:rFonts w:cs="Times New Roman"/>
          <w:szCs w:val="24"/>
        </w:rPr>
        <w:t>, 163 F.3d 1186, 1194 – 97 (10th Cir. 1998)</w:t>
      </w:r>
      <w:r w:rsidR="00330BE8" w:rsidRPr="00535160">
        <w:rPr>
          <w:rFonts w:cs="Times New Roman"/>
          <w:szCs w:val="24"/>
        </w:rPr>
        <w:t>;</w:t>
      </w:r>
      <w:r w:rsidRPr="00535160">
        <w:rPr>
          <w:rFonts w:cs="Times New Roman"/>
          <w:szCs w:val="24"/>
        </w:rPr>
        <w:t xml:space="preserve"> </w:t>
      </w:r>
      <w:r w:rsidR="00330BE8" w:rsidRPr="00535160">
        <w:rPr>
          <w:rStyle w:val="Emphasis"/>
          <w:rFonts w:cs="Times New Roman"/>
          <w:szCs w:val="24"/>
        </w:rPr>
        <w:t>Richmond v. ONEOK, Inc.,</w:t>
      </w:r>
      <w:r w:rsidR="00330BE8" w:rsidRPr="00535160">
        <w:rPr>
          <w:rFonts w:cs="Times New Roman"/>
          <w:szCs w:val="24"/>
        </w:rPr>
        <w:t> 120 F.3d 205, 209 (10th Cir.1997)</w:t>
      </w:r>
      <w:r w:rsidR="00330BE8" w:rsidRPr="00535160">
        <w:rPr>
          <w:rFonts w:cs="Times New Roman"/>
          <w:color w:val="212121"/>
          <w:szCs w:val="24"/>
        </w:rPr>
        <w:t> (</w:t>
      </w:r>
      <w:r w:rsidR="00292753">
        <w:rPr>
          <w:rFonts w:cs="Times New Roman"/>
          <w:color w:val="212121"/>
          <w:szCs w:val="24"/>
        </w:rPr>
        <w:t xml:space="preserve">ruling that a </w:t>
      </w:r>
      <w:r w:rsidR="00330BE8" w:rsidRPr="00535160">
        <w:rPr>
          <w:rStyle w:val="cohl"/>
          <w:rFonts w:cs="Times New Roman"/>
          <w:color w:val="212121"/>
          <w:szCs w:val="24"/>
        </w:rPr>
        <w:t>three-month period, standing alone, is insufficient to establish causation</w:t>
      </w:r>
      <w:r w:rsidR="00330BE8" w:rsidRPr="00535160">
        <w:rPr>
          <w:rFonts w:cs="Times New Roman"/>
          <w:color w:val="212121"/>
          <w:szCs w:val="24"/>
        </w:rPr>
        <w:t>)</w:t>
      </w:r>
      <w:r w:rsidR="00535160">
        <w:rPr>
          <w:rFonts w:cs="Times New Roman"/>
          <w:color w:val="212121"/>
          <w:szCs w:val="24"/>
        </w:rPr>
        <w:t>;</w:t>
      </w:r>
      <w:r w:rsidR="00330BE8" w:rsidRPr="00535160">
        <w:rPr>
          <w:rFonts w:cs="Times New Roman"/>
          <w:color w:val="212121"/>
          <w:szCs w:val="24"/>
        </w:rPr>
        <w:t xml:space="preserve"> </w:t>
      </w:r>
      <w:r w:rsidRPr="00535160">
        <w:rPr>
          <w:rFonts w:cs="Times New Roman"/>
          <w:i/>
          <w:szCs w:val="24"/>
        </w:rPr>
        <w:t>Proctor</w:t>
      </w:r>
      <w:r w:rsidRPr="00535160">
        <w:rPr>
          <w:rFonts w:cs="Times New Roman"/>
          <w:szCs w:val="24"/>
        </w:rPr>
        <w:t>, 502 F.3d at 1208</w:t>
      </w:r>
      <w:r w:rsidRPr="00535160">
        <w:rPr>
          <w:rFonts w:cs="Times New Roman"/>
          <w:szCs w:val="24"/>
        </w:rPr>
        <w:fldChar w:fldCharType="begin"/>
      </w:r>
      <w:r w:rsidRPr="00535160">
        <w:rPr>
          <w:rFonts w:cs="Times New Roman"/>
          <w:szCs w:val="24"/>
        </w:rPr>
        <w:instrText xml:space="preserve"> TA \s "Proctor v. United Parcel Serv., 502 F.3d 1200, 1208 (10th Cir. 2007)" </w:instrText>
      </w:r>
      <w:r w:rsidRPr="00535160">
        <w:rPr>
          <w:rFonts w:cs="Times New Roman"/>
          <w:szCs w:val="24"/>
        </w:rPr>
        <w:fldChar w:fldCharType="end"/>
      </w:r>
      <w:r w:rsidRPr="00535160">
        <w:rPr>
          <w:rFonts w:cs="Times New Roman"/>
          <w:szCs w:val="24"/>
        </w:rPr>
        <w:t xml:space="preserve"> (holding that “four months is too large a time gap to establish a causal connection”)</w:t>
      </w:r>
      <w:r w:rsidR="00707ADF" w:rsidRPr="00535160">
        <w:rPr>
          <w:rFonts w:cs="Times New Roman"/>
          <w:szCs w:val="24"/>
        </w:rPr>
        <w:t xml:space="preserve">; </w:t>
      </w:r>
      <w:r w:rsidR="00707ADF" w:rsidRPr="00B14DEB">
        <w:rPr>
          <w:rFonts w:eastAsia="Times New Roman" w:cs="Times New Roman"/>
          <w:i/>
          <w:color w:val="000000"/>
          <w:szCs w:val="24"/>
        </w:rPr>
        <w:t>Argo v. Blue Cross &amp; Blue Shield of Kansas, Inc.</w:t>
      </w:r>
      <w:r w:rsidR="00707ADF" w:rsidRPr="00B14DEB">
        <w:rPr>
          <w:rFonts w:eastAsia="Times New Roman" w:cs="Times New Roman"/>
          <w:color w:val="000000"/>
          <w:szCs w:val="24"/>
        </w:rPr>
        <w:t>, 452 F.3d 1193, 1202 (10th Cir. 2006)</w:t>
      </w:r>
      <w:r w:rsidR="00707ADF">
        <w:rPr>
          <w:rFonts w:eastAsia="Times New Roman" w:cs="Times New Roman"/>
          <w:color w:val="000000"/>
          <w:szCs w:val="24"/>
        </w:rPr>
        <w:t xml:space="preserve"> (holding that twenty-four days was enough to</w:t>
      </w:r>
      <w:r w:rsidR="00461D61">
        <w:rPr>
          <w:rFonts w:eastAsia="Times New Roman" w:cs="Times New Roman"/>
          <w:color w:val="000000"/>
          <w:szCs w:val="24"/>
        </w:rPr>
        <w:t xml:space="preserve"> allow an inference of causal connection)</w:t>
      </w:r>
      <w:r>
        <w:t xml:space="preserve">. Evidence proffered to strengthen causal connection over longer periods may </w:t>
      </w:r>
      <w:r>
        <w:lastRenderedPageBreak/>
        <w:t xml:space="preserve">also be used to establish that the defendant’s reasons for adverse action are pretext. </w:t>
      </w:r>
      <w:r w:rsidR="00B92660">
        <w:rPr>
          <w:i/>
        </w:rPr>
        <w:t xml:space="preserve">See </w:t>
      </w:r>
      <w:r>
        <w:rPr>
          <w:i/>
        </w:rPr>
        <w:t>Proctor</w:t>
      </w:r>
      <w:r>
        <w:t>, 502 F.3d at 1209</w:t>
      </w:r>
      <w:r>
        <w:fldChar w:fldCharType="begin"/>
      </w:r>
      <w:r>
        <w:instrText xml:space="preserve"> TA \s "Proctor v. United Parcel Serv., 502 F.3d 1200, 1208 (10th Cir. 2007)" </w:instrText>
      </w:r>
      <w:r>
        <w:fldChar w:fldCharType="end"/>
      </w:r>
      <w:r w:rsidR="001369C2">
        <w:t>;</w:t>
      </w:r>
      <w:r w:rsidR="004A0D79" w:rsidRPr="004A0D79">
        <w:rPr>
          <w:i/>
        </w:rPr>
        <w:t xml:space="preserve"> Wells v. Colo. Dep't of Transp.</w:t>
      </w:r>
      <w:r w:rsidR="004A0D79" w:rsidRPr="004A0D79">
        <w:t>, 325 F.3d 1205, 1218 (10th Cir.2003) (considering evidence of pretext in analyzing the causation element of a prima facie case of retaliation under Title VII).</w:t>
      </w:r>
    </w:p>
    <w:p w14:paraId="2ADCDFFF" w14:textId="39B0AE43" w:rsidR="007C6975" w:rsidRPr="000E6093" w:rsidRDefault="007C6975" w:rsidP="000E6093">
      <w:r>
        <w:t xml:space="preserve">In </w:t>
      </w:r>
      <w:r w:rsidRPr="006B46D9">
        <w:rPr>
          <w:i/>
        </w:rPr>
        <w:t>Ramirez v. Oklahoma Dep't of Mental Health</w:t>
      </w:r>
      <w:r w:rsidRPr="006B46D9">
        <w:t>, 41 F.3d 584, 596 (10th Cir. 1994)</w:t>
      </w:r>
      <w:r>
        <w:t>,</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a period of one and one half months between the protected activity and adverse employment action was enough to show causation. </w:t>
      </w:r>
      <w:r w:rsidR="000E0727" w:rsidRPr="00BD48A9">
        <w:rPr>
          <w:rFonts w:eastAsia="Times New Roman" w:cs="Times New Roman"/>
          <w:color w:val="000000"/>
          <w:szCs w:val="24"/>
          <w:shd w:val="clear" w:color="auto" w:fill="FFFFFF"/>
        </w:rPr>
        <w:t xml:space="preserve">In </w:t>
      </w:r>
      <w:r w:rsidR="000E0727" w:rsidRPr="00B14DEB">
        <w:rPr>
          <w:rFonts w:eastAsia="Times New Roman" w:cs="Times New Roman"/>
          <w:i/>
          <w:color w:val="000000"/>
          <w:szCs w:val="24"/>
        </w:rPr>
        <w:t>Argo v. Blue Cross &amp; Blue Shield of Kansas, Inc.</w:t>
      </w:r>
      <w:r w:rsidR="000E0727" w:rsidRPr="00B14DEB">
        <w:rPr>
          <w:rFonts w:eastAsia="Times New Roman" w:cs="Times New Roman"/>
          <w:color w:val="000000"/>
          <w:szCs w:val="24"/>
        </w:rPr>
        <w:t>, 452 F.3d 1193, 1202 (10th Cir. 2006)</w:t>
      </w:r>
      <w:r w:rsidR="000E0727">
        <w:rPr>
          <w:rFonts w:eastAsia="Times New Roman" w:cs="Times New Roman"/>
          <w:color w:val="000000"/>
          <w:szCs w:val="24"/>
        </w:rPr>
        <w:t xml:space="preserve">, twenty-four days was enough to establish that a causal connection may exist. </w:t>
      </w:r>
      <w:r>
        <w:t>Here only two weeks passed from the time of filing to Mr. Hernandez’s termination on January 24, 2017 showing a causal connection between the two events</w:t>
      </w:r>
      <w:r w:rsidRPr="00BD48A9">
        <w:rPr>
          <w:rFonts w:cs="Times New Roman"/>
          <w:szCs w:val="24"/>
        </w:rPr>
        <w:t>.</w:t>
      </w:r>
      <w:r w:rsidR="009A50E7" w:rsidRPr="00BD48A9">
        <w:rPr>
          <w:rFonts w:cs="Times New Roman"/>
          <w:szCs w:val="24"/>
        </w:rPr>
        <w:t xml:space="preserve"> </w:t>
      </w:r>
      <w:r w:rsidR="0025173B">
        <w:rPr>
          <w:rFonts w:cs="Times New Roman"/>
          <w:szCs w:val="24"/>
        </w:rPr>
        <w:t xml:space="preserve">In </w:t>
      </w:r>
      <w:r w:rsidR="0025173B" w:rsidRPr="004226CD">
        <w:rPr>
          <w:i/>
        </w:rPr>
        <w:t>Proctor v. United Parcel Serv.</w:t>
      </w:r>
      <w:r w:rsidR="0025173B" w:rsidRPr="004226CD">
        <w:t xml:space="preserve">, 502 F.3d 1200, </w:t>
      </w:r>
      <w:r w:rsidR="0025173B">
        <w:t>120</w:t>
      </w:r>
      <w:r w:rsidR="00A31A83">
        <w:t>9</w:t>
      </w:r>
      <w:r w:rsidR="0025173B" w:rsidRPr="004226CD">
        <w:t xml:space="preserve"> (10th Cir. 2007)</w:t>
      </w:r>
      <w:r w:rsidR="0025173B">
        <w:t xml:space="preserve">, </w:t>
      </w:r>
      <w:r w:rsidR="00277A0E">
        <w:t>four months had passed between the protected action and adverse action</w:t>
      </w:r>
      <w:r w:rsidR="00A31A83">
        <w:t xml:space="preserve"> </w:t>
      </w:r>
      <w:r w:rsidR="00C41510">
        <w:t xml:space="preserve">and plaintiff </w:t>
      </w:r>
      <w:proofErr w:type="gramStart"/>
      <w:r w:rsidR="00C41510">
        <w:t>was allowed to</w:t>
      </w:r>
      <w:proofErr w:type="gramEnd"/>
      <w:r w:rsidR="00C41510">
        <w:t xml:space="preserve"> present additional evidence to support the causal connection.</w:t>
      </w:r>
      <w:r w:rsidR="00D9664D">
        <w:t xml:space="preserve"> </w:t>
      </w:r>
      <w:r w:rsidR="00C41510">
        <w:t>Here</w:t>
      </w:r>
      <w:commentRangeStart w:id="22"/>
      <w:r w:rsidR="008626A3">
        <w:rPr>
          <w:rFonts w:cs="Times New Roman"/>
          <w:szCs w:val="24"/>
        </w:rPr>
        <w:t xml:space="preserve">, </w:t>
      </w:r>
      <w:r w:rsidR="008002E3">
        <w:rPr>
          <w:rFonts w:cs="Times New Roman"/>
          <w:szCs w:val="24"/>
        </w:rPr>
        <w:t xml:space="preserve">the </w:t>
      </w:r>
      <w:r w:rsidR="00F306CC">
        <w:rPr>
          <w:rFonts w:cs="Times New Roman"/>
          <w:szCs w:val="24"/>
        </w:rPr>
        <w:t>three</w:t>
      </w:r>
      <w:r w:rsidR="00D9664D">
        <w:rPr>
          <w:rFonts w:cs="Times New Roman"/>
          <w:szCs w:val="24"/>
        </w:rPr>
        <w:t xml:space="preserve"> </w:t>
      </w:r>
      <w:r w:rsidR="00F306CC">
        <w:rPr>
          <w:rFonts w:cs="Times New Roman"/>
          <w:szCs w:val="24"/>
        </w:rPr>
        <w:t>month</w:t>
      </w:r>
      <w:r w:rsidR="00D9664D">
        <w:rPr>
          <w:rFonts w:cs="Times New Roman"/>
          <w:szCs w:val="24"/>
        </w:rPr>
        <w:t xml:space="preserve">s </w:t>
      </w:r>
      <w:r w:rsidR="008002E3">
        <w:rPr>
          <w:rFonts w:cs="Times New Roman"/>
          <w:szCs w:val="24"/>
        </w:rPr>
        <w:t xml:space="preserve">that </w:t>
      </w:r>
      <w:r w:rsidR="00D9664D">
        <w:rPr>
          <w:rFonts w:cs="Times New Roman"/>
          <w:szCs w:val="24"/>
        </w:rPr>
        <w:t>passed</w:t>
      </w:r>
      <w:r w:rsidR="00E70B74">
        <w:rPr>
          <w:rFonts w:cs="Times New Roman"/>
          <w:szCs w:val="24"/>
        </w:rPr>
        <w:t xml:space="preserve"> between Mr. Hernandez’s EEOC filing and the negative reference </w:t>
      </w:r>
      <w:r w:rsidR="009D3C42">
        <w:rPr>
          <w:rFonts w:cs="Times New Roman"/>
          <w:szCs w:val="24"/>
        </w:rPr>
        <w:t>alone may</w:t>
      </w:r>
      <w:r w:rsidR="00DE6FF0">
        <w:rPr>
          <w:rFonts w:cs="Times New Roman"/>
          <w:szCs w:val="24"/>
        </w:rPr>
        <w:t xml:space="preserve"> not establish a causal connection</w:t>
      </w:r>
      <w:r w:rsidR="00191EE2">
        <w:rPr>
          <w:rFonts w:cs="Times New Roman"/>
          <w:szCs w:val="24"/>
        </w:rPr>
        <w:t xml:space="preserve">, </w:t>
      </w:r>
      <w:r w:rsidR="009D3C42">
        <w:rPr>
          <w:rFonts w:cs="Times New Roman"/>
          <w:szCs w:val="24"/>
        </w:rPr>
        <w:t>however</w:t>
      </w:r>
      <w:r w:rsidR="00191EE2">
        <w:rPr>
          <w:rFonts w:cs="Times New Roman"/>
          <w:szCs w:val="24"/>
        </w:rPr>
        <w:t xml:space="preserve"> </w:t>
      </w:r>
      <w:r w:rsidR="00AE6DD4">
        <w:rPr>
          <w:rFonts w:cs="Times New Roman"/>
          <w:szCs w:val="24"/>
        </w:rPr>
        <w:t xml:space="preserve">evidence offered </w:t>
      </w:r>
      <w:r w:rsidR="00F306CC">
        <w:rPr>
          <w:rFonts w:cs="Times New Roman"/>
          <w:szCs w:val="24"/>
        </w:rPr>
        <w:t xml:space="preserve">below </w:t>
      </w:r>
      <w:r w:rsidR="00AE6DD4">
        <w:rPr>
          <w:rFonts w:cs="Times New Roman"/>
          <w:szCs w:val="24"/>
        </w:rPr>
        <w:t>show</w:t>
      </w:r>
      <w:r w:rsidR="006A6D75">
        <w:rPr>
          <w:rFonts w:cs="Times New Roman"/>
          <w:szCs w:val="24"/>
        </w:rPr>
        <w:t>s</w:t>
      </w:r>
      <w:r w:rsidR="00AE6DD4">
        <w:rPr>
          <w:rFonts w:cs="Times New Roman"/>
          <w:szCs w:val="24"/>
        </w:rPr>
        <w:t xml:space="preserve"> </w:t>
      </w:r>
      <w:r w:rsidR="00326148">
        <w:rPr>
          <w:rFonts w:cs="Times New Roman"/>
          <w:szCs w:val="24"/>
        </w:rPr>
        <w:t>SSS’s reasons for termination</w:t>
      </w:r>
      <w:r w:rsidR="00E20F83">
        <w:rPr>
          <w:rFonts w:cs="Times New Roman"/>
          <w:szCs w:val="24"/>
        </w:rPr>
        <w:t xml:space="preserve"> are pretext </w:t>
      </w:r>
      <w:r w:rsidR="006A6D75">
        <w:rPr>
          <w:rFonts w:cs="Times New Roman"/>
          <w:szCs w:val="24"/>
        </w:rPr>
        <w:t xml:space="preserve">and </w:t>
      </w:r>
      <w:r w:rsidR="00F306CC">
        <w:rPr>
          <w:rFonts w:cs="Times New Roman"/>
          <w:szCs w:val="24"/>
        </w:rPr>
        <w:t xml:space="preserve">strengthen the connection. </w:t>
      </w:r>
      <w:commentRangeEnd w:id="22"/>
      <w:r w:rsidR="00E2794F">
        <w:rPr>
          <w:rStyle w:val="CommentReference"/>
        </w:rPr>
        <w:commentReference w:id="22"/>
      </w:r>
    </w:p>
    <w:p w14:paraId="7CD5699D" w14:textId="7EF2C72D" w:rsidR="00157746" w:rsidRPr="00C30290" w:rsidRDefault="00917E00" w:rsidP="001D02BD">
      <w:pPr>
        <w:pStyle w:val="Heading3"/>
        <w:numPr>
          <w:ilvl w:val="0"/>
          <w:numId w:val="9"/>
        </w:numPr>
        <w:ind w:left="1440" w:hanging="720"/>
      </w:pPr>
      <w:bookmarkStart w:id="23" w:name="_Toc509071348"/>
      <w:r>
        <w:t xml:space="preserve">SSS’s Reasons for </w:t>
      </w:r>
      <w:r w:rsidR="00CD5FA6">
        <w:t xml:space="preserve">Termination and the Negative Reference are Pretext Because </w:t>
      </w:r>
      <w:r w:rsidR="00417B46">
        <w:t>They are Inconsistent and Do Not Suggest SSS Followed Policy, Thus Strengthening the Causal Connection Between the Protected Activity and Adverse Action.</w:t>
      </w:r>
      <w:bookmarkEnd w:id="23"/>
    </w:p>
    <w:p w14:paraId="6A829DCF" w14:textId="78BEC51C" w:rsidR="008077C6" w:rsidRPr="000E6093" w:rsidRDefault="00F35648" w:rsidP="000E6093">
      <w:pPr>
        <w:rPr>
          <w:i/>
        </w:rPr>
      </w:pPr>
      <w:r>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w:t>
      </w:r>
      <w:r w:rsidR="00974DAF">
        <w:lastRenderedPageBreak/>
        <w:t xml:space="preserve">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employer had issued warnings about the consequences of poor attendance both before and after plaintiff filed the charge of discrimination). </w:t>
      </w:r>
      <w:r w:rsidR="00813B79">
        <w:t xml:space="preserve">Pretext </w:t>
      </w:r>
      <w:r w:rsidR="00921B3B">
        <w:t xml:space="preserve">is established by evidence showing </w:t>
      </w:r>
      <w:r w:rsidR="00627F16" w:rsidRPr="00627F16">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108 F.3d 1319, 1324 (10th Cir. 1997)" </w:instrText>
      </w:r>
      <w:r w:rsidR="00DB46AA">
        <w:fldChar w:fldCharType="end"/>
      </w:r>
      <w:r w:rsidR="005B5916">
        <w:t xml:space="preserve">. The inquiry is not whether the 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6DDF200F" w14:textId="2A7C1351" w:rsidR="0067582C" w:rsidRPr="00F82A5F" w:rsidRDefault="00D36ACE" w:rsidP="0067582C">
      <w:pPr>
        <w:rPr>
          <w:rFonts w:cs="Times New Roman"/>
          <w:color w:val="000000"/>
        </w:rPr>
      </w:pPr>
      <w:r>
        <w:t>T</w:t>
      </w:r>
      <w:r w:rsidR="000749B4">
        <w:t xml:space="preserve">o </w:t>
      </w:r>
      <w:r w:rsidR="001075D4">
        <w:t xml:space="preserve">SSS </w:t>
      </w:r>
      <w:r w:rsidR="00E470BF">
        <w:t>alleges it</w:t>
      </w:r>
      <w:r w:rsidR="001075D4">
        <w:t xml:space="preserve"> terminat</w:t>
      </w:r>
      <w:r w:rsidR="00E470BF">
        <w:t>ed</w:t>
      </w:r>
      <w:r w:rsidR="001075D4">
        <w:t xml:space="preserve"> Mr. Hernandez </w:t>
      </w:r>
      <w:r w:rsidR="00E470BF">
        <w:t>because of</w:t>
      </w:r>
      <w:r w:rsidR="001075D4">
        <w:t xml:space="preserve"> </w:t>
      </w:r>
      <w:r w:rsidR="002A37B6">
        <w:t xml:space="preserve">missed work, </w:t>
      </w:r>
      <w:r w:rsidR="001075D4">
        <w:t xml:space="preserve">poor team relationships, </w:t>
      </w:r>
      <w:r w:rsidR="002A37B6">
        <w:t xml:space="preserve">missed deadlines. R. at 7. </w:t>
      </w:r>
      <w:r w:rsidR="00AF6C98">
        <w:t>However,</w:t>
      </w:r>
      <w:r w:rsidR="00F97DB5">
        <w:t xml:space="preserve"> these reasons </w:t>
      </w:r>
      <w:r w:rsidR="000727BD">
        <w:t>are</w:t>
      </w:r>
      <w:r w:rsidR="00F97DB5">
        <w:t xml:space="preserve"> pretextual</w:t>
      </w:r>
      <w:r w:rsidR="00546383">
        <w:t>.</w:t>
      </w:r>
      <w:r w:rsidR="006C227C">
        <w:t xml:space="preserve"> </w:t>
      </w:r>
      <w:r w:rsidR="00EA5713">
        <w:t xml:space="preserve">In </w:t>
      </w:r>
      <w:r w:rsidR="00EA5713" w:rsidRPr="006355E2">
        <w:rPr>
          <w:i/>
          <w:noProof/>
        </w:rPr>
        <w:t>Morgan v. Hilti, Inc.</w:t>
      </w:r>
      <w:r w:rsidR="00EA5713">
        <w:rPr>
          <w:noProof/>
        </w:rPr>
        <w:t>, 108 F.3d 1319, 1324 (10th Cir. 1997)</w:t>
      </w:r>
      <w:r w:rsidR="00AE39F9">
        <w:rPr>
          <w:noProof/>
        </w:rPr>
        <w:t xml:space="preserve"> </w:t>
      </w:r>
      <w:r w:rsidR="00E42E42">
        <w:rPr>
          <w:noProof/>
        </w:rPr>
        <w:t>an employer’s reason for termination was noted to be non-pretextual because</w:t>
      </w:r>
      <w:r w:rsidR="00234830">
        <w:rPr>
          <w:noProof/>
        </w:rPr>
        <w:t xml:space="preserve"> </w:t>
      </w:r>
      <w:r w:rsidR="00A600AA">
        <w:rPr>
          <w:noProof/>
        </w:rPr>
        <w:t xml:space="preserve">there had been oral and written warnings about the consequences </w:t>
      </w:r>
      <w:r w:rsidR="00A56F21">
        <w:rPr>
          <w:noProof/>
        </w:rPr>
        <w:t>of absentism</w:t>
      </w:r>
      <w:r w:rsidR="00F7124D">
        <w:rPr>
          <w:noProof/>
        </w:rPr>
        <w:t>, showing a</w:t>
      </w:r>
      <w:r w:rsidR="00F6175A">
        <w:rPr>
          <w:noProof/>
        </w:rPr>
        <w:t>n extended and</w:t>
      </w:r>
      <w:r w:rsidR="00F7124D">
        <w:rPr>
          <w:noProof/>
        </w:rPr>
        <w:t xml:space="preserve"> detailed discplinary </w:t>
      </w:r>
      <w:r w:rsidR="00165EB9">
        <w:rPr>
          <w:noProof/>
        </w:rPr>
        <w:t>process</w:t>
      </w:r>
      <w:r w:rsidR="00B76E7E">
        <w:rPr>
          <w:noProof/>
        </w:rPr>
        <w:t xml:space="preserve">. </w:t>
      </w:r>
      <w:r w:rsidR="00E0300F" w:rsidRPr="00F82A5F">
        <w:rPr>
          <w:rFonts w:cs="Times New Roman"/>
          <w:noProof/>
        </w:rPr>
        <w:t xml:space="preserve">In </w:t>
      </w:r>
      <w:r w:rsidR="00E0300F" w:rsidRPr="00F82A5F">
        <w:rPr>
          <w:rFonts w:cs="Times New Roman"/>
          <w:i/>
          <w:color w:val="000000"/>
        </w:rPr>
        <w:t>Argo v. Blue Cross &amp; Blue Shield of Kansas, Inc.</w:t>
      </w:r>
      <w:r w:rsidR="00E0300F" w:rsidRPr="00F82A5F">
        <w:rPr>
          <w:rFonts w:cs="Times New Roman"/>
          <w:color w:val="000000"/>
        </w:rPr>
        <w:t xml:space="preserve">, 452 F.3d 1193, 1203 (10th Cir. 2006), </w:t>
      </w:r>
      <w:r w:rsidR="00E0300F">
        <w:rPr>
          <w:rFonts w:cs="Times New Roman"/>
          <w:color w:val="000000"/>
        </w:rPr>
        <w:t xml:space="preserve">the plaintiff’s performance had declined for nearly a year, and received repeated warnings about tardiness and failing to perform work. </w:t>
      </w:r>
      <w:r w:rsidR="00B76E7E">
        <w:rPr>
          <w:noProof/>
        </w:rPr>
        <w:t xml:space="preserve">Here, unlike </w:t>
      </w:r>
      <w:r w:rsidR="00E0300F">
        <w:rPr>
          <w:i/>
          <w:noProof/>
        </w:rPr>
        <w:t>Argo</w:t>
      </w:r>
      <w:r w:rsidR="006F4310">
        <w:rPr>
          <w:noProof/>
        </w:rPr>
        <w:t xml:space="preserve"> and </w:t>
      </w:r>
      <w:r w:rsidR="006F4310">
        <w:rPr>
          <w:i/>
          <w:noProof/>
        </w:rPr>
        <w:t>Morgan</w:t>
      </w:r>
      <w:r w:rsidR="00B76E7E">
        <w:rPr>
          <w:noProof/>
        </w:rPr>
        <w:t xml:space="preserve">, </w:t>
      </w:r>
      <w:r w:rsidR="00D73F63">
        <w:rPr>
          <w:noProof/>
        </w:rPr>
        <w:t xml:space="preserve">there </w:t>
      </w:r>
      <w:r w:rsidR="007574E0">
        <w:rPr>
          <w:noProof/>
        </w:rPr>
        <w:t>has been no formal disciplinary incidents at any time</w:t>
      </w:r>
      <w:r w:rsidR="008059F0">
        <w:rPr>
          <w:noProof/>
        </w:rPr>
        <w:t xml:space="preserve">. </w:t>
      </w:r>
      <w:r w:rsidR="006F4310">
        <w:rPr>
          <w:i/>
          <w:noProof/>
        </w:rPr>
        <w:t>Argo</w:t>
      </w:r>
      <w:r w:rsidR="006F4310">
        <w:rPr>
          <w:noProof/>
        </w:rPr>
        <w:t>,</w:t>
      </w:r>
      <w:r w:rsidR="006F4310" w:rsidRPr="00F82A5F">
        <w:rPr>
          <w:rFonts w:cs="Times New Roman"/>
          <w:color w:val="000000"/>
        </w:rPr>
        <w:t xml:space="preserve"> </w:t>
      </w:r>
      <w:r w:rsidR="00E0300F" w:rsidRPr="00F82A5F">
        <w:rPr>
          <w:rFonts w:cs="Times New Roman"/>
          <w:color w:val="000000"/>
        </w:rPr>
        <w:t xml:space="preserve">452 F.3d </w:t>
      </w:r>
      <w:r w:rsidR="00E0300F">
        <w:rPr>
          <w:rFonts w:cs="Times New Roman"/>
          <w:color w:val="000000"/>
        </w:rPr>
        <w:t>at 1203</w:t>
      </w:r>
      <w:r w:rsidR="007E2987">
        <w:rPr>
          <w:noProof/>
        </w:rPr>
        <w:t xml:space="preserve">; </w:t>
      </w:r>
      <w:r w:rsidR="006F4310" w:rsidRPr="006F4310">
        <w:rPr>
          <w:i/>
          <w:noProof/>
        </w:rPr>
        <w:t>Morgan</w:t>
      </w:r>
      <w:r w:rsidR="006F4310">
        <w:rPr>
          <w:noProof/>
        </w:rPr>
        <w:t xml:space="preserve">, </w:t>
      </w:r>
      <w:r w:rsidR="006F4310">
        <w:rPr>
          <w:noProof/>
        </w:rPr>
        <w:t xml:space="preserve">108 F.3d </w:t>
      </w:r>
      <w:r w:rsidR="006F4310">
        <w:rPr>
          <w:noProof/>
        </w:rPr>
        <w:t xml:space="preserve">at </w:t>
      </w:r>
      <w:r w:rsidR="00EA3D4B">
        <w:rPr>
          <w:noProof/>
        </w:rPr>
        <w:t>1324;</w:t>
      </w:r>
      <w:r w:rsidR="006F4310">
        <w:rPr>
          <w:noProof/>
        </w:rPr>
        <w:t xml:space="preserve"> </w:t>
      </w:r>
      <w:r w:rsidR="007E2987" w:rsidRPr="006F4310">
        <w:rPr>
          <w:noProof/>
        </w:rPr>
        <w:t>R</w:t>
      </w:r>
      <w:r w:rsidR="007E2987">
        <w:rPr>
          <w:noProof/>
        </w:rPr>
        <w:t>. at 13</w:t>
      </w:r>
      <w:r w:rsidR="00A956B8">
        <w:rPr>
          <w:noProof/>
        </w:rPr>
        <w:t>.</w:t>
      </w:r>
      <w:r w:rsidR="008059F0">
        <w:rPr>
          <w:noProof/>
        </w:rPr>
        <w:t xml:space="preserve"> Ms. Gryphon and Mr. Hernandez discuss</w:t>
      </w:r>
      <w:r w:rsidR="00444F27">
        <w:rPr>
          <w:noProof/>
        </w:rPr>
        <w:t>ed</w:t>
      </w:r>
      <w:r w:rsidR="001D18D1">
        <w:rPr>
          <w:noProof/>
        </w:rPr>
        <w:t xml:space="preserve"> his absences before his </w:t>
      </w:r>
      <w:r w:rsidR="0042443B">
        <w:rPr>
          <w:noProof/>
        </w:rPr>
        <w:t xml:space="preserve">EEOC filing, </w:t>
      </w:r>
      <w:r w:rsidR="00E93C8F">
        <w:rPr>
          <w:noProof/>
        </w:rPr>
        <w:t xml:space="preserve">but </w:t>
      </w:r>
      <w:r w:rsidR="0042443B">
        <w:rPr>
          <w:noProof/>
        </w:rPr>
        <w:t>there were no consequences</w:t>
      </w:r>
      <w:r w:rsidR="008059F0">
        <w:rPr>
          <w:noProof/>
        </w:rPr>
        <w:t xml:space="preserve"> </w:t>
      </w:r>
      <w:r w:rsidR="0042443B">
        <w:rPr>
          <w:noProof/>
        </w:rPr>
        <w:t xml:space="preserve">named for his behavior, </w:t>
      </w:r>
      <w:r w:rsidR="004119EB">
        <w:rPr>
          <w:noProof/>
        </w:rPr>
        <w:t xml:space="preserve">or formal written warnings, </w:t>
      </w:r>
      <w:r w:rsidR="00957703">
        <w:rPr>
          <w:noProof/>
        </w:rPr>
        <w:t xml:space="preserve">which would </w:t>
      </w:r>
      <w:r w:rsidR="004119EB">
        <w:rPr>
          <w:noProof/>
        </w:rPr>
        <w:t>show adhesion to policy</w:t>
      </w:r>
      <w:r w:rsidR="005E4967">
        <w:rPr>
          <w:noProof/>
        </w:rPr>
        <w:t xml:space="preserve"> and so the reasons for termination are pretextual.</w:t>
      </w:r>
      <w:r w:rsidR="007E2987">
        <w:rPr>
          <w:noProof/>
        </w:rPr>
        <w:t xml:space="preserve"> R. at 16.</w:t>
      </w:r>
      <w:r w:rsidR="00B427B5">
        <w:rPr>
          <w:noProof/>
        </w:rPr>
        <w:t xml:space="preserve"> </w:t>
      </w:r>
    </w:p>
    <w:p w14:paraId="5F2ECB58" w14:textId="77777777" w:rsidR="00494DB3" w:rsidRDefault="0067582C" w:rsidP="00024457">
      <w:r w:rsidRPr="00F82A5F">
        <w:rPr>
          <w:rFonts w:cs="Times New Roman"/>
          <w:noProof/>
        </w:rPr>
        <w:t xml:space="preserve"> </w:t>
      </w:r>
      <w:commentRangeStart w:id="24"/>
      <w:r w:rsidR="008921D4" w:rsidRPr="00F82A5F">
        <w:rPr>
          <w:rFonts w:cs="Times New Roman"/>
          <w:noProof/>
        </w:rPr>
        <w:t>In</w:t>
      </w:r>
      <w:r w:rsidR="008921D4" w:rsidRPr="00F82A5F">
        <w:rPr>
          <w:rFonts w:cs="Times New Roman"/>
          <w:i/>
          <w:noProof/>
        </w:rPr>
        <w:t xml:space="preserve"> </w:t>
      </w:r>
      <w:r w:rsidR="008921D4" w:rsidRPr="00F82A5F">
        <w:rPr>
          <w:rFonts w:cs="Times New Roman"/>
          <w:i/>
        </w:rPr>
        <w:t>Proctor v. United Parcel Serv.</w:t>
      </w:r>
      <w:r w:rsidR="008921D4" w:rsidRPr="00F82A5F">
        <w:rPr>
          <w:rFonts w:cs="Times New Roman"/>
        </w:rPr>
        <w:t xml:space="preserve">, 502 F.3d 1200, </w:t>
      </w:r>
      <w:r w:rsidR="008921D4" w:rsidRPr="00F82A5F">
        <w:rPr>
          <w:rFonts w:cs="Times New Roman"/>
        </w:rPr>
        <w:t>1211</w:t>
      </w:r>
      <w:r w:rsidR="008921D4" w:rsidRPr="004226CD">
        <w:t xml:space="preserve"> (10th Cir. 2007)</w:t>
      </w:r>
      <w:r w:rsidR="008921D4">
        <w:t xml:space="preserve">, </w:t>
      </w:r>
      <w:r w:rsidR="001B6DED">
        <w:t xml:space="preserve">the Court suggests that </w:t>
      </w:r>
      <w:r w:rsidR="0030224A">
        <w:t>a</w:t>
      </w:r>
      <w:r w:rsidR="001B6DED">
        <w:t xml:space="preserve"> non-uniformly implemented</w:t>
      </w:r>
      <w:r w:rsidR="003C26B4">
        <w:t xml:space="preserve"> </w:t>
      </w:r>
      <w:r w:rsidR="003C26B4">
        <w:t>termination</w:t>
      </w:r>
      <w:r w:rsidR="001B6DED">
        <w:t xml:space="preserve"> policy</w:t>
      </w:r>
      <w:r w:rsidR="003C26B4">
        <w:t xml:space="preserve"> would suggest pretext. </w:t>
      </w:r>
      <w:r w:rsidR="00BE35D2">
        <w:t xml:space="preserve">Here, Mr. </w:t>
      </w:r>
      <w:r w:rsidR="00BE35D2">
        <w:lastRenderedPageBreak/>
        <w:t>Hernandez has noticed</w:t>
      </w:r>
      <w:r w:rsidR="00E764CC">
        <w:t xml:space="preserve"> other employees have been </w:t>
      </w:r>
      <w:r w:rsidR="00115441">
        <w:t>allowed</w:t>
      </w:r>
      <w:r w:rsidR="00E764CC">
        <w:t xml:space="preserve"> to take time off for medical leave</w:t>
      </w:r>
      <w:r w:rsidR="0030224A">
        <w:t xml:space="preserve">, and he was not able to be granted a modified schedule. R. at 11. </w:t>
      </w:r>
      <w:commentRangeEnd w:id="24"/>
      <w:r w:rsidR="0030224A">
        <w:rPr>
          <w:rStyle w:val="CommentReference"/>
        </w:rPr>
        <w:commentReference w:id="24"/>
      </w:r>
      <w:r w:rsidR="007725E5" w:rsidRPr="00EA3D4B">
        <w:t>In</w:t>
      </w:r>
      <w:r w:rsidR="007725E5" w:rsidRPr="00806A72">
        <w:rPr>
          <w:i/>
        </w:rPr>
        <w:t xml:space="preserve"> </w:t>
      </w:r>
      <w:commentRangeStart w:id="25"/>
      <w:r w:rsidR="00806A72" w:rsidRPr="00806A72">
        <w:rPr>
          <w:i/>
        </w:rPr>
        <w:t xml:space="preserve">O'Neal v. Ferguson Const. Co., </w:t>
      </w:r>
      <w:r w:rsidR="00806A72" w:rsidRPr="00E806ED">
        <w:t>237 F.3d 1248, 1254 (10th Cir. 2001</w:t>
      </w:r>
      <w:commentRangeEnd w:id="25"/>
      <w:r w:rsidR="00806A72" w:rsidRPr="00E806ED">
        <w:rPr>
          <w:rStyle w:val="CommentReference"/>
        </w:rPr>
        <w:commentReference w:id="25"/>
      </w:r>
      <w:r w:rsidR="00806A72" w:rsidRPr="00E806ED">
        <w:t>)</w:t>
      </w:r>
      <w:r w:rsidR="00E806ED">
        <w:t>, the employer</w:t>
      </w:r>
      <w:r w:rsidR="00EA3D4B">
        <w:t>’s reason for adverse action was deem pretextual because it</w:t>
      </w:r>
      <w:r w:rsidR="000A649D">
        <w:t>,</w:t>
      </w:r>
      <w:r w:rsidR="00E806ED">
        <w:t xml:space="preserve"> claimed</w:t>
      </w:r>
      <w:r w:rsidR="005D75E6">
        <w:t xml:space="preserve"> less work was available for the </w:t>
      </w:r>
      <w:r w:rsidR="003C7280">
        <w:t>plaintiff</w:t>
      </w:r>
      <w:r w:rsidR="005D75E6">
        <w:t xml:space="preserve"> and so reduced the plaintiff’s hours, however,</w:t>
      </w:r>
      <w:r w:rsidR="00DF7C7F">
        <w:t xml:space="preserve"> other employees testified that other employees were not being sent home without work or having hours reduced</w:t>
      </w:r>
      <w:r w:rsidR="003C7280">
        <w:t xml:space="preserve">, and that other employees wanted the plaintiff’s </w:t>
      </w:r>
      <w:r w:rsidR="000A649D">
        <w:t>help</w:t>
      </w:r>
      <w:r w:rsidR="003C7280">
        <w:t>.</w:t>
      </w:r>
      <w:r w:rsidR="000A649D">
        <w:t xml:space="preserve"> </w:t>
      </w:r>
      <w:commentRangeStart w:id="26"/>
      <w:r w:rsidR="000A649D">
        <w:t xml:space="preserve">Here, like in </w:t>
      </w:r>
      <w:r w:rsidR="000A649D">
        <w:rPr>
          <w:i/>
        </w:rPr>
        <w:t>O’Neal</w:t>
      </w:r>
      <w:r w:rsidR="000A649D">
        <w:t>, SSS claims that the</w:t>
      </w:r>
      <w:r w:rsidR="00FF182D">
        <w:t xml:space="preserve"> project was delayed because of Mr. Hernandez</w:t>
      </w:r>
      <w:r w:rsidR="00745570">
        <w:t>, however there was another similarly trained employee that could have helped with the project</w:t>
      </w:r>
      <w:r w:rsidR="00047F63">
        <w:t xml:space="preserve"> </w:t>
      </w:r>
      <w:r w:rsidR="00241EAF">
        <w:t xml:space="preserve">and </w:t>
      </w:r>
      <w:r w:rsidR="00047F63">
        <w:t>result</w:t>
      </w:r>
      <w:r w:rsidR="00241EAF">
        <w:t>ed</w:t>
      </w:r>
      <w:r w:rsidR="00047F63">
        <w:t xml:space="preserve"> in </w:t>
      </w:r>
      <w:r w:rsidR="00241EAF">
        <w:t xml:space="preserve">the </w:t>
      </w:r>
      <w:r w:rsidR="00047F63">
        <w:t xml:space="preserve">project being completed on time. </w:t>
      </w:r>
      <w:r w:rsidR="00595471">
        <w:t xml:space="preserve">237 F.3d at </w:t>
      </w:r>
      <w:r w:rsidR="00282BBC">
        <w:t xml:space="preserve">1254; </w:t>
      </w:r>
      <w:r w:rsidR="00047F63">
        <w:t>R. at 12, 18.</w:t>
      </w:r>
      <w:r w:rsidR="003C7280">
        <w:t xml:space="preserve"> </w:t>
      </w:r>
      <w:r w:rsidR="00E806ED">
        <w:t xml:space="preserve"> </w:t>
      </w:r>
      <w:commentRangeEnd w:id="26"/>
      <w:r w:rsidR="00595471">
        <w:rPr>
          <w:rStyle w:val="CommentReference"/>
        </w:rPr>
        <w:commentReference w:id="26"/>
      </w:r>
    </w:p>
    <w:p w14:paraId="41008484" w14:textId="4186315F" w:rsidR="00DF7FB8" w:rsidRDefault="00494DB3" w:rsidP="00024457">
      <w:pPr>
        <w:rPr>
          <w:noProof/>
        </w:rPr>
      </w:pPr>
      <w:commentRangeStart w:id="27"/>
      <w:r>
        <w:t>Here, SSS claims that</w:t>
      </w:r>
      <w:r w:rsidR="00F32D4D">
        <w:t xml:space="preserve"> co-worker </w:t>
      </w:r>
      <w:r w:rsidR="005D409D">
        <w:t>frustrated</w:t>
      </w:r>
      <w:r w:rsidR="00F32D4D">
        <w:t xml:space="preserve"> contributed to </w:t>
      </w:r>
      <w:r w:rsidR="005D409D">
        <w:t xml:space="preserve">his </w:t>
      </w:r>
      <w:r w:rsidR="00F32D4D">
        <w:t>termination, but Mr. Rosenburg noted</w:t>
      </w:r>
      <w:r w:rsidR="00796FD5">
        <w:t xml:space="preserve"> Mr. Hernandez had</w:t>
      </w:r>
      <w:r w:rsidR="00F32D4D">
        <w:t xml:space="preserve"> </w:t>
      </w:r>
      <w:r w:rsidR="00796FD5">
        <w:t>strong attitude toward team work and relationship building</w:t>
      </w:r>
      <w:r w:rsidR="00796FD5">
        <w:t xml:space="preserve">. R. </w:t>
      </w:r>
      <w:r w:rsidR="00B201AD">
        <w:t xml:space="preserve">at 18 – 19. </w:t>
      </w:r>
      <w:r w:rsidR="008921D4">
        <w:fldChar w:fldCharType="begin"/>
      </w:r>
      <w:r w:rsidR="008921D4">
        <w:instrText xml:space="preserve"> TA \l "</w:instrText>
      </w:r>
      <w:r w:rsidR="008921D4" w:rsidRPr="008A4AE1">
        <w:rPr>
          <w:i/>
        </w:rPr>
        <w:instrText>Proctor v. United Parcel Serv.</w:instrText>
      </w:r>
      <w:r w:rsidR="008921D4" w:rsidRPr="008A4AE1">
        <w:instrText>, 502 F.3d 1200, 1208 (10th Cir. 2007)</w:instrText>
      </w:r>
      <w:r w:rsidR="008921D4">
        <w:instrText xml:space="preserve">" \s "Proctor v. United Parcel Serv., 502 F.3d 1200, 1208 (10th Cir. 2007)" \c 1 </w:instrText>
      </w:r>
      <w:r w:rsidR="008921D4">
        <w:fldChar w:fldCharType="end"/>
      </w:r>
      <w:commentRangeEnd w:id="27"/>
      <w:r w:rsidR="006533B2">
        <w:rPr>
          <w:rStyle w:val="CommentReference"/>
        </w:rPr>
        <w:commentReference w:id="27"/>
      </w:r>
    </w:p>
    <w:p w14:paraId="764B132D" w14:textId="531528BE" w:rsidR="00DF7FB8" w:rsidRDefault="00F417E7" w:rsidP="00282BBC">
      <w:pPr>
        <w:rPr>
          <w:noProof/>
        </w:rPr>
      </w:pPr>
      <w:r>
        <w:rPr>
          <w:noProof/>
        </w:rPr>
        <w:t>[</w:t>
      </w:r>
      <w:r w:rsidR="003037BA" w:rsidRPr="00912D5D">
        <w:rPr>
          <w:i/>
          <w:noProof/>
        </w:rPr>
        <w:t xml:space="preserve">SSS claims that Mr. Hernandez requested the week of </w:t>
      </w:r>
      <w:r w:rsidR="00293B5F" w:rsidRPr="00912D5D">
        <w:rPr>
          <w:i/>
          <w:noProof/>
        </w:rPr>
        <w:t>4 – 10, instead of 9 -</w:t>
      </w:r>
      <w:r w:rsidR="00546062" w:rsidRPr="00912D5D">
        <w:rPr>
          <w:i/>
          <w:noProof/>
        </w:rPr>
        <w:t xml:space="preserve"> </w:t>
      </w:r>
      <w:r w:rsidR="00293B5F" w:rsidRPr="00912D5D">
        <w:rPr>
          <w:i/>
          <w:noProof/>
        </w:rPr>
        <w:t xml:space="preserve">14. </w:t>
      </w:r>
      <w:r w:rsidR="00297474" w:rsidRPr="00912D5D">
        <w:rPr>
          <w:i/>
          <w:noProof/>
        </w:rPr>
        <w:t xml:space="preserve">Both claim that it he requested the </w:t>
      </w:r>
      <w:r w:rsidR="00546062" w:rsidRPr="00912D5D">
        <w:rPr>
          <w:i/>
          <w:noProof/>
        </w:rPr>
        <w:t>“</w:t>
      </w:r>
      <w:r w:rsidR="000D1C17" w:rsidRPr="00912D5D">
        <w:rPr>
          <w:i/>
          <w:noProof/>
        </w:rPr>
        <w:t>following / next</w:t>
      </w:r>
      <w:r w:rsidR="00546062" w:rsidRPr="00912D5D">
        <w:rPr>
          <w:i/>
          <w:noProof/>
        </w:rPr>
        <w:t xml:space="preserve">” </w:t>
      </w:r>
      <w:r w:rsidR="000D1C17" w:rsidRPr="00912D5D">
        <w:rPr>
          <w:i/>
          <w:noProof/>
        </w:rPr>
        <w:t xml:space="preserve">week off. </w:t>
      </w:r>
      <w:r w:rsidR="003A1F4B" w:rsidRPr="00912D5D">
        <w:rPr>
          <w:i/>
          <w:noProof/>
        </w:rPr>
        <w:t xml:space="preserve">Seems strange for him not to take a calendar week off. </w:t>
      </w:r>
      <w:r w:rsidR="00293B5F" w:rsidRPr="00912D5D">
        <w:rPr>
          <w:i/>
          <w:noProof/>
        </w:rPr>
        <w:t xml:space="preserve">This would make it seem like Mr. Hernandez missed more work than he did. </w:t>
      </w:r>
      <w:r>
        <w:rPr>
          <w:noProof/>
        </w:rPr>
        <w:t>]</w:t>
      </w:r>
      <w:r w:rsidR="000036EA">
        <w:rPr>
          <w:noProof/>
        </w:rPr>
        <w:t xml:space="preserve"> </w:t>
      </w:r>
    </w:p>
    <w:p w14:paraId="45199123" w14:textId="19CF7F61" w:rsidR="00F94F9D" w:rsidRPr="00C408AE" w:rsidRDefault="002F7277" w:rsidP="00024457">
      <w:r w:rsidRPr="00B34D47">
        <w:rPr>
          <w:noProof/>
          <w:color w:val="FF0000"/>
        </w:rPr>
        <w:t>These inconsistent</w:t>
      </w:r>
      <w:r w:rsidR="00EC6F49" w:rsidRPr="00B34D47">
        <w:rPr>
          <w:noProof/>
          <w:color w:val="FF0000"/>
        </w:rPr>
        <w:t xml:space="preserve">cies show that SSS’s </w:t>
      </w:r>
      <w:r w:rsidR="00392EE5" w:rsidRPr="00B34D47">
        <w:rPr>
          <w:noProof/>
          <w:color w:val="FF0000"/>
        </w:rPr>
        <w:t xml:space="preserve">reasons for </w:t>
      </w:r>
      <w:r w:rsidR="00EC6F49" w:rsidRPr="00B34D47">
        <w:rPr>
          <w:noProof/>
          <w:color w:val="FF0000"/>
        </w:rPr>
        <w:t xml:space="preserve">termination and </w:t>
      </w:r>
      <w:r w:rsidR="00392EE5" w:rsidRPr="00B34D47">
        <w:rPr>
          <w:noProof/>
          <w:color w:val="FF0000"/>
        </w:rPr>
        <w:t xml:space="preserve">negative reference of Mr. Hernandez are merely pretext, and strengthen the causal connection between </w:t>
      </w:r>
      <w:r w:rsidR="00C5016E" w:rsidRPr="00B34D47">
        <w:rPr>
          <w:noProof/>
          <w:color w:val="FF0000"/>
        </w:rPr>
        <w:t xml:space="preserve">his EEOC filing, and both adverse actions.  </w:t>
      </w:r>
      <w:r w:rsidR="008077C6">
        <w:tab/>
      </w:r>
    </w:p>
    <w:p w14:paraId="6282F6B0" w14:textId="7B4CDD9A" w:rsidR="00DA5BC1" w:rsidRPr="00DA5BC1" w:rsidRDefault="00F718AC" w:rsidP="00DA5BC1">
      <w:pPr>
        <w:pStyle w:val="Heading2"/>
        <w:numPr>
          <w:ilvl w:val="0"/>
          <w:numId w:val="7"/>
        </w:numPr>
        <w:spacing w:line="240" w:lineRule="auto"/>
        <w:ind w:left="720"/>
      </w:pPr>
      <w:bookmarkStart w:id="28" w:name="_Toc509071349"/>
      <w:r>
        <w:t xml:space="preserve">SSS DRIMINATED AGAINST MR. HERNANDEZ BECAUSE </w:t>
      </w:r>
      <w:r w:rsidR="004A6448">
        <w:t xml:space="preserve">IT HAD KNOWLEDGE OF HIS DISABILITY, HIS REQUEST FOR ACCOMMODATION WAS </w:t>
      </w:r>
      <w:commentRangeStart w:id="29"/>
      <w:r w:rsidR="004A6448">
        <w:t>REASONABLE AND WAS DENIED</w:t>
      </w:r>
      <w:commentRangeEnd w:id="29"/>
      <w:r w:rsidR="00967EE7">
        <w:rPr>
          <w:rStyle w:val="CommentReference"/>
          <w:rFonts w:eastAsiaTheme="minorHAnsi" w:cstheme="minorBidi"/>
          <w:color w:val="auto"/>
        </w:rPr>
        <w:commentReference w:id="29"/>
      </w:r>
      <w:r w:rsidR="004A6448">
        <w:t>, AND WOULD NOT HAVE IMPOSED UNDUE HARDSHIP</w:t>
      </w:r>
      <w:r w:rsidR="00B46775">
        <w:t>.</w:t>
      </w:r>
      <w:bookmarkEnd w:id="28"/>
      <w:r w:rsidR="00B46775">
        <w:t xml:space="preserve"> </w:t>
      </w:r>
    </w:p>
    <w:p w14:paraId="0255EAA9" w14:textId="7AE84C88" w:rsidR="00B46775" w:rsidRDefault="00B46775" w:rsidP="00B46775"/>
    <w:p w14:paraId="684E0DA9" w14:textId="00D6C67A" w:rsidR="006971F7" w:rsidRDefault="006971F7" w:rsidP="006971F7">
      <w:r>
        <w:t xml:space="preserve">Under </w:t>
      </w:r>
      <w:r w:rsidR="00CE6E31">
        <w:t xml:space="preserve">the </w:t>
      </w:r>
      <w:r>
        <w:t xml:space="preserve">ADA, discrimination occurs if an employer fails to grant a reasonable accommodation to an otherwise qualified individual with disability, unless the employer can </w:t>
      </w:r>
      <w:r>
        <w:lastRenderedPageBreak/>
        <w:t>show that accommodation would impose an undue hardship. 42 U.S.C. § 12112(b)(5)(A)</w:t>
      </w:r>
      <w:r>
        <w:fldChar w:fldCharType="begin"/>
      </w:r>
      <w:r>
        <w:instrText xml:space="preserve"> TA \l "</w:instrText>
      </w:r>
      <w:r w:rsidRPr="002C797C">
        <w:instrText>42 U.S.C. § 12112(b)(5)(A)</w:instrText>
      </w:r>
      <w:r>
        <w:instrText xml:space="preserve">" \s "42 U.S.C. § 12112(b)(5)(A)" \c 2 </w:instrText>
      </w:r>
      <w:r>
        <w:fldChar w:fldCharType="end"/>
      </w:r>
      <w:r>
        <w:t xml:space="preserve">. To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would pose no undue hardship on Defendant’s business operations. </w:t>
      </w:r>
      <w:commentRangeStart w:id="30"/>
      <w:r>
        <w:t>42 U.S.C. § 12112(b)</w:t>
      </w:r>
      <w:r>
        <w:fldChar w:fldCharType="begin"/>
      </w:r>
      <w:r>
        <w:instrText xml:space="preserve"> TA \l "</w:instrText>
      </w:r>
      <w:r w:rsidRPr="00385625">
        <w:instrText>42 U.S.C. § 12112(b)</w:instrText>
      </w:r>
      <w:r>
        <w:instrText xml:space="preserve">" \s "42 U.S.C. § 12112(b)" \c 2 </w:instrText>
      </w:r>
      <w:r>
        <w:fldChar w:fldCharType="end"/>
      </w:r>
      <w:r>
        <w:t xml:space="preserve">. </w:t>
      </w:r>
      <w:commentRangeEnd w:id="30"/>
      <w:r>
        <w:rPr>
          <w:rStyle w:val="CommentReference"/>
        </w:rPr>
        <w:commentReference w:id="30"/>
      </w:r>
    </w:p>
    <w:p w14:paraId="3CCCEF26" w14:textId="32EDCFEA" w:rsidR="006971F7" w:rsidRDefault="006971F7" w:rsidP="00B46775"/>
    <w:p w14:paraId="576DEE39" w14:textId="2BA736EB" w:rsidR="00164711" w:rsidRDefault="00175F71" w:rsidP="00B46775">
      <w:r>
        <w:t>Qualified individuals are those who, with or without reasonable accommodation, can perform the essential functions of the employment position held. 42 U.S.C. § 12111(8)</w:t>
      </w:r>
      <w:r>
        <w:fldChar w:fldCharType="begin"/>
      </w:r>
      <w:r>
        <w:instrText xml:space="preserve"> TA \l "</w:instrText>
      </w:r>
      <w:r w:rsidRPr="00157421">
        <w:instrText>42 U.S.C. § 12111(8)</w:instrText>
      </w:r>
      <w:r>
        <w:instrText xml:space="preserve">" \s "42 U.S.C. § 12111(8)" \c 2 </w:instrText>
      </w:r>
      <w:r>
        <w:fldChar w:fldCharType="end"/>
      </w:r>
      <w:r>
        <w:t xml:space="preserve">. A disability is a “physical or mental impairment that substantially limits one or more major life activities”, including normal cell growth. </w:t>
      </w:r>
      <w:commentRangeStart w:id="31"/>
      <w:r>
        <w:t>42 U.S.C. §12102(1)(A) &amp; (2)(B)</w:t>
      </w:r>
      <w:commentRangeEnd w:id="31"/>
      <w:r>
        <w:rPr>
          <w:rStyle w:val="CommentReference"/>
        </w:rPr>
        <w:commentReference w:id="31"/>
      </w:r>
      <w:r>
        <w:fldChar w:fldCharType="begin"/>
      </w:r>
      <w:r>
        <w:instrText xml:space="preserve"> TA \l "</w:instrText>
      </w:r>
      <w:r w:rsidRPr="005143CA">
        <w:instrText>42 U.S.C. §12102(1)(A)</w:instrText>
      </w:r>
      <w:r>
        <w:instrText xml:space="preserve">" \s "42 U.S.C. §12102(1)(A)" \c 2 </w:instrText>
      </w:r>
      <w:r>
        <w:fldChar w:fldCharType="end"/>
      </w:r>
      <w:r>
        <w:t xml:space="preserve">. </w:t>
      </w:r>
      <w:r w:rsidR="00164711">
        <w:t>Reasonable accommodations may include modified work schedules, reassignment, or modification of equipment. 42 U.S.C. § 12111(9).</w:t>
      </w:r>
      <w:r w:rsidR="00164711">
        <w:fldChar w:fldCharType="begin"/>
      </w:r>
      <w:r w:rsidR="00164711">
        <w:instrText xml:space="preserve"> TA \l "</w:instrText>
      </w:r>
      <w:r w:rsidR="00164711" w:rsidRPr="00222C83">
        <w:instrText>. 42 U.S.C. § 12111(9).</w:instrText>
      </w:r>
      <w:r w:rsidR="00164711">
        <w:instrText xml:space="preserve">" \s ". 42 U.S.C. § 12111(9)." \c 2 </w:instrText>
      </w:r>
      <w:r w:rsidR="00164711">
        <w:fldChar w:fldCharType="end"/>
      </w:r>
      <w:r w:rsidR="00164711">
        <w:t xml:space="preserve"> Undue hardship requires significant difficulty or expense and must be considered in light of an employer’s resources, size, and the impact of the accommodation. 42 U.S.C. § 12111(10)</w:t>
      </w:r>
      <w:r w:rsidR="00164711">
        <w:fldChar w:fldCharType="begin"/>
      </w:r>
      <w:r w:rsidR="00164711">
        <w:instrText xml:space="preserve"> TA \l "</w:instrText>
      </w:r>
      <w:r w:rsidR="00164711" w:rsidRPr="00E83EB8">
        <w:instrText>42 U.S.C. § 12111(10)</w:instrText>
      </w:r>
      <w:r w:rsidR="00164711">
        <w:instrText xml:space="preserve">" \s "42 U.S.C. § 12111(10)" \c 2 </w:instrText>
      </w:r>
      <w:r w:rsidR="00164711">
        <w:fldChar w:fldCharType="end"/>
      </w:r>
      <w:r w:rsidR="00164711">
        <w:t>.</w:t>
      </w:r>
    </w:p>
    <w:p w14:paraId="2E38E1A7" w14:textId="5A7FE1A6" w:rsidR="00B46775" w:rsidRDefault="00BD0AAF" w:rsidP="00BD0AAF">
      <w:pPr>
        <w:pStyle w:val="Heading3"/>
        <w:numPr>
          <w:ilvl w:val="0"/>
          <w:numId w:val="11"/>
        </w:numPr>
        <w:ind w:left="1440" w:hanging="720"/>
      </w:pPr>
      <w:bookmarkStart w:id="32" w:name="_Toc509071350"/>
      <w:r>
        <w:t>Disabled</w:t>
      </w:r>
      <w:bookmarkEnd w:id="32"/>
    </w:p>
    <w:p w14:paraId="4270B0AD" w14:textId="2FC953A2" w:rsidR="00BD0AAF" w:rsidRDefault="00BD0AAF" w:rsidP="00BD0AAF">
      <w:pPr>
        <w:pStyle w:val="Heading3"/>
        <w:numPr>
          <w:ilvl w:val="0"/>
          <w:numId w:val="11"/>
        </w:numPr>
        <w:ind w:left="1440" w:hanging="720"/>
      </w:pPr>
      <w:bookmarkStart w:id="33" w:name="_Toc509071351"/>
      <w:r>
        <w:t>Is Qualified</w:t>
      </w:r>
      <w:bookmarkEnd w:id="33"/>
    </w:p>
    <w:p w14:paraId="12FE5A4B" w14:textId="0281928A" w:rsidR="00BD0AAF" w:rsidRDefault="00BD0AAF" w:rsidP="00BD0AAF">
      <w:pPr>
        <w:pStyle w:val="Heading3"/>
        <w:numPr>
          <w:ilvl w:val="0"/>
          <w:numId w:val="11"/>
        </w:numPr>
        <w:ind w:left="1440" w:hanging="720"/>
      </w:pPr>
      <w:bookmarkStart w:id="34" w:name="_Toc509071352"/>
      <w:r>
        <w:t>Plausibly Request Reasonable Accommodation</w:t>
      </w:r>
      <w:bookmarkEnd w:id="34"/>
    </w:p>
    <w:p w14:paraId="18388F86" w14:textId="018FCB25" w:rsidR="00BD0AAF" w:rsidRPr="00B46775" w:rsidRDefault="00BD0AAF" w:rsidP="00BD0AAF">
      <w:pPr>
        <w:pStyle w:val="Heading3"/>
        <w:numPr>
          <w:ilvl w:val="0"/>
          <w:numId w:val="11"/>
        </w:numPr>
        <w:ind w:left="1440" w:hanging="720"/>
      </w:pPr>
      <w:bookmarkStart w:id="35" w:name="_Toc509071353"/>
      <w:r>
        <w:t>No Undue Hardship</w:t>
      </w:r>
      <w:bookmarkEnd w:id="35"/>
    </w:p>
    <w:p w14:paraId="0AD01C00" w14:textId="0A4E12CF" w:rsidR="00BA4F2E" w:rsidRDefault="007415A9" w:rsidP="00D476E0">
      <w:pPr>
        <w:pStyle w:val="Heading1"/>
        <w:ind w:firstLine="0"/>
      </w:pPr>
      <w:bookmarkStart w:id="36" w:name="_Toc509071354"/>
      <w:r>
        <w:t>CONCLUSION</w:t>
      </w:r>
      <w:bookmarkEnd w:id="36"/>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t>________</w:t>
      </w:r>
      <w:r w:rsidRPr="00B7574D">
        <w:t>_____________</w:t>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667434D3" w:rsidR="000508DE" w:rsidRDefault="00BA4F2E" w:rsidP="00D476E0">
      <w:pPr>
        <w:pStyle w:val="Heading1"/>
        <w:ind w:firstLine="0"/>
      </w:pPr>
      <w:bookmarkStart w:id="37" w:name="_Toc509071355"/>
      <w:r>
        <w:lastRenderedPageBreak/>
        <w:t>CERTIFICATE OF COMPLIANCE</w:t>
      </w:r>
      <w:bookmarkEnd w:id="37"/>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r>
        <w:t xml:space="preserve">XXXX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t>__________</w:t>
      </w:r>
      <w:r w:rsidRPr="00BD4C48">
        <w:t>___________</w:t>
      </w:r>
      <w:r w:rsidRPr="00A852B5">
        <w:t xml:space="preserve"> </w:t>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38" w:name="_Toc509071356"/>
      <w:r>
        <w:t>CERTIFICATE OF SERVICE</w:t>
      </w:r>
      <w:bookmarkEnd w:id="38"/>
    </w:p>
    <w:p w14:paraId="1C0355E2" w14:textId="4989D906" w:rsidR="007972B8" w:rsidRDefault="007972B8" w:rsidP="00D476E0">
      <w:pPr>
        <w:pStyle w:val="Default"/>
        <w:rPr>
          <w:sz w:val="23"/>
          <w:szCs w:val="23"/>
        </w:rPr>
      </w:pPr>
      <w:r>
        <w:rPr>
          <w:sz w:val="23"/>
          <w:szCs w:val="23"/>
        </w:rPr>
        <w:t xml:space="preserve">I hereby certify that on this date, the ____ of _________________, 2014,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r w:rsidRPr="00A852B5">
        <w:t>__________</w:t>
      </w:r>
      <w:r w:rsidRPr="00BD4C48">
        <w:t>___________</w:t>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7" w:author="seth guthrie" w:date="2018-03-17T12:16:00Z" w:initials="sg">
    <w:p w14:paraId="155C59E9" w14:textId="56AD7412" w:rsidR="002C24B5" w:rsidRDefault="002C24B5">
      <w:pPr>
        <w:pStyle w:val="CommentText"/>
      </w:pPr>
      <w:r>
        <w:rPr>
          <w:rStyle w:val="CommentReference"/>
        </w:rPr>
        <w:annotationRef/>
      </w:r>
      <w:r>
        <w:t xml:space="preserve">Check </w:t>
      </w:r>
      <w:proofErr w:type="gramStart"/>
      <w:r>
        <w:t>cite</w:t>
      </w:r>
      <w:proofErr w:type="gramEnd"/>
    </w:p>
  </w:comment>
  <w:comment w:id="8" w:author="seth guthrie" w:date="2018-03-14T00:39:00Z" w:initials="sg">
    <w:p w14:paraId="2AEC2977" w14:textId="2BA00DC7" w:rsidR="00ED0866" w:rsidRDefault="00ED0866">
      <w:pPr>
        <w:pStyle w:val="CommentText"/>
      </w:pPr>
      <w:r>
        <w:rPr>
          <w:rStyle w:val="CommentReference"/>
        </w:rPr>
        <w:annotationRef/>
      </w:r>
      <w:r>
        <w:t>How to refence multiple pages on the record?</w:t>
      </w:r>
    </w:p>
  </w:comment>
  <w:comment w:id="11" w:author="seth guthrie" w:date="2018-03-17T12:21:00Z" w:initials="sg">
    <w:p w14:paraId="7FEFCD3F" w14:textId="7073733B" w:rsidR="00766A6C" w:rsidRDefault="00766A6C">
      <w:pPr>
        <w:pStyle w:val="CommentText"/>
      </w:pPr>
      <w:r>
        <w:rPr>
          <w:rStyle w:val="CommentReference"/>
        </w:rPr>
        <w:annotationRef/>
      </w:r>
      <w:r>
        <w:t>Is this the “issue</w:t>
      </w:r>
      <w:r w:rsidR="00ED614F">
        <w:t>” on review?</w:t>
      </w:r>
    </w:p>
  </w:comment>
  <w:comment w:id="13" w:author="seth guthrie" w:date="2018-03-15T22:07:00Z" w:initials="sg">
    <w:p w14:paraId="739052C4" w14:textId="2138812D" w:rsidR="003978D9" w:rsidRDefault="003978D9">
      <w:pPr>
        <w:pStyle w:val="CommentText"/>
      </w:pPr>
      <w:r>
        <w:rPr>
          <w:rStyle w:val="CommentReference"/>
        </w:rPr>
        <w:annotationRef/>
      </w:r>
      <w:r>
        <w:t xml:space="preserve">Don’t forget to add the CFR </w:t>
      </w:r>
      <w:r w:rsidR="0004213E">
        <w:t xml:space="preserve">in. EEOC </w:t>
      </w:r>
      <w:proofErr w:type="spellStart"/>
      <w:r w:rsidR="0004213E">
        <w:t>regs</w:t>
      </w:r>
      <w:proofErr w:type="spellEnd"/>
      <w:r w:rsidR="0004213E">
        <w:t>?</w:t>
      </w:r>
    </w:p>
  </w:comment>
  <w:comment w:id="14" w:author="seth guthrie" w:date="2018-03-15T20:11:00Z" w:initials="sg">
    <w:p w14:paraId="7B0E90AB" w14:textId="0FC05160" w:rsidR="005D19EC" w:rsidRDefault="005D19EC" w:rsidP="005D19EC">
      <w:pPr>
        <w:pStyle w:val="CommentText"/>
      </w:pPr>
      <w:r>
        <w:rPr>
          <w:rStyle w:val="CommentReference"/>
        </w:rPr>
        <w:annotationRef/>
      </w:r>
      <w:r>
        <w:t>Add parenthetical</w:t>
      </w:r>
      <w:r w:rsidR="006E2D84">
        <w:t xml:space="preserve">? Do I need to state that this standard is met? This seems maybe too specific for here. </w:t>
      </w:r>
    </w:p>
    <w:p w14:paraId="5FFE81ED" w14:textId="41CB47D3" w:rsidR="0004213E" w:rsidRDefault="0004213E" w:rsidP="005D19EC">
      <w:pPr>
        <w:pStyle w:val="CommentText"/>
      </w:pPr>
    </w:p>
    <w:p w14:paraId="2E8F449E" w14:textId="01909268" w:rsidR="0004213E" w:rsidRDefault="0004213E" w:rsidP="005D19EC">
      <w:pPr>
        <w:pStyle w:val="CommentText"/>
      </w:pPr>
      <w:r>
        <w:t xml:space="preserve">Maybe add another sentence or two, </w:t>
      </w:r>
      <w:r w:rsidR="00EB1B20">
        <w:t xml:space="preserve">start a new </w:t>
      </w:r>
      <w:r>
        <w:t>paragraph</w:t>
      </w:r>
    </w:p>
  </w:comment>
  <w:comment w:id="16" w:author="seth guthrie" w:date="2018-03-15T21:14:00Z" w:initials="sg">
    <w:p w14:paraId="0250DEBB" w14:textId="59A7C644" w:rsidR="00E002AD" w:rsidRDefault="00E002AD">
      <w:pPr>
        <w:pStyle w:val="CommentText"/>
      </w:pPr>
      <w:r>
        <w:rPr>
          <w:rStyle w:val="CommentReference"/>
        </w:rPr>
        <w:annotationRef/>
      </w:r>
      <w:r>
        <w:t xml:space="preserve">Really Chunky wording. </w:t>
      </w:r>
    </w:p>
  </w:comment>
  <w:comment w:id="17" w:author="seth guthrie" w:date="2018-03-15T22:03:00Z" w:initials="sg">
    <w:p w14:paraId="4CC38875" w14:textId="3E4A8A9D" w:rsidR="008D2283" w:rsidRDefault="008D2283">
      <w:pPr>
        <w:pStyle w:val="CommentText"/>
      </w:pPr>
      <w:r>
        <w:rPr>
          <w:rStyle w:val="CommentReference"/>
        </w:rPr>
        <w:annotationRef/>
      </w:r>
      <w:r>
        <w:t>Is this relevant?</w:t>
      </w:r>
    </w:p>
  </w:comment>
  <w:comment w:id="18" w:author="seth guthrie" w:date="2018-03-17T15:22:00Z" w:initials="sg">
    <w:p w14:paraId="405D4C1E" w14:textId="68AE9203" w:rsidR="00E51DDC" w:rsidRDefault="00E51DDC">
      <w:pPr>
        <w:pStyle w:val="CommentText"/>
      </w:pPr>
      <w:r>
        <w:rPr>
          <w:rStyle w:val="CommentReference"/>
        </w:rPr>
        <w:annotationRef/>
      </w:r>
      <w:r>
        <w:t xml:space="preserve">Other potential case to compare: Smith v. Navy </w:t>
      </w:r>
      <w:r w:rsidR="00DC3BE3">
        <w:t>Secretary</w:t>
      </w:r>
      <w:r>
        <w:t xml:space="preserve">. Man gets </w:t>
      </w:r>
      <w:proofErr w:type="gramStart"/>
      <w:r w:rsidR="00853CE5">
        <w:t>really bad</w:t>
      </w:r>
      <w:proofErr w:type="gramEnd"/>
      <w:r w:rsidR="00853CE5">
        <w:t xml:space="preserve"> ratings because of race. But that doesn’t really compare here. </w:t>
      </w:r>
    </w:p>
  </w:comment>
  <w:comment w:id="19" w:author="seth guthrie" w:date="2018-03-17T15:20:00Z" w:initials="sg">
    <w:p w14:paraId="2BB052B5" w14:textId="4980064A" w:rsidR="00EE22CB" w:rsidRDefault="00EE22CB">
      <w:pPr>
        <w:pStyle w:val="CommentText"/>
      </w:pPr>
      <w:r>
        <w:rPr>
          <w:rStyle w:val="CommentReference"/>
        </w:rPr>
        <w:annotationRef/>
      </w:r>
      <w:r>
        <w:t xml:space="preserve">This is a mouthful and a stretch </w:t>
      </w:r>
      <w:proofErr w:type="gramStart"/>
      <w:r>
        <w:t>but  just</w:t>
      </w:r>
      <w:proofErr w:type="gramEnd"/>
      <w:r>
        <w:t xml:space="preserve"> don’t know what else to say. </w:t>
      </w:r>
    </w:p>
  </w:comment>
  <w:comment w:id="21" w:author="seth guthrie" w:date="2018-03-15T21:19:00Z" w:initials="sg">
    <w:p w14:paraId="352AC83C" w14:textId="5C128C15" w:rsidR="00684505" w:rsidRDefault="00684505">
      <w:pPr>
        <w:pStyle w:val="CommentText"/>
      </w:pPr>
      <w:r>
        <w:rPr>
          <w:rStyle w:val="CommentReference"/>
        </w:rPr>
        <w:annotationRef/>
      </w:r>
      <w:r>
        <w:t xml:space="preserve">This is a mouthful and not clear. How can I change the “inconsistent behavior” to a </w:t>
      </w:r>
      <w:r w:rsidR="00AC0F23">
        <w:t>fact without making it super long?</w:t>
      </w:r>
    </w:p>
  </w:comment>
  <w:comment w:id="22" w:author="seth guthrie" w:date="2018-03-15T23:13:00Z" w:initials="sg">
    <w:p w14:paraId="31DBD3CF" w14:textId="0F8C39C8" w:rsidR="00E2794F" w:rsidRDefault="00E2794F" w:rsidP="00E2794F">
      <w:pPr>
        <w:pStyle w:val="CommentText"/>
      </w:pPr>
      <w:r>
        <w:rPr>
          <w:rStyle w:val="CommentReference"/>
        </w:rPr>
        <w:annotationRef/>
      </w:r>
      <w:r>
        <w:t xml:space="preserve">The two week is in the bag. </w:t>
      </w:r>
    </w:p>
    <w:p w14:paraId="59596E23" w14:textId="77777777" w:rsidR="00E2794F" w:rsidRDefault="00E2794F" w:rsidP="00E2794F">
      <w:pPr>
        <w:pStyle w:val="CommentText"/>
      </w:pPr>
    </w:p>
    <w:p w14:paraId="6F2A4A48" w14:textId="14E81DB0" w:rsidR="00E2794F" w:rsidRDefault="00E2794F" w:rsidP="00E2794F">
      <w:pPr>
        <w:pStyle w:val="CommentText"/>
      </w:pPr>
      <w:r>
        <w:t xml:space="preserve">The 3 months is difficult to prove. </w:t>
      </w:r>
      <w:proofErr w:type="gramStart"/>
      <w:r>
        <w:t>Also</w:t>
      </w:r>
      <w:proofErr w:type="gramEnd"/>
      <w:r>
        <w:t xml:space="preserve"> the same evidence that would show 3 months is connection, is the same as pretext. For this reason, is it a bad idea to have a pretext section?</w:t>
      </w:r>
    </w:p>
    <w:p w14:paraId="27C79D9D" w14:textId="2FF65E1D" w:rsidR="00A021F9" w:rsidRDefault="00A021F9" w:rsidP="00E2794F">
      <w:pPr>
        <w:pStyle w:val="CommentText"/>
      </w:pPr>
    </w:p>
    <w:p w14:paraId="19853C5B" w14:textId="011944BC" w:rsidR="00A021F9" w:rsidRDefault="00A021F9" w:rsidP="00E2794F">
      <w:pPr>
        <w:pStyle w:val="CommentText"/>
      </w:pPr>
      <w:r>
        <w:t>Can I do it like this? How are other people making this argument? Am I barking up the wrong tree?</w:t>
      </w:r>
    </w:p>
  </w:comment>
  <w:comment w:id="24" w:author="seth guthrie" w:date="2018-03-17T16:28:00Z" w:initials="sg">
    <w:p w14:paraId="743AE66F" w14:textId="59ECB670" w:rsidR="0030224A" w:rsidRDefault="0030224A">
      <w:pPr>
        <w:pStyle w:val="CommentText"/>
      </w:pPr>
      <w:r>
        <w:rPr>
          <w:rStyle w:val="CommentReference"/>
        </w:rPr>
        <w:annotationRef/>
      </w:r>
      <w:r>
        <w:t>This is SUPER weak argument. Is it even worth making?</w:t>
      </w:r>
    </w:p>
  </w:comment>
  <w:comment w:id="25" w:author="seth guthrie" w:date="2018-03-17T17:11:00Z" w:initials="sg">
    <w:p w14:paraId="6C13CA76" w14:textId="67118AEB" w:rsidR="00806A72" w:rsidRDefault="00806A72">
      <w:pPr>
        <w:pStyle w:val="CommentText"/>
      </w:pPr>
      <w:r>
        <w:rPr>
          <w:rStyle w:val="CommentReference"/>
        </w:rPr>
        <w:annotationRef/>
      </w:r>
      <w:r>
        <w:t>Add to RE</w:t>
      </w:r>
    </w:p>
  </w:comment>
  <w:comment w:id="26" w:author="seth guthrie" w:date="2018-03-17T17:17:00Z" w:initials="sg">
    <w:p w14:paraId="46BBF580" w14:textId="5F31C675" w:rsidR="00595471" w:rsidRDefault="00595471">
      <w:pPr>
        <w:pStyle w:val="CommentText"/>
      </w:pPr>
      <w:r>
        <w:rPr>
          <w:rStyle w:val="CommentReference"/>
        </w:rPr>
        <w:annotationRef/>
      </w:r>
      <w:r>
        <w:t xml:space="preserve">Really, this </w:t>
      </w:r>
      <w:r w:rsidR="00BB5423">
        <w:t>fact</w:t>
      </w:r>
      <w:r>
        <w:t xml:space="preserve"> is NOTHING like O’Neal. There’s not direct contradiction, and there’s no testimony of other employees. </w:t>
      </w:r>
    </w:p>
  </w:comment>
  <w:comment w:id="27" w:author="seth guthrie" w:date="2018-03-17T17:27:00Z" w:initials="sg">
    <w:p w14:paraId="6BCF5F2E" w14:textId="301C6288" w:rsidR="006533B2" w:rsidRDefault="006533B2">
      <w:pPr>
        <w:pStyle w:val="CommentText"/>
      </w:pPr>
      <w:r>
        <w:rPr>
          <w:rStyle w:val="CommentReference"/>
        </w:rPr>
        <w:annotationRef/>
      </w:r>
      <w:r>
        <w:t xml:space="preserve">I have nothing to compare this to. </w:t>
      </w:r>
    </w:p>
  </w:comment>
  <w:comment w:id="29" w:author="seth guthrie" w:date="2018-03-13T22:00:00Z" w:initials="sg">
    <w:p w14:paraId="3A4911B8" w14:textId="22846931" w:rsidR="00967EE7" w:rsidRDefault="00967EE7">
      <w:pPr>
        <w:pStyle w:val="CommentText"/>
      </w:pPr>
      <w:r>
        <w:rPr>
          <w:rStyle w:val="CommentReference"/>
        </w:rPr>
        <w:annotationRef/>
      </w:r>
      <w:r>
        <w:t>A conclusion, add LSFs</w:t>
      </w:r>
    </w:p>
  </w:comment>
  <w:comment w:id="30" w:author="seth guthrie" w:date="2018-02-19T14:52:00Z" w:initials="sg">
    <w:p w14:paraId="156EFB71" w14:textId="77777777" w:rsidR="006971F7" w:rsidRDefault="006971F7" w:rsidP="006971F7">
      <w:pPr>
        <w:pStyle w:val="CommentText"/>
      </w:pPr>
      <w:r>
        <w:rPr>
          <w:rStyle w:val="CommentReference"/>
        </w:rPr>
        <w:annotationRef/>
      </w:r>
      <w:r>
        <w:t xml:space="preserve">This is a quote from the trial level. </w:t>
      </w:r>
    </w:p>
    <w:p w14:paraId="5DB0D8DE" w14:textId="77777777" w:rsidR="006971F7" w:rsidRDefault="006971F7" w:rsidP="006971F7">
      <w:pPr>
        <w:pStyle w:val="CommentText"/>
      </w:pPr>
    </w:p>
    <w:p w14:paraId="647CAD0A" w14:textId="77777777" w:rsidR="006971F7" w:rsidRDefault="006971F7" w:rsidP="006971F7">
      <w:pPr>
        <w:pStyle w:val="CommentText"/>
      </w:pPr>
      <w:r>
        <w:t>Also, cannot find this backed up by ANY case law. The prima facie case seems to be:</w:t>
      </w:r>
    </w:p>
    <w:p w14:paraId="1E074428" w14:textId="77777777" w:rsidR="006971F7" w:rsidRDefault="006971F7" w:rsidP="006971F7">
      <w:pPr>
        <w:pStyle w:val="CommentText"/>
      </w:pPr>
    </w:p>
    <w:p w14:paraId="17CE7F1C" w14:textId="77777777" w:rsidR="006971F7" w:rsidRDefault="006971F7" w:rsidP="006971F7">
      <w:pPr>
        <w:pStyle w:val="CommentText"/>
        <w:numPr>
          <w:ilvl w:val="0"/>
          <w:numId w:val="4"/>
        </w:numPr>
      </w:pPr>
      <w:r>
        <w:t xml:space="preserve"> Disabled</w:t>
      </w:r>
    </w:p>
    <w:p w14:paraId="67EF2112" w14:textId="77777777" w:rsidR="006971F7" w:rsidRDefault="006971F7" w:rsidP="006971F7">
      <w:pPr>
        <w:pStyle w:val="CommentText"/>
        <w:numPr>
          <w:ilvl w:val="0"/>
          <w:numId w:val="4"/>
        </w:numPr>
      </w:pPr>
      <w:r>
        <w:t xml:space="preserve"> Is Qualified</w:t>
      </w:r>
    </w:p>
    <w:p w14:paraId="5BD4AFD1" w14:textId="77777777" w:rsidR="006971F7" w:rsidRDefault="006971F7" w:rsidP="006971F7">
      <w:pPr>
        <w:pStyle w:val="CommentText"/>
        <w:numPr>
          <w:ilvl w:val="0"/>
          <w:numId w:val="4"/>
        </w:numPr>
      </w:pPr>
      <w:r>
        <w:t xml:space="preserve"> Plausibly requested reasonable accommodation. </w:t>
      </w:r>
    </w:p>
  </w:comment>
  <w:comment w:id="31" w:author="seth guthrie" w:date="2018-03-13T21:21:00Z" w:initials="sg">
    <w:p w14:paraId="48F2937D" w14:textId="77777777" w:rsidR="00175F71" w:rsidRDefault="00175F71" w:rsidP="00175F71">
      <w:pPr>
        <w:pStyle w:val="CommentText"/>
      </w:pPr>
      <w:r>
        <w:rPr>
          <w:rStyle w:val="CommentReference"/>
        </w:rPr>
        <w:annotationRef/>
      </w:r>
      <w:r>
        <w:t xml:space="preserve">Double check the cite.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B993BB" w15:done="0"/>
  <w15:commentEx w15:paraId="155C59E9" w15:done="0"/>
  <w15:commentEx w15:paraId="2AEC2977" w15:done="0"/>
  <w15:commentEx w15:paraId="7FEFCD3F" w15:done="0"/>
  <w15:commentEx w15:paraId="739052C4" w15:done="0"/>
  <w15:commentEx w15:paraId="2E8F449E" w15:done="0"/>
  <w15:commentEx w15:paraId="0250DEBB" w15:done="0"/>
  <w15:commentEx w15:paraId="4CC38875" w15:done="0"/>
  <w15:commentEx w15:paraId="405D4C1E" w15:done="0"/>
  <w15:commentEx w15:paraId="2BB052B5" w15:done="0"/>
  <w15:commentEx w15:paraId="352AC83C" w15:done="0"/>
  <w15:commentEx w15:paraId="19853C5B" w15:done="0"/>
  <w15:commentEx w15:paraId="743AE66F" w15:done="0"/>
  <w15:commentEx w15:paraId="6C13CA76" w15:done="0"/>
  <w15:commentEx w15:paraId="46BBF580" w15:done="0"/>
  <w15:commentEx w15:paraId="6BCF5F2E" w15:done="0"/>
  <w15:commentEx w15:paraId="3A4911B8" w15:done="0"/>
  <w15:commentEx w15:paraId="5BD4AFD1" w15:done="0"/>
  <w15:commentEx w15:paraId="48F293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B993BB" w16cid:durableId="1E512596"/>
  <w16cid:commentId w16cid:paraId="155C59E9" w16cid:durableId="1E5785A6"/>
  <w16cid:commentId w16cid:paraId="2AEC2977" w16cid:durableId="1E52EDA9"/>
  <w16cid:commentId w16cid:paraId="7FEFCD3F" w16cid:durableId="1E5786C8"/>
  <w16cid:commentId w16cid:paraId="739052C4" w16cid:durableId="1E556D1B"/>
  <w16cid:commentId w16cid:paraId="2E8F449E" w16cid:durableId="1E5551F7"/>
  <w16cid:commentId w16cid:paraId="0250DEBB" w16cid:durableId="1E5560B4"/>
  <w16cid:commentId w16cid:paraId="4CC38875" w16cid:durableId="1E556C37"/>
  <w16cid:commentId w16cid:paraId="405D4C1E" w16cid:durableId="1E57B13B"/>
  <w16cid:commentId w16cid:paraId="2BB052B5" w16cid:durableId="1E57B0DA"/>
  <w16cid:commentId w16cid:paraId="352AC83C" w16cid:durableId="1E5561D7"/>
  <w16cid:commentId w16cid:paraId="19853C5B" w16cid:durableId="1E557CB2"/>
  <w16cid:commentId w16cid:paraId="743AE66F" w16cid:durableId="1E57C0C3"/>
  <w16cid:commentId w16cid:paraId="6C13CA76" w16cid:durableId="1E57CAB7"/>
  <w16cid:commentId w16cid:paraId="46BBF580" w16cid:durableId="1E57CC39"/>
  <w16cid:commentId w16cid:paraId="6BCF5F2E" w16cid:durableId="1E57CE9E"/>
  <w16cid:commentId w16cid:paraId="3A4911B8" w16cid:durableId="1E52C87C"/>
  <w16cid:commentId w16cid:paraId="5BD4AFD1" w16cid:durableId="1E356331"/>
  <w16cid:commentId w16cid:paraId="48F2937D" w16cid:durableId="1E52BF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34DA4" w14:textId="77777777" w:rsidR="009122BA" w:rsidRDefault="009122BA" w:rsidP="009B5795">
      <w:pPr>
        <w:spacing w:line="240" w:lineRule="auto"/>
      </w:pPr>
      <w:r>
        <w:separator/>
      </w:r>
    </w:p>
  </w:endnote>
  <w:endnote w:type="continuationSeparator" w:id="0">
    <w:p w14:paraId="58A647C8" w14:textId="77777777" w:rsidR="009122BA" w:rsidRDefault="009122BA"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214EB" w14:textId="77777777" w:rsidR="009122BA" w:rsidRDefault="009122BA" w:rsidP="009B5795">
      <w:pPr>
        <w:spacing w:line="240" w:lineRule="auto"/>
      </w:pPr>
      <w:r>
        <w:separator/>
      </w:r>
    </w:p>
  </w:footnote>
  <w:footnote w:type="continuationSeparator" w:id="0">
    <w:p w14:paraId="71A33C60" w14:textId="77777777" w:rsidR="009122BA" w:rsidRDefault="009122BA"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7"/>
  </w:num>
  <w:num w:numId="5">
    <w:abstractNumId w:val="8"/>
  </w:num>
  <w:num w:numId="6">
    <w:abstractNumId w:val="9"/>
  </w:num>
  <w:num w:numId="7">
    <w:abstractNumId w:val="4"/>
  </w:num>
  <w:num w:numId="8">
    <w:abstractNumId w:val="6"/>
  </w:num>
  <w:num w:numId="9">
    <w:abstractNumId w:val="5"/>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2916"/>
    <w:rsid w:val="000036EA"/>
    <w:rsid w:val="00007E27"/>
    <w:rsid w:val="000113AE"/>
    <w:rsid w:val="00015942"/>
    <w:rsid w:val="00015CD5"/>
    <w:rsid w:val="0001661B"/>
    <w:rsid w:val="00024457"/>
    <w:rsid w:val="0002783F"/>
    <w:rsid w:val="00030D24"/>
    <w:rsid w:val="00034B89"/>
    <w:rsid w:val="0004213E"/>
    <w:rsid w:val="00043C08"/>
    <w:rsid w:val="00046A66"/>
    <w:rsid w:val="000474F1"/>
    <w:rsid w:val="00047F63"/>
    <w:rsid w:val="00050807"/>
    <w:rsid w:val="000508DE"/>
    <w:rsid w:val="00051322"/>
    <w:rsid w:val="000527A9"/>
    <w:rsid w:val="00055F62"/>
    <w:rsid w:val="0005612D"/>
    <w:rsid w:val="0005698A"/>
    <w:rsid w:val="00061F05"/>
    <w:rsid w:val="00066A88"/>
    <w:rsid w:val="000727BD"/>
    <w:rsid w:val="000729D9"/>
    <w:rsid w:val="000749B4"/>
    <w:rsid w:val="00074EBC"/>
    <w:rsid w:val="00077736"/>
    <w:rsid w:val="0008715A"/>
    <w:rsid w:val="00087D0F"/>
    <w:rsid w:val="00090F64"/>
    <w:rsid w:val="00096A44"/>
    <w:rsid w:val="000A649D"/>
    <w:rsid w:val="000A6B31"/>
    <w:rsid w:val="000A769E"/>
    <w:rsid w:val="000B0F3C"/>
    <w:rsid w:val="000B2CAF"/>
    <w:rsid w:val="000B4A10"/>
    <w:rsid w:val="000D1C17"/>
    <w:rsid w:val="000D2206"/>
    <w:rsid w:val="000D3802"/>
    <w:rsid w:val="000D5450"/>
    <w:rsid w:val="000D5879"/>
    <w:rsid w:val="000D59BC"/>
    <w:rsid w:val="000D6B98"/>
    <w:rsid w:val="000E0727"/>
    <w:rsid w:val="000E40D7"/>
    <w:rsid w:val="000E6093"/>
    <w:rsid w:val="000F66F6"/>
    <w:rsid w:val="00101859"/>
    <w:rsid w:val="00101D11"/>
    <w:rsid w:val="001026F9"/>
    <w:rsid w:val="00102D70"/>
    <w:rsid w:val="00104D6B"/>
    <w:rsid w:val="00106F50"/>
    <w:rsid w:val="001075D4"/>
    <w:rsid w:val="00115441"/>
    <w:rsid w:val="00116D02"/>
    <w:rsid w:val="00120DE5"/>
    <w:rsid w:val="0012322A"/>
    <w:rsid w:val="00123D4E"/>
    <w:rsid w:val="0012758E"/>
    <w:rsid w:val="00127A13"/>
    <w:rsid w:val="00130D5A"/>
    <w:rsid w:val="0013366D"/>
    <w:rsid w:val="00133675"/>
    <w:rsid w:val="001369C2"/>
    <w:rsid w:val="00136C29"/>
    <w:rsid w:val="00140A01"/>
    <w:rsid w:val="00141775"/>
    <w:rsid w:val="001442D7"/>
    <w:rsid w:val="001453C6"/>
    <w:rsid w:val="0015630E"/>
    <w:rsid w:val="00156B52"/>
    <w:rsid w:val="001575FF"/>
    <w:rsid w:val="00157746"/>
    <w:rsid w:val="00162F94"/>
    <w:rsid w:val="00162FA3"/>
    <w:rsid w:val="001631F6"/>
    <w:rsid w:val="00164711"/>
    <w:rsid w:val="00165EB9"/>
    <w:rsid w:val="00167333"/>
    <w:rsid w:val="0017192A"/>
    <w:rsid w:val="00171CD7"/>
    <w:rsid w:val="001743F5"/>
    <w:rsid w:val="00175F71"/>
    <w:rsid w:val="00181A73"/>
    <w:rsid w:val="00184C55"/>
    <w:rsid w:val="00185F57"/>
    <w:rsid w:val="0018694E"/>
    <w:rsid w:val="00187847"/>
    <w:rsid w:val="001879B5"/>
    <w:rsid w:val="00191EE2"/>
    <w:rsid w:val="00197C4B"/>
    <w:rsid w:val="001B51DF"/>
    <w:rsid w:val="001B6BE2"/>
    <w:rsid w:val="001B6DED"/>
    <w:rsid w:val="001C0839"/>
    <w:rsid w:val="001C2147"/>
    <w:rsid w:val="001C5958"/>
    <w:rsid w:val="001C6064"/>
    <w:rsid w:val="001C65B0"/>
    <w:rsid w:val="001D02BD"/>
    <w:rsid w:val="001D18D1"/>
    <w:rsid w:val="001D34CC"/>
    <w:rsid w:val="001D64C2"/>
    <w:rsid w:val="001E14A4"/>
    <w:rsid w:val="001E36E2"/>
    <w:rsid w:val="001E42F5"/>
    <w:rsid w:val="001E5235"/>
    <w:rsid w:val="001E5638"/>
    <w:rsid w:val="001E6334"/>
    <w:rsid w:val="001E634D"/>
    <w:rsid w:val="001F21FA"/>
    <w:rsid w:val="001F29B4"/>
    <w:rsid w:val="001F56BC"/>
    <w:rsid w:val="0020057A"/>
    <w:rsid w:val="002017E0"/>
    <w:rsid w:val="00203A21"/>
    <w:rsid w:val="002042CE"/>
    <w:rsid w:val="00205310"/>
    <w:rsid w:val="00211A1C"/>
    <w:rsid w:val="0021244C"/>
    <w:rsid w:val="00215909"/>
    <w:rsid w:val="00215CC3"/>
    <w:rsid w:val="00222A09"/>
    <w:rsid w:val="002257ED"/>
    <w:rsid w:val="00226758"/>
    <w:rsid w:val="00226B3E"/>
    <w:rsid w:val="00230242"/>
    <w:rsid w:val="002319E4"/>
    <w:rsid w:val="00234830"/>
    <w:rsid w:val="00237B72"/>
    <w:rsid w:val="00241EAF"/>
    <w:rsid w:val="002421DA"/>
    <w:rsid w:val="00242553"/>
    <w:rsid w:val="00243555"/>
    <w:rsid w:val="002448E9"/>
    <w:rsid w:val="0024631B"/>
    <w:rsid w:val="00247425"/>
    <w:rsid w:val="002506F6"/>
    <w:rsid w:val="0025083D"/>
    <w:rsid w:val="00250AFB"/>
    <w:rsid w:val="0025173B"/>
    <w:rsid w:val="002538AC"/>
    <w:rsid w:val="00254EAA"/>
    <w:rsid w:val="00257033"/>
    <w:rsid w:val="00257040"/>
    <w:rsid w:val="002607F4"/>
    <w:rsid w:val="002620E5"/>
    <w:rsid w:val="002628F5"/>
    <w:rsid w:val="002650B6"/>
    <w:rsid w:val="00265C31"/>
    <w:rsid w:val="00267A02"/>
    <w:rsid w:val="002700CF"/>
    <w:rsid w:val="00270D5D"/>
    <w:rsid w:val="002744D3"/>
    <w:rsid w:val="00277970"/>
    <w:rsid w:val="00277A0E"/>
    <w:rsid w:val="00282BBC"/>
    <w:rsid w:val="0028403D"/>
    <w:rsid w:val="00284B7D"/>
    <w:rsid w:val="00286173"/>
    <w:rsid w:val="00286B94"/>
    <w:rsid w:val="002877B5"/>
    <w:rsid w:val="00287C98"/>
    <w:rsid w:val="00292753"/>
    <w:rsid w:val="00293B5F"/>
    <w:rsid w:val="00297474"/>
    <w:rsid w:val="002A37B6"/>
    <w:rsid w:val="002A3E4B"/>
    <w:rsid w:val="002A7855"/>
    <w:rsid w:val="002A7872"/>
    <w:rsid w:val="002B4C56"/>
    <w:rsid w:val="002B4FDF"/>
    <w:rsid w:val="002B665D"/>
    <w:rsid w:val="002B70F1"/>
    <w:rsid w:val="002C080B"/>
    <w:rsid w:val="002C24B5"/>
    <w:rsid w:val="002C2545"/>
    <w:rsid w:val="002C484D"/>
    <w:rsid w:val="002C5448"/>
    <w:rsid w:val="002D05AF"/>
    <w:rsid w:val="002D224A"/>
    <w:rsid w:val="002E1EFE"/>
    <w:rsid w:val="002E2585"/>
    <w:rsid w:val="002E48C8"/>
    <w:rsid w:val="002F0E3E"/>
    <w:rsid w:val="002F3113"/>
    <w:rsid w:val="002F3BE6"/>
    <w:rsid w:val="002F5B28"/>
    <w:rsid w:val="002F6199"/>
    <w:rsid w:val="002F7277"/>
    <w:rsid w:val="0030224A"/>
    <w:rsid w:val="003037BA"/>
    <w:rsid w:val="00311554"/>
    <w:rsid w:val="00316A43"/>
    <w:rsid w:val="00317584"/>
    <w:rsid w:val="00324980"/>
    <w:rsid w:val="00326148"/>
    <w:rsid w:val="00326AC0"/>
    <w:rsid w:val="00326BEB"/>
    <w:rsid w:val="00330BE8"/>
    <w:rsid w:val="0033148A"/>
    <w:rsid w:val="0033311E"/>
    <w:rsid w:val="0033554F"/>
    <w:rsid w:val="0033576A"/>
    <w:rsid w:val="00340EF0"/>
    <w:rsid w:val="00342731"/>
    <w:rsid w:val="003446BD"/>
    <w:rsid w:val="00344C83"/>
    <w:rsid w:val="00346936"/>
    <w:rsid w:val="0034720F"/>
    <w:rsid w:val="0034727C"/>
    <w:rsid w:val="003477DB"/>
    <w:rsid w:val="00347E8B"/>
    <w:rsid w:val="00347F5A"/>
    <w:rsid w:val="003509EE"/>
    <w:rsid w:val="00351EEB"/>
    <w:rsid w:val="00354213"/>
    <w:rsid w:val="00357C61"/>
    <w:rsid w:val="003617B7"/>
    <w:rsid w:val="003646D7"/>
    <w:rsid w:val="00364AFE"/>
    <w:rsid w:val="00366359"/>
    <w:rsid w:val="00373EBC"/>
    <w:rsid w:val="0038230A"/>
    <w:rsid w:val="00385F40"/>
    <w:rsid w:val="00387FB7"/>
    <w:rsid w:val="0039158A"/>
    <w:rsid w:val="00392EE5"/>
    <w:rsid w:val="00393340"/>
    <w:rsid w:val="00396D6C"/>
    <w:rsid w:val="003978D9"/>
    <w:rsid w:val="00397DDC"/>
    <w:rsid w:val="003A1F4B"/>
    <w:rsid w:val="003A2C7A"/>
    <w:rsid w:val="003A6BA0"/>
    <w:rsid w:val="003A707B"/>
    <w:rsid w:val="003B41FC"/>
    <w:rsid w:val="003B6223"/>
    <w:rsid w:val="003C07E0"/>
    <w:rsid w:val="003C26B4"/>
    <w:rsid w:val="003C2807"/>
    <w:rsid w:val="003C4F5C"/>
    <w:rsid w:val="003C58A3"/>
    <w:rsid w:val="003C7280"/>
    <w:rsid w:val="003C7805"/>
    <w:rsid w:val="003C7892"/>
    <w:rsid w:val="003D06EB"/>
    <w:rsid w:val="003D0D45"/>
    <w:rsid w:val="003D18F7"/>
    <w:rsid w:val="003D28EA"/>
    <w:rsid w:val="003E0F16"/>
    <w:rsid w:val="003E539C"/>
    <w:rsid w:val="003E76D4"/>
    <w:rsid w:val="003F3099"/>
    <w:rsid w:val="00404A46"/>
    <w:rsid w:val="004103FA"/>
    <w:rsid w:val="004111E3"/>
    <w:rsid w:val="0041141C"/>
    <w:rsid w:val="0041162C"/>
    <w:rsid w:val="004119EB"/>
    <w:rsid w:val="00416882"/>
    <w:rsid w:val="004179E1"/>
    <w:rsid w:val="00417B46"/>
    <w:rsid w:val="00420316"/>
    <w:rsid w:val="0042203F"/>
    <w:rsid w:val="004222CB"/>
    <w:rsid w:val="0042250B"/>
    <w:rsid w:val="004226CD"/>
    <w:rsid w:val="0042443B"/>
    <w:rsid w:val="00424487"/>
    <w:rsid w:val="0042506B"/>
    <w:rsid w:val="004270F3"/>
    <w:rsid w:val="0042743D"/>
    <w:rsid w:val="004277A3"/>
    <w:rsid w:val="00433079"/>
    <w:rsid w:val="0043380D"/>
    <w:rsid w:val="00441E2A"/>
    <w:rsid w:val="004433F9"/>
    <w:rsid w:val="004439CE"/>
    <w:rsid w:val="00444F27"/>
    <w:rsid w:val="00446BF9"/>
    <w:rsid w:val="0044716D"/>
    <w:rsid w:val="0044745E"/>
    <w:rsid w:val="0044796F"/>
    <w:rsid w:val="00451502"/>
    <w:rsid w:val="004554B0"/>
    <w:rsid w:val="00455EAB"/>
    <w:rsid w:val="00457A3D"/>
    <w:rsid w:val="00460171"/>
    <w:rsid w:val="0046132A"/>
    <w:rsid w:val="00461D61"/>
    <w:rsid w:val="004631CD"/>
    <w:rsid w:val="00463862"/>
    <w:rsid w:val="004664C5"/>
    <w:rsid w:val="004727CA"/>
    <w:rsid w:val="0047333D"/>
    <w:rsid w:val="00474CCD"/>
    <w:rsid w:val="00480C5D"/>
    <w:rsid w:val="00481971"/>
    <w:rsid w:val="00482AE1"/>
    <w:rsid w:val="004852D1"/>
    <w:rsid w:val="00485778"/>
    <w:rsid w:val="00491B52"/>
    <w:rsid w:val="004928F3"/>
    <w:rsid w:val="00494DB3"/>
    <w:rsid w:val="00495276"/>
    <w:rsid w:val="0049703A"/>
    <w:rsid w:val="004A0D79"/>
    <w:rsid w:val="004A1454"/>
    <w:rsid w:val="004A6448"/>
    <w:rsid w:val="004A6824"/>
    <w:rsid w:val="004A6BA5"/>
    <w:rsid w:val="004B55EA"/>
    <w:rsid w:val="004B5960"/>
    <w:rsid w:val="004C47AD"/>
    <w:rsid w:val="004C50ED"/>
    <w:rsid w:val="004C6D1A"/>
    <w:rsid w:val="004C7B0C"/>
    <w:rsid w:val="004C7E24"/>
    <w:rsid w:val="004D4652"/>
    <w:rsid w:val="004D77B4"/>
    <w:rsid w:val="004E1541"/>
    <w:rsid w:val="004E16A2"/>
    <w:rsid w:val="00500197"/>
    <w:rsid w:val="00500ACA"/>
    <w:rsid w:val="00501337"/>
    <w:rsid w:val="00503374"/>
    <w:rsid w:val="00507CF1"/>
    <w:rsid w:val="005105F0"/>
    <w:rsid w:val="00514172"/>
    <w:rsid w:val="00515300"/>
    <w:rsid w:val="00521205"/>
    <w:rsid w:val="00521C83"/>
    <w:rsid w:val="005231AA"/>
    <w:rsid w:val="005237A9"/>
    <w:rsid w:val="00523E3C"/>
    <w:rsid w:val="005252D6"/>
    <w:rsid w:val="005255B4"/>
    <w:rsid w:val="005272F6"/>
    <w:rsid w:val="00535160"/>
    <w:rsid w:val="00543125"/>
    <w:rsid w:val="00545159"/>
    <w:rsid w:val="00545688"/>
    <w:rsid w:val="00546062"/>
    <w:rsid w:val="00546383"/>
    <w:rsid w:val="00553A5D"/>
    <w:rsid w:val="00555E31"/>
    <w:rsid w:val="0055677F"/>
    <w:rsid w:val="00564456"/>
    <w:rsid w:val="00565250"/>
    <w:rsid w:val="005668E6"/>
    <w:rsid w:val="00567BED"/>
    <w:rsid w:val="005729D1"/>
    <w:rsid w:val="005729FA"/>
    <w:rsid w:val="0057602D"/>
    <w:rsid w:val="00577C2E"/>
    <w:rsid w:val="00581D4F"/>
    <w:rsid w:val="00581FC5"/>
    <w:rsid w:val="005822C0"/>
    <w:rsid w:val="00582F04"/>
    <w:rsid w:val="0058525A"/>
    <w:rsid w:val="00585E08"/>
    <w:rsid w:val="005930BB"/>
    <w:rsid w:val="00593E1F"/>
    <w:rsid w:val="00594505"/>
    <w:rsid w:val="00595471"/>
    <w:rsid w:val="00596BBA"/>
    <w:rsid w:val="005A01D3"/>
    <w:rsid w:val="005A0716"/>
    <w:rsid w:val="005A66C8"/>
    <w:rsid w:val="005A69D0"/>
    <w:rsid w:val="005A703C"/>
    <w:rsid w:val="005A7175"/>
    <w:rsid w:val="005A7801"/>
    <w:rsid w:val="005B41F1"/>
    <w:rsid w:val="005B5916"/>
    <w:rsid w:val="005B5F0D"/>
    <w:rsid w:val="005C2F9E"/>
    <w:rsid w:val="005C35F1"/>
    <w:rsid w:val="005C5638"/>
    <w:rsid w:val="005C6B19"/>
    <w:rsid w:val="005C6EB2"/>
    <w:rsid w:val="005D0C06"/>
    <w:rsid w:val="005D19EC"/>
    <w:rsid w:val="005D2772"/>
    <w:rsid w:val="005D409D"/>
    <w:rsid w:val="005D64D9"/>
    <w:rsid w:val="005D6C8E"/>
    <w:rsid w:val="005D75E6"/>
    <w:rsid w:val="005E2749"/>
    <w:rsid w:val="005E2833"/>
    <w:rsid w:val="005E35B0"/>
    <w:rsid w:val="005E4967"/>
    <w:rsid w:val="005E7789"/>
    <w:rsid w:val="005E7938"/>
    <w:rsid w:val="005F3F93"/>
    <w:rsid w:val="005F7CDA"/>
    <w:rsid w:val="00602196"/>
    <w:rsid w:val="00603E13"/>
    <w:rsid w:val="00607FFA"/>
    <w:rsid w:val="006105E5"/>
    <w:rsid w:val="006122A8"/>
    <w:rsid w:val="00627F16"/>
    <w:rsid w:val="006328C4"/>
    <w:rsid w:val="0063340A"/>
    <w:rsid w:val="00633C58"/>
    <w:rsid w:val="0063451F"/>
    <w:rsid w:val="00636868"/>
    <w:rsid w:val="00637C01"/>
    <w:rsid w:val="00642D25"/>
    <w:rsid w:val="00647265"/>
    <w:rsid w:val="006533B2"/>
    <w:rsid w:val="00653E22"/>
    <w:rsid w:val="0065506D"/>
    <w:rsid w:val="006612B5"/>
    <w:rsid w:val="00663457"/>
    <w:rsid w:val="0066573E"/>
    <w:rsid w:val="00671EB8"/>
    <w:rsid w:val="00672508"/>
    <w:rsid w:val="00674A9F"/>
    <w:rsid w:val="0067582C"/>
    <w:rsid w:val="00675F6C"/>
    <w:rsid w:val="00675FB4"/>
    <w:rsid w:val="00682F81"/>
    <w:rsid w:val="006840E1"/>
    <w:rsid w:val="00684505"/>
    <w:rsid w:val="006877A3"/>
    <w:rsid w:val="00690C90"/>
    <w:rsid w:val="00691194"/>
    <w:rsid w:val="0069572E"/>
    <w:rsid w:val="006971F7"/>
    <w:rsid w:val="00697D14"/>
    <w:rsid w:val="006A1D81"/>
    <w:rsid w:val="006A2249"/>
    <w:rsid w:val="006A2D2F"/>
    <w:rsid w:val="006A5836"/>
    <w:rsid w:val="006A5B64"/>
    <w:rsid w:val="006A6D75"/>
    <w:rsid w:val="006B2DA6"/>
    <w:rsid w:val="006B31AE"/>
    <w:rsid w:val="006B3D69"/>
    <w:rsid w:val="006B46D9"/>
    <w:rsid w:val="006B5086"/>
    <w:rsid w:val="006B5E67"/>
    <w:rsid w:val="006C046D"/>
    <w:rsid w:val="006C227C"/>
    <w:rsid w:val="006C4AF1"/>
    <w:rsid w:val="006C7042"/>
    <w:rsid w:val="006D239B"/>
    <w:rsid w:val="006D4508"/>
    <w:rsid w:val="006D4B02"/>
    <w:rsid w:val="006D5CA8"/>
    <w:rsid w:val="006E1D0A"/>
    <w:rsid w:val="006E230E"/>
    <w:rsid w:val="006E2734"/>
    <w:rsid w:val="006E2D84"/>
    <w:rsid w:val="006E2D95"/>
    <w:rsid w:val="006E3CB0"/>
    <w:rsid w:val="006E75F2"/>
    <w:rsid w:val="006F4310"/>
    <w:rsid w:val="006F45BB"/>
    <w:rsid w:val="006F5827"/>
    <w:rsid w:val="006F774E"/>
    <w:rsid w:val="00701969"/>
    <w:rsid w:val="007041F9"/>
    <w:rsid w:val="007053A7"/>
    <w:rsid w:val="0070566A"/>
    <w:rsid w:val="00707ADF"/>
    <w:rsid w:val="00712A3D"/>
    <w:rsid w:val="007133B8"/>
    <w:rsid w:val="007201FD"/>
    <w:rsid w:val="00726DA9"/>
    <w:rsid w:val="00727C1B"/>
    <w:rsid w:val="00731D01"/>
    <w:rsid w:val="00732E70"/>
    <w:rsid w:val="00733D26"/>
    <w:rsid w:val="007353C8"/>
    <w:rsid w:val="007415A9"/>
    <w:rsid w:val="007416DB"/>
    <w:rsid w:val="007449C7"/>
    <w:rsid w:val="00745570"/>
    <w:rsid w:val="00746255"/>
    <w:rsid w:val="00750BFF"/>
    <w:rsid w:val="007511CB"/>
    <w:rsid w:val="00755550"/>
    <w:rsid w:val="007574E0"/>
    <w:rsid w:val="00764AEA"/>
    <w:rsid w:val="00766500"/>
    <w:rsid w:val="00766A6C"/>
    <w:rsid w:val="00766DC5"/>
    <w:rsid w:val="0076723F"/>
    <w:rsid w:val="00770384"/>
    <w:rsid w:val="00770B24"/>
    <w:rsid w:val="00770C8F"/>
    <w:rsid w:val="007725E5"/>
    <w:rsid w:val="007730C0"/>
    <w:rsid w:val="0077354F"/>
    <w:rsid w:val="00776B8A"/>
    <w:rsid w:val="0078051C"/>
    <w:rsid w:val="007805A9"/>
    <w:rsid w:val="00780ED2"/>
    <w:rsid w:val="007846BE"/>
    <w:rsid w:val="00790AA5"/>
    <w:rsid w:val="00790EAE"/>
    <w:rsid w:val="007927AD"/>
    <w:rsid w:val="00794C0D"/>
    <w:rsid w:val="007954B2"/>
    <w:rsid w:val="00796FD5"/>
    <w:rsid w:val="007972B8"/>
    <w:rsid w:val="007A06F1"/>
    <w:rsid w:val="007A0868"/>
    <w:rsid w:val="007B2B67"/>
    <w:rsid w:val="007B35A4"/>
    <w:rsid w:val="007B3AB5"/>
    <w:rsid w:val="007B549E"/>
    <w:rsid w:val="007B66B3"/>
    <w:rsid w:val="007C0FD6"/>
    <w:rsid w:val="007C14CA"/>
    <w:rsid w:val="007C3421"/>
    <w:rsid w:val="007C50FD"/>
    <w:rsid w:val="007C696B"/>
    <w:rsid w:val="007C6975"/>
    <w:rsid w:val="007C6EEA"/>
    <w:rsid w:val="007C7E90"/>
    <w:rsid w:val="007D0AFF"/>
    <w:rsid w:val="007D0C25"/>
    <w:rsid w:val="007D2926"/>
    <w:rsid w:val="007D3C10"/>
    <w:rsid w:val="007D45C9"/>
    <w:rsid w:val="007D5E68"/>
    <w:rsid w:val="007D69B9"/>
    <w:rsid w:val="007E2987"/>
    <w:rsid w:val="007E4689"/>
    <w:rsid w:val="007E5DDE"/>
    <w:rsid w:val="007E7481"/>
    <w:rsid w:val="007F3C15"/>
    <w:rsid w:val="007F772E"/>
    <w:rsid w:val="007F78B8"/>
    <w:rsid w:val="008002E3"/>
    <w:rsid w:val="008007C0"/>
    <w:rsid w:val="00803707"/>
    <w:rsid w:val="008059F0"/>
    <w:rsid w:val="00806A72"/>
    <w:rsid w:val="0080702E"/>
    <w:rsid w:val="008077C6"/>
    <w:rsid w:val="00813B79"/>
    <w:rsid w:val="00815817"/>
    <w:rsid w:val="00815C2F"/>
    <w:rsid w:val="0081691D"/>
    <w:rsid w:val="008174C3"/>
    <w:rsid w:val="00820E11"/>
    <w:rsid w:val="00821733"/>
    <w:rsid w:val="00821887"/>
    <w:rsid w:val="008229DB"/>
    <w:rsid w:val="00824ED2"/>
    <w:rsid w:val="0083074F"/>
    <w:rsid w:val="008413A7"/>
    <w:rsid w:val="008458F6"/>
    <w:rsid w:val="00846DE1"/>
    <w:rsid w:val="008527A1"/>
    <w:rsid w:val="00852872"/>
    <w:rsid w:val="00853CE5"/>
    <w:rsid w:val="008609FE"/>
    <w:rsid w:val="008625FE"/>
    <w:rsid w:val="008626A3"/>
    <w:rsid w:val="00865743"/>
    <w:rsid w:val="008719AD"/>
    <w:rsid w:val="00872ED1"/>
    <w:rsid w:val="008736F4"/>
    <w:rsid w:val="008741BF"/>
    <w:rsid w:val="00875FF6"/>
    <w:rsid w:val="008810B8"/>
    <w:rsid w:val="008826FD"/>
    <w:rsid w:val="00882E79"/>
    <w:rsid w:val="00887EAC"/>
    <w:rsid w:val="0089107C"/>
    <w:rsid w:val="008921D4"/>
    <w:rsid w:val="008924C4"/>
    <w:rsid w:val="00894EFF"/>
    <w:rsid w:val="00895522"/>
    <w:rsid w:val="008A01F1"/>
    <w:rsid w:val="008A2310"/>
    <w:rsid w:val="008A275F"/>
    <w:rsid w:val="008A6242"/>
    <w:rsid w:val="008B0E05"/>
    <w:rsid w:val="008B42CA"/>
    <w:rsid w:val="008B51EA"/>
    <w:rsid w:val="008B5413"/>
    <w:rsid w:val="008B702F"/>
    <w:rsid w:val="008C0A01"/>
    <w:rsid w:val="008C12BB"/>
    <w:rsid w:val="008C50FE"/>
    <w:rsid w:val="008C7550"/>
    <w:rsid w:val="008C7CA8"/>
    <w:rsid w:val="008D0305"/>
    <w:rsid w:val="008D2283"/>
    <w:rsid w:val="008D6816"/>
    <w:rsid w:val="008E0278"/>
    <w:rsid w:val="008E0988"/>
    <w:rsid w:val="008E4BE6"/>
    <w:rsid w:val="008F0125"/>
    <w:rsid w:val="008F2D03"/>
    <w:rsid w:val="008F7C48"/>
    <w:rsid w:val="009025B1"/>
    <w:rsid w:val="00903DFF"/>
    <w:rsid w:val="00904F0A"/>
    <w:rsid w:val="00906BE9"/>
    <w:rsid w:val="00910991"/>
    <w:rsid w:val="009122BA"/>
    <w:rsid w:val="00912D5D"/>
    <w:rsid w:val="00917355"/>
    <w:rsid w:val="00917A29"/>
    <w:rsid w:val="00917E00"/>
    <w:rsid w:val="00921B3B"/>
    <w:rsid w:val="009265C1"/>
    <w:rsid w:val="00932378"/>
    <w:rsid w:val="0093504C"/>
    <w:rsid w:val="00937F57"/>
    <w:rsid w:val="00940228"/>
    <w:rsid w:val="009408AA"/>
    <w:rsid w:val="00942D5A"/>
    <w:rsid w:val="00944D80"/>
    <w:rsid w:val="009479B1"/>
    <w:rsid w:val="00950924"/>
    <w:rsid w:val="00952498"/>
    <w:rsid w:val="00952AD2"/>
    <w:rsid w:val="00953197"/>
    <w:rsid w:val="00957661"/>
    <w:rsid w:val="00957703"/>
    <w:rsid w:val="00962FBA"/>
    <w:rsid w:val="00962FCA"/>
    <w:rsid w:val="00963069"/>
    <w:rsid w:val="00966838"/>
    <w:rsid w:val="00966B81"/>
    <w:rsid w:val="00966DDB"/>
    <w:rsid w:val="00967C08"/>
    <w:rsid w:val="00967EE7"/>
    <w:rsid w:val="0097220E"/>
    <w:rsid w:val="00974DAF"/>
    <w:rsid w:val="00977BAA"/>
    <w:rsid w:val="009816D7"/>
    <w:rsid w:val="00983A0E"/>
    <w:rsid w:val="00984660"/>
    <w:rsid w:val="00986954"/>
    <w:rsid w:val="00992300"/>
    <w:rsid w:val="00993C76"/>
    <w:rsid w:val="009A47CF"/>
    <w:rsid w:val="009A50E7"/>
    <w:rsid w:val="009A6637"/>
    <w:rsid w:val="009A6C37"/>
    <w:rsid w:val="009B0D5B"/>
    <w:rsid w:val="009B2674"/>
    <w:rsid w:val="009B3942"/>
    <w:rsid w:val="009B5795"/>
    <w:rsid w:val="009B598F"/>
    <w:rsid w:val="009B5DB1"/>
    <w:rsid w:val="009C12AE"/>
    <w:rsid w:val="009C1CE1"/>
    <w:rsid w:val="009C3519"/>
    <w:rsid w:val="009C3882"/>
    <w:rsid w:val="009C66F1"/>
    <w:rsid w:val="009D36EB"/>
    <w:rsid w:val="009D3C42"/>
    <w:rsid w:val="009D5154"/>
    <w:rsid w:val="009E392B"/>
    <w:rsid w:val="009E5FDE"/>
    <w:rsid w:val="009F1526"/>
    <w:rsid w:val="009F561A"/>
    <w:rsid w:val="009F63B2"/>
    <w:rsid w:val="009F76E5"/>
    <w:rsid w:val="00A01767"/>
    <w:rsid w:val="00A021F9"/>
    <w:rsid w:val="00A03220"/>
    <w:rsid w:val="00A03B6C"/>
    <w:rsid w:val="00A04B19"/>
    <w:rsid w:val="00A053FB"/>
    <w:rsid w:val="00A128CB"/>
    <w:rsid w:val="00A15044"/>
    <w:rsid w:val="00A17C97"/>
    <w:rsid w:val="00A21EC2"/>
    <w:rsid w:val="00A23CD6"/>
    <w:rsid w:val="00A25143"/>
    <w:rsid w:val="00A30466"/>
    <w:rsid w:val="00A30CB7"/>
    <w:rsid w:val="00A31A83"/>
    <w:rsid w:val="00A32BC9"/>
    <w:rsid w:val="00A337C3"/>
    <w:rsid w:val="00A36DFB"/>
    <w:rsid w:val="00A40B2A"/>
    <w:rsid w:val="00A43437"/>
    <w:rsid w:val="00A4685F"/>
    <w:rsid w:val="00A47F44"/>
    <w:rsid w:val="00A553C7"/>
    <w:rsid w:val="00A55870"/>
    <w:rsid w:val="00A56E35"/>
    <w:rsid w:val="00A56F21"/>
    <w:rsid w:val="00A600AA"/>
    <w:rsid w:val="00A60239"/>
    <w:rsid w:val="00A633B5"/>
    <w:rsid w:val="00A6489B"/>
    <w:rsid w:val="00A65040"/>
    <w:rsid w:val="00A6525B"/>
    <w:rsid w:val="00A66E1A"/>
    <w:rsid w:val="00A67795"/>
    <w:rsid w:val="00A67DDA"/>
    <w:rsid w:val="00A73481"/>
    <w:rsid w:val="00A74C4A"/>
    <w:rsid w:val="00A75F85"/>
    <w:rsid w:val="00A76AC4"/>
    <w:rsid w:val="00A77224"/>
    <w:rsid w:val="00A773A3"/>
    <w:rsid w:val="00A80099"/>
    <w:rsid w:val="00A80AA1"/>
    <w:rsid w:val="00A91094"/>
    <w:rsid w:val="00A91BFA"/>
    <w:rsid w:val="00A94A9C"/>
    <w:rsid w:val="00A956B8"/>
    <w:rsid w:val="00A95DCF"/>
    <w:rsid w:val="00A96FCE"/>
    <w:rsid w:val="00AA27B1"/>
    <w:rsid w:val="00AA28EC"/>
    <w:rsid w:val="00AA29D5"/>
    <w:rsid w:val="00AA460A"/>
    <w:rsid w:val="00AA4D69"/>
    <w:rsid w:val="00AA76ED"/>
    <w:rsid w:val="00AA77A2"/>
    <w:rsid w:val="00AB0BB6"/>
    <w:rsid w:val="00AB1D4D"/>
    <w:rsid w:val="00AB2477"/>
    <w:rsid w:val="00AB5CD1"/>
    <w:rsid w:val="00AC0F23"/>
    <w:rsid w:val="00AC30B7"/>
    <w:rsid w:val="00AC7FE2"/>
    <w:rsid w:val="00AD08CF"/>
    <w:rsid w:val="00AD31DC"/>
    <w:rsid w:val="00AD5EBC"/>
    <w:rsid w:val="00AD69E8"/>
    <w:rsid w:val="00AE1838"/>
    <w:rsid w:val="00AE1D9D"/>
    <w:rsid w:val="00AE325C"/>
    <w:rsid w:val="00AE38F2"/>
    <w:rsid w:val="00AE39F9"/>
    <w:rsid w:val="00AE4D3F"/>
    <w:rsid w:val="00AE6D09"/>
    <w:rsid w:val="00AE6DD4"/>
    <w:rsid w:val="00AE793D"/>
    <w:rsid w:val="00AF5DF4"/>
    <w:rsid w:val="00AF6AD8"/>
    <w:rsid w:val="00AF6C98"/>
    <w:rsid w:val="00AF7FB9"/>
    <w:rsid w:val="00B0412A"/>
    <w:rsid w:val="00B05D5E"/>
    <w:rsid w:val="00B062C9"/>
    <w:rsid w:val="00B1120B"/>
    <w:rsid w:val="00B12CDD"/>
    <w:rsid w:val="00B12E29"/>
    <w:rsid w:val="00B1380A"/>
    <w:rsid w:val="00B147DB"/>
    <w:rsid w:val="00B14DEB"/>
    <w:rsid w:val="00B179B3"/>
    <w:rsid w:val="00B201AD"/>
    <w:rsid w:val="00B21183"/>
    <w:rsid w:val="00B21A24"/>
    <w:rsid w:val="00B23A87"/>
    <w:rsid w:val="00B24A40"/>
    <w:rsid w:val="00B25D3F"/>
    <w:rsid w:val="00B349DD"/>
    <w:rsid w:val="00B34D47"/>
    <w:rsid w:val="00B427B5"/>
    <w:rsid w:val="00B42A2D"/>
    <w:rsid w:val="00B42CAC"/>
    <w:rsid w:val="00B46775"/>
    <w:rsid w:val="00B50A06"/>
    <w:rsid w:val="00B510FD"/>
    <w:rsid w:val="00B53EC5"/>
    <w:rsid w:val="00B563A7"/>
    <w:rsid w:val="00B57988"/>
    <w:rsid w:val="00B60156"/>
    <w:rsid w:val="00B6142F"/>
    <w:rsid w:val="00B63774"/>
    <w:rsid w:val="00B67FA9"/>
    <w:rsid w:val="00B7574D"/>
    <w:rsid w:val="00B76E7E"/>
    <w:rsid w:val="00B80374"/>
    <w:rsid w:val="00B81227"/>
    <w:rsid w:val="00B81D01"/>
    <w:rsid w:val="00B9151A"/>
    <w:rsid w:val="00B92660"/>
    <w:rsid w:val="00B92EDE"/>
    <w:rsid w:val="00B95189"/>
    <w:rsid w:val="00BA4F2E"/>
    <w:rsid w:val="00BA5C15"/>
    <w:rsid w:val="00BA60C7"/>
    <w:rsid w:val="00BB0463"/>
    <w:rsid w:val="00BB0BE5"/>
    <w:rsid w:val="00BB5423"/>
    <w:rsid w:val="00BC2487"/>
    <w:rsid w:val="00BC306B"/>
    <w:rsid w:val="00BC47FA"/>
    <w:rsid w:val="00BC4889"/>
    <w:rsid w:val="00BC623A"/>
    <w:rsid w:val="00BC7DE7"/>
    <w:rsid w:val="00BD0AAF"/>
    <w:rsid w:val="00BD1BB0"/>
    <w:rsid w:val="00BD48A9"/>
    <w:rsid w:val="00BD4C48"/>
    <w:rsid w:val="00BD5D02"/>
    <w:rsid w:val="00BD6818"/>
    <w:rsid w:val="00BD73C3"/>
    <w:rsid w:val="00BE000A"/>
    <w:rsid w:val="00BE1DB5"/>
    <w:rsid w:val="00BE35D2"/>
    <w:rsid w:val="00BE5457"/>
    <w:rsid w:val="00BF032B"/>
    <w:rsid w:val="00BF1979"/>
    <w:rsid w:val="00BF1A32"/>
    <w:rsid w:val="00BF2CF3"/>
    <w:rsid w:val="00BF3EEB"/>
    <w:rsid w:val="00BF7DF9"/>
    <w:rsid w:val="00C005D7"/>
    <w:rsid w:val="00C036E3"/>
    <w:rsid w:val="00C047F8"/>
    <w:rsid w:val="00C0572F"/>
    <w:rsid w:val="00C1573E"/>
    <w:rsid w:val="00C15AEF"/>
    <w:rsid w:val="00C2659B"/>
    <w:rsid w:val="00C30290"/>
    <w:rsid w:val="00C3070D"/>
    <w:rsid w:val="00C316DC"/>
    <w:rsid w:val="00C3239A"/>
    <w:rsid w:val="00C3269B"/>
    <w:rsid w:val="00C35BDA"/>
    <w:rsid w:val="00C37C3B"/>
    <w:rsid w:val="00C408AE"/>
    <w:rsid w:val="00C41510"/>
    <w:rsid w:val="00C43465"/>
    <w:rsid w:val="00C47AFB"/>
    <w:rsid w:val="00C5016E"/>
    <w:rsid w:val="00C50B8F"/>
    <w:rsid w:val="00C57078"/>
    <w:rsid w:val="00C6244B"/>
    <w:rsid w:val="00C640F8"/>
    <w:rsid w:val="00C64ECF"/>
    <w:rsid w:val="00C708BF"/>
    <w:rsid w:val="00C734B3"/>
    <w:rsid w:val="00C808F6"/>
    <w:rsid w:val="00C84968"/>
    <w:rsid w:val="00C86668"/>
    <w:rsid w:val="00C87E6E"/>
    <w:rsid w:val="00C87EBF"/>
    <w:rsid w:val="00C93CDD"/>
    <w:rsid w:val="00C946B7"/>
    <w:rsid w:val="00C94BD3"/>
    <w:rsid w:val="00C961AF"/>
    <w:rsid w:val="00C9711D"/>
    <w:rsid w:val="00CA0E3F"/>
    <w:rsid w:val="00CA2620"/>
    <w:rsid w:val="00CA397A"/>
    <w:rsid w:val="00CA5F5E"/>
    <w:rsid w:val="00CA7A6B"/>
    <w:rsid w:val="00CB106B"/>
    <w:rsid w:val="00CB57E6"/>
    <w:rsid w:val="00CB580A"/>
    <w:rsid w:val="00CB6365"/>
    <w:rsid w:val="00CB7681"/>
    <w:rsid w:val="00CC211A"/>
    <w:rsid w:val="00CC440E"/>
    <w:rsid w:val="00CC7DBB"/>
    <w:rsid w:val="00CD0FD2"/>
    <w:rsid w:val="00CD1859"/>
    <w:rsid w:val="00CD1F1D"/>
    <w:rsid w:val="00CD2B59"/>
    <w:rsid w:val="00CD5FA6"/>
    <w:rsid w:val="00CE4E61"/>
    <w:rsid w:val="00CE5E7D"/>
    <w:rsid w:val="00CE6E31"/>
    <w:rsid w:val="00CF20AF"/>
    <w:rsid w:val="00CF246F"/>
    <w:rsid w:val="00CF7683"/>
    <w:rsid w:val="00D010F8"/>
    <w:rsid w:val="00D01B0F"/>
    <w:rsid w:val="00D03066"/>
    <w:rsid w:val="00D06858"/>
    <w:rsid w:val="00D119BA"/>
    <w:rsid w:val="00D126BB"/>
    <w:rsid w:val="00D14385"/>
    <w:rsid w:val="00D167AC"/>
    <w:rsid w:val="00D17E95"/>
    <w:rsid w:val="00D17FE8"/>
    <w:rsid w:val="00D2006D"/>
    <w:rsid w:val="00D21B46"/>
    <w:rsid w:val="00D35564"/>
    <w:rsid w:val="00D36ACE"/>
    <w:rsid w:val="00D42C5B"/>
    <w:rsid w:val="00D47298"/>
    <w:rsid w:val="00D476E0"/>
    <w:rsid w:val="00D55433"/>
    <w:rsid w:val="00D55FB1"/>
    <w:rsid w:val="00D565FB"/>
    <w:rsid w:val="00D56D39"/>
    <w:rsid w:val="00D6050C"/>
    <w:rsid w:val="00D619D3"/>
    <w:rsid w:val="00D628AD"/>
    <w:rsid w:val="00D649D5"/>
    <w:rsid w:val="00D73F63"/>
    <w:rsid w:val="00D77BBF"/>
    <w:rsid w:val="00D814CF"/>
    <w:rsid w:val="00D831F7"/>
    <w:rsid w:val="00D85812"/>
    <w:rsid w:val="00D85B75"/>
    <w:rsid w:val="00D87D06"/>
    <w:rsid w:val="00D92577"/>
    <w:rsid w:val="00D9664D"/>
    <w:rsid w:val="00DA0C5B"/>
    <w:rsid w:val="00DA0EB6"/>
    <w:rsid w:val="00DA3A89"/>
    <w:rsid w:val="00DA5BC1"/>
    <w:rsid w:val="00DB274D"/>
    <w:rsid w:val="00DB46AA"/>
    <w:rsid w:val="00DB7EB6"/>
    <w:rsid w:val="00DC3BE3"/>
    <w:rsid w:val="00DD1549"/>
    <w:rsid w:val="00DD4517"/>
    <w:rsid w:val="00DD500F"/>
    <w:rsid w:val="00DD7178"/>
    <w:rsid w:val="00DE04E5"/>
    <w:rsid w:val="00DE2E35"/>
    <w:rsid w:val="00DE6FF0"/>
    <w:rsid w:val="00DF4341"/>
    <w:rsid w:val="00DF5707"/>
    <w:rsid w:val="00DF64A2"/>
    <w:rsid w:val="00DF7C7F"/>
    <w:rsid w:val="00DF7FB8"/>
    <w:rsid w:val="00E002AD"/>
    <w:rsid w:val="00E004D7"/>
    <w:rsid w:val="00E02D14"/>
    <w:rsid w:val="00E0300F"/>
    <w:rsid w:val="00E05117"/>
    <w:rsid w:val="00E116C8"/>
    <w:rsid w:val="00E12413"/>
    <w:rsid w:val="00E1336A"/>
    <w:rsid w:val="00E14EAD"/>
    <w:rsid w:val="00E20F83"/>
    <w:rsid w:val="00E2794F"/>
    <w:rsid w:val="00E27C8B"/>
    <w:rsid w:val="00E322A1"/>
    <w:rsid w:val="00E365EC"/>
    <w:rsid w:val="00E42E42"/>
    <w:rsid w:val="00E430CA"/>
    <w:rsid w:val="00E445AD"/>
    <w:rsid w:val="00E470BF"/>
    <w:rsid w:val="00E50200"/>
    <w:rsid w:val="00E50E4D"/>
    <w:rsid w:val="00E51737"/>
    <w:rsid w:val="00E51DDC"/>
    <w:rsid w:val="00E52E4E"/>
    <w:rsid w:val="00E53BD3"/>
    <w:rsid w:val="00E5465D"/>
    <w:rsid w:val="00E628FC"/>
    <w:rsid w:val="00E62F9C"/>
    <w:rsid w:val="00E6459E"/>
    <w:rsid w:val="00E65758"/>
    <w:rsid w:val="00E70B74"/>
    <w:rsid w:val="00E74FD6"/>
    <w:rsid w:val="00E7593A"/>
    <w:rsid w:val="00E764CC"/>
    <w:rsid w:val="00E76B3A"/>
    <w:rsid w:val="00E77433"/>
    <w:rsid w:val="00E778E1"/>
    <w:rsid w:val="00E806ED"/>
    <w:rsid w:val="00E81A70"/>
    <w:rsid w:val="00E84045"/>
    <w:rsid w:val="00E844E8"/>
    <w:rsid w:val="00E85199"/>
    <w:rsid w:val="00E86F65"/>
    <w:rsid w:val="00E927FD"/>
    <w:rsid w:val="00E93781"/>
    <w:rsid w:val="00E93C8F"/>
    <w:rsid w:val="00E94E91"/>
    <w:rsid w:val="00E95A0F"/>
    <w:rsid w:val="00E966C9"/>
    <w:rsid w:val="00E972DD"/>
    <w:rsid w:val="00EA0502"/>
    <w:rsid w:val="00EA319F"/>
    <w:rsid w:val="00EA3D4B"/>
    <w:rsid w:val="00EA462B"/>
    <w:rsid w:val="00EA559E"/>
    <w:rsid w:val="00EA5713"/>
    <w:rsid w:val="00EA6010"/>
    <w:rsid w:val="00EB1B20"/>
    <w:rsid w:val="00EB2A57"/>
    <w:rsid w:val="00EB2D19"/>
    <w:rsid w:val="00EB3515"/>
    <w:rsid w:val="00EB7753"/>
    <w:rsid w:val="00EB7D2C"/>
    <w:rsid w:val="00EC383E"/>
    <w:rsid w:val="00EC5308"/>
    <w:rsid w:val="00EC6F49"/>
    <w:rsid w:val="00ED0866"/>
    <w:rsid w:val="00ED2429"/>
    <w:rsid w:val="00ED2D4A"/>
    <w:rsid w:val="00ED30ED"/>
    <w:rsid w:val="00ED614F"/>
    <w:rsid w:val="00EE1D56"/>
    <w:rsid w:val="00EE1DE8"/>
    <w:rsid w:val="00EE22CB"/>
    <w:rsid w:val="00EE6A09"/>
    <w:rsid w:val="00EE6A5A"/>
    <w:rsid w:val="00EE755C"/>
    <w:rsid w:val="00EE75C2"/>
    <w:rsid w:val="00EF16B4"/>
    <w:rsid w:val="00EF1C51"/>
    <w:rsid w:val="00EF3EC2"/>
    <w:rsid w:val="00F034B3"/>
    <w:rsid w:val="00F04229"/>
    <w:rsid w:val="00F04E6D"/>
    <w:rsid w:val="00F158A9"/>
    <w:rsid w:val="00F15963"/>
    <w:rsid w:val="00F20759"/>
    <w:rsid w:val="00F260E0"/>
    <w:rsid w:val="00F2634A"/>
    <w:rsid w:val="00F27751"/>
    <w:rsid w:val="00F27817"/>
    <w:rsid w:val="00F27C2E"/>
    <w:rsid w:val="00F30104"/>
    <w:rsid w:val="00F306CC"/>
    <w:rsid w:val="00F326FE"/>
    <w:rsid w:val="00F32D4D"/>
    <w:rsid w:val="00F34B68"/>
    <w:rsid w:val="00F35648"/>
    <w:rsid w:val="00F37C5C"/>
    <w:rsid w:val="00F4059A"/>
    <w:rsid w:val="00F417E7"/>
    <w:rsid w:val="00F41AA1"/>
    <w:rsid w:val="00F44FA5"/>
    <w:rsid w:val="00F464A0"/>
    <w:rsid w:val="00F5413B"/>
    <w:rsid w:val="00F5688D"/>
    <w:rsid w:val="00F60293"/>
    <w:rsid w:val="00F6175A"/>
    <w:rsid w:val="00F62093"/>
    <w:rsid w:val="00F70CAE"/>
    <w:rsid w:val="00F7124D"/>
    <w:rsid w:val="00F718AC"/>
    <w:rsid w:val="00F71FBA"/>
    <w:rsid w:val="00F73590"/>
    <w:rsid w:val="00F7405E"/>
    <w:rsid w:val="00F82890"/>
    <w:rsid w:val="00F82A5F"/>
    <w:rsid w:val="00F86843"/>
    <w:rsid w:val="00F9349E"/>
    <w:rsid w:val="00F93FD6"/>
    <w:rsid w:val="00F94AB5"/>
    <w:rsid w:val="00F94F9D"/>
    <w:rsid w:val="00F97DB5"/>
    <w:rsid w:val="00FA1503"/>
    <w:rsid w:val="00FA5DFA"/>
    <w:rsid w:val="00FA6369"/>
    <w:rsid w:val="00FB07C2"/>
    <w:rsid w:val="00FB29F6"/>
    <w:rsid w:val="00FB3847"/>
    <w:rsid w:val="00FB40AC"/>
    <w:rsid w:val="00FB4D77"/>
    <w:rsid w:val="00FB4EA6"/>
    <w:rsid w:val="00FB7667"/>
    <w:rsid w:val="00FC1818"/>
    <w:rsid w:val="00FC4F36"/>
    <w:rsid w:val="00FC79C4"/>
    <w:rsid w:val="00FD31F4"/>
    <w:rsid w:val="00FD5C83"/>
    <w:rsid w:val="00FE05ED"/>
    <w:rsid w:val="00FE3898"/>
    <w:rsid w:val="00FF122F"/>
    <w:rsid w:val="00FF182D"/>
    <w:rsid w:val="00FF3351"/>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B179B3"/>
    <w:pPr>
      <w:keepNext/>
      <w:keepLines/>
      <w:spacing w:before="24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B179B3"/>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B179B3"/>
    <w:rPr>
      <w:rFonts w:eastAsiaTheme="majorEastAsia" w:cstheme="majorBidi"/>
      <w:color w:val="000000" w:themeColor="text1"/>
      <w:szCs w:val="32"/>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B179B3"/>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455EAB"/>
    <w:pPr>
      <w:spacing w:after="100"/>
      <w:ind w:left="48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E3250-D287-4FCC-BD64-84C61D1B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17</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1058</cp:revision>
  <dcterms:created xsi:type="dcterms:W3CDTF">2018-02-13T23:33:00Z</dcterms:created>
  <dcterms:modified xsi:type="dcterms:W3CDTF">2018-03-17T21:34:00Z</dcterms:modified>
</cp:coreProperties>
</file>