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E683" w14:textId="77777777" w:rsidR="00BC306B" w:rsidRPr="000D59BC" w:rsidRDefault="00BC306B" w:rsidP="00D476E0">
      <w:pPr>
        <w:ind w:firstLine="0"/>
        <w:jc w:val="center"/>
        <w:rPr>
          <w:rFonts w:cs="Times New Roman"/>
          <w:szCs w:val="24"/>
        </w:rPr>
      </w:pPr>
    </w:p>
    <w:p w14:paraId="2B35A415" w14:textId="77777777" w:rsidR="00BC306B" w:rsidRPr="000D59BC" w:rsidRDefault="00BC306B" w:rsidP="00D476E0">
      <w:pPr>
        <w:ind w:firstLine="0"/>
        <w:jc w:val="center"/>
        <w:rPr>
          <w:rFonts w:cs="Times New Roman"/>
          <w:szCs w:val="24"/>
        </w:rPr>
      </w:pPr>
    </w:p>
    <w:p w14:paraId="61140562" w14:textId="77777777" w:rsidR="00BC306B" w:rsidRPr="000D59BC" w:rsidRDefault="00BC306B" w:rsidP="00D476E0">
      <w:pPr>
        <w:ind w:firstLine="0"/>
        <w:jc w:val="center"/>
        <w:rPr>
          <w:rFonts w:cs="Times New Roman"/>
          <w:szCs w:val="24"/>
        </w:rPr>
      </w:pPr>
    </w:p>
    <w:p w14:paraId="3C90F907" w14:textId="3C56980D" w:rsidR="00DA70B9" w:rsidRPr="00D831F7" w:rsidRDefault="00671EB8" w:rsidP="00D476E0">
      <w:pPr>
        <w:ind w:firstLine="0"/>
        <w:jc w:val="center"/>
        <w:rPr>
          <w:rFonts w:cs="Times New Roman"/>
          <w:szCs w:val="24"/>
        </w:rPr>
      </w:pPr>
      <w:commentRangeStart w:id="0"/>
      <w:r w:rsidRPr="00D831F7">
        <w:rPr>
          <w:rFonts w:cs="Times New Roman"/>
          <w:szCs w:val="24"/>
        </w:rPr>
        <w:t>No. 17-0264</w:t>
      </w:r>
      <w:commentRangeEnd w:id="0"/>
      <w:r w:rsidRPr="00D831F7">
        <w:rPr>
          <w:rStyle w:val="CommentReference"/>
          <w:rFonts w:cs="Times New Roman"/>
          <w:sz w:val="24"/>
          <w:szCs w:val="24"/>
        </w:rPr>
        <w:commentReference w:id="0"/>
      </w:r>
    </w:p>
    <w:p w14:paraId="25E621F9" w14:textId="7140F145" w:rsidR="0008715A" w:rsidRPr="00D831F7" w:rsidRDefault="0008715A" w:rsidP="00D476E0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D831F7">
        <w:rPr>
          <w:rFonts w:cs="Times New Roman"/>
          <w:b/>
          <w:szCs w:val="24"/>
        </w:rPr>
        <w:t>UNITED STATES COURT OF APPEALS</w:t>
      </w:r>
      <w:r w:rsidR="0055677F" w:rsidRPr="00D831F7">
        <w:rPr>
          <w:rFonts w:cs="Times New Roman"/>
          <w:b/>
          <w:szCs w:val="24"/>
        </w:rPr>
        <w:br/>
        <w:t>FOR THE TENTH CIRCUIT</w:t>
      </w:r>
    </w:p>
    <w:p w14:paraId="4A729493" w14:textId="4492A162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14:paraId="1D0A0E2B" w14:textId="7016BBE1" w:rsidR="002650B6" w:rsidRPr="00D831F7" w:rsidRDefault="00EA51FF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pict w14:anchorId="2A221F5E">
          <v:rect id="_x0000_i1025" style="width:227.45pt;height:1pt" o:hrpct="486" o:hralign="center" o:hrstd="t" o:hrnoshade="t" o:hr="t" fillcolor="black [3213]" stroked="f"/>
        </w:pict>
      </w:r>
    </w:p>
    <w:p w14:paraId="095FC124" w14:textId="77777777" w:rsidR="002650B6" w:rsidRPr="00D831F7" w:rsidRDefault="002650B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C1FC4AA" w14:textId="7FA8CA24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>ERIK HERNANDEZ</w:t>
      </w:r>
    </w:p>
    <w:p w14:paraId="76429E24" w14:textId="74B9C56F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5D824FE" w14:textId="47880479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ab/>
      </w:r>
      <w:commentRangeStart w:id="1"/>
      <w:r w:rsidR="003E539C" w:rsidRPr="00D831F7">
        <w:rPr>
          <w:rFonts w:cs="Times New Roman"/>
          <w:i/>
          <w:szCs w:val="24"/>
        </w:rPr>
        <w:t>Appellant</w:t>
      </w:r>
      <w:r w:rsidR="003E539C" w:rsidRPr="00D831F7">
        <w:rPr>
          <w:rFonts w:cs="Times New Roman"/>
          <w:szCs w:val="24"/>
        </w:rPr>
        <w:t>,</w:t>
      </w:r>
      <w:commentRangeEnd w:id="1"/>
      <w:r w:rsidR="00E004D7" w:rsidRPr="00D831F7">
        <w:rPr>
          <w:rStyle w:val="CommentReference"/>
          <w:rFonts w:cs="Times New Roman"/>
          <w:sz w:val="24"/>
          <w:szCs w:val="24"/>
        </w:rPr>
        <w:commentReference w:id="1"/>
      </w:r>
    </w:p>
    <w:p w14:paraId="48207BA2" w14:textId="2133E25A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5E7F4AC5" w14:textId="2D9E4B93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 xml:space="preserve">v. </w:t>
      </w:r>
    </w:p>
    <w:p w14:paraId="2CC60711" w14:textId="4409E7A6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B08A84A" w14:textId="3674D396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>STUART STOCKTON SYSTEMS,</w:t>
      </w:r>
    </w:p>
    <w:p w14:paraId="3AE5FB42" w14:textId="23E4DDAF" w:rsidR="00FB40AC" w:rsidRPr="00D831F7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E1939B9" w14:textId="5638B043" w:rsidR="00FB40AC" w:rsidRPr="00D831F7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i/>
          <w:szCs w:val="24"/>
        </w:rPr>
        <w:t>Appellee</w:t>
      </w:r>
      <w:r w:rsidRPr="00D831F7">
        <w:rPr>
          <w:rFonts w:cs="Times New Roman"/>
          <w:szCs w:val="24"/>
        </w:rPr>
        <w:t>.</w:t>
      </w:r>
    </w:p>
    <w:p w14:paraId="57CEEF3A" w14:textId="722FBBB3" w:rsidR="002650B6" w:rsidRPr="00D831F7" w:rsidRDefault="002650B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5B9AD7C" w14:textId="23C13C6B" w:rsidR="002650B6" w:rsidRPr="00D831F7" w:rsidRDefault="00EA51FF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pict w14:anchorId="41E25AC6">
          <v:rect id="_x0000_i1026" style="width:227.45pt;height:1pt" o:hrpct="486" o:hralign="center" o:hrstd="t" o:hrnoshade="t" o:hr="t" fillcolor="black [3213]" stroked="f"/>
        </w:pict>
      </w:r>
    </w:p>
    <w:p w14:paraId="09FC8357" w14:textId="029B2ACA" w:rsidR="006C7042" w:rsidRPr="00D831F7" w:rsidRDefault="006C7042" w:rsidP="00D476E0">
      <w:pPr>
        <w:spacing w:line="240" w:lineRule="auto"/>
        <w:ind w:firstLine="0"/>
        <w:rPr>
          <w:rFonts w:cs="Times New Roman"/>
          <w:szCs w:val="24"/>
        </w:rPr>
      </w:pPr>
    </w:p>
    <w:p w14:paraId="15C5425B" w14:textId="06221B48" w:rsidR="006C7042" w:rsidRPr="00D831F7" w:rsidRDefault="006C7042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  <w:r w:rsidRPr="00D831F7">
        <w:rPr>
          <w:rFonts w:cs="Times New Roman"/>
          <w:i/>
          <w:szCs w:val="24"/>
        </w:rPr>
        <w:t>Appeal from the United States District Court</w:t>
      </w:r>
    </w:p>
    <w:p w14:paraId="657D3B52" w14:textId="619AFCD7" w:rsidR="006C7042" w:rsidRPr="00D831F7" w:rsidRDefault="006C7042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  <w:r w:rsidRPr="00D831F7">
        <w:rPr>
          <w:rFonts w:cs="Times New Roman"/>
          <w:i/>
          <w:szCs w:val="24"/>
        </w:rPr>
        <w:t xml:space="preserve">for the </w:t>
      </w:r>
      <w:r w:rsidR="009B5795" w:rsidRPr="00D831F7">
        <w:rPr>
          <w:rFonts w:cs="Times New Roman"/>
          <w:i/>
          <w:szCs w:val="24"/>
        </w:rPr>
        <w:t>District of Colorado</w:t>
      </w:r>
    </w:p>
    <w:p w14:paraId="11E2AFDB" w14:textId="55B441C9" w:rsidR="002650B6" w:rsidRPr="00D831F7" w:rsidRDefault="002650B6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</w:p>
    <w:p w14:paraId="7F4CB074" w14:textId="553472BD" w:rsidR="002650B6" w:rsidRPr="00D831F7" w:rsidRDefault="00EA51FF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  <w:r>
        <w:rPr>
          <w:rFonts w:cs="Times New Roman"/>
          <w:szCs w:val="24"/>
        </w:rPr>
        <w:pict w14:anchorId="64420E88">
          <v:rect id="_x0000_i1027" style="width:227.45pt;height:1pt" o:hrpct="486" o:hralign="center" o:hrstd="t" o:hrnoshade="t" o:hr="t" fillcolor="black [3213]" stroked="f"/>
        </w:pict>
      </w:r>
    </w:p>
    <w:p w14:paraId="14983D44" w14:textId="486F13C1" w:rsidR="009B5795" w:rsidRPr="00D831F7" w:rsidRDefault="009B5795" w:rsidP="00D476E0">
      <w:pPr>
        <w:spacing w:line="240" w:lineRule="auto"/>
        <w:ind w:firstLine="0"/>
        <w:rPr>
          <w:rFonts w:cs="Times New Roman"/>
          <w:szCs w:val="24"/>
        </w:rPr>
      </w:pPr>
    </w:p>
    <w:p w14:paraId="6855B830" w14:textId="468ABD7F" w:rsidR="009B5795" w:rsidRPr="00D831F7" w:rsidRDefault="009B5795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>BRIEF FOR THE APPELLANT</w:t>
      </w:r>
    </w:p>
    <w:p w14:paraId="53949AB6" w14:textId="7D4F0D0F" w:rsidR="00B60156" w:rsidRPr="00D831F7" w:rsidRDefault="00B6015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5CB50649" w14:textId="1424FDA9" w:rsidR="00B60156" w:rsidRPr="00D831F7" w:rsidRDefault="00B6015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52F2929B" w14:textId="77777777" w:rsidR="00FF122F" w:rsidRPr="00D831F7" w:rsidRDefault="00B60156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>Student’s Anonymous Identifier</w:t>
      </w:r>
    </w:p>
    <w:p w14:paraId="383DCC44" w14:textId="49E32C9F" w:rsidR="00B60156" w:rsidRPr="00D831F7" w:rsidRDefault="007E4689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>Ring &amp; Porter L.L.P.</w:t>
      </w:r>
      <w:r w:rsidRPr="00D831F7">
        <w:rPr>
          <w:color w:val="auto"/>
        </w:rPr>
        <w:br/>
        <w:t>5000 Pearl Street</w:t>
      </w:r>
    </w:p>
    <w:p w14:paraId="35D21995" w14:textId="2854DA89" w:rsidR="00B60156" w:rsidRPr="00D831F7" w:rsidRDefault="00B60156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>Boulder, CO 8030</w:t>
      </w:r>
      <w:r w:rsidR="003C58A3" w:rsidRPr="00D831F7">
        <w:rPr>
          <w:color w:val="auto"/>
        </w:rPr>
        <w:t>3</w:t>
      </w:r>
    </w:p>
    <w:p w14:paraId="7F580498" w14:textId="7F746CD5" w:rsidR="00F27817" w:rsidRPr="00D831F7" w:rsidRDefault="00495276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 xml:space="preserve">(303) </w:t>
      </w:r>
      <w:r w:rsidR="003C58A3" w:rsidRPr="00D831F7">
        <w:rPr>
          <w:color w:val="auto"/>
        </w:rPr>
        <w:t>345</w:t>
      </w:r>
      <w:r w:rsidRPr="00D831F7">
        <w:rPr>
          <w:color w:val="auto"/>
        </w:rPr>
        <w:t>-</w:t>
      </w:r>
      <w:r w:rsidR="003C58A3" w:rsidRPr="00D831F7">
        <w:rPr>
          <w:color w:val="auto"/>
        </w:rPr>
        <w:t>5555</w:t>
      </w:r>
    </w:p>
    <w:p w14:paraId="05F66FD7" w14:textId="77777777" w:rsidR="002620E5" w:rsidRDefault="00F27817" w:rsidP="009B3942">
      <w:pPr>
        <w:ind w:firstLine="0"/>
        <w:rPr>
          <w:rFonts w:cs="Times New Roman"/>
          <w:color w:val="2E74B5" w:themeColor="accent5" w:themeShade="BF"/>
          <w:szCs w:val="24"/>
        </w:rPr>
        <w:sectPr w:rsidR="002620E5" w:rsidSect="002620E5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0D59BC">
        <w:rPr>
          <w:rFonts w:cs="Times New Roman"/>
          <w:color w:val="2E74B5" w:themeColor="accent5" w:themeShade="BF"/>
          <w:szCs w:val="24"/>
        </w:rPr>
        <w:br w:type="page"/>
      </w:r>
    </w:p>
    <w:sdt>
      <w:sdtPr>
        <w:rPr>
          <w:rFonts w:eastAsiaTheme="minorHAnsi" w:cstheme="minorBidi"/>
          <w:b/>
          <w:color w:val="auto"/>
          <w:szCs w:val="22"/>
          <w:u w:val="none"/>
        </w:rPr>
        <w:id w:val="-104721680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563BACCB" w14:textId="15AC66BC" w:rsidR="00815C2F" w:rsidRDefault="00DD4517">
          <w:pPr>
            <w:pStyle w:val="TOCHeading"/>
          </w:pPr>
          <w:r>
            <w:t>TABLE OF CONTENTS</w:t>
          </w:r>
        </w:p>
        <w:p w14:paraId="0475C1FE" w14:textId="77777777" w:rsidR="00DD4517" w:rsidRPr="00DD4517" w:rsidRDefault="00DD4517" w:rsidP="00DD4517"/>
        <w:p w14:paraId="079AA5F3" w14:textId="7DE47D86" w:rsidR="00136C29" w:rsidRDefault="00815C2F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46933" w:history="1">
            <w:r w:rsidR="00136C29" w:rsidRPr="009C0905">
              <w:rPr>
                <w:rStyle w:val="Hyperlink"/>
                <w:noProof/>
              </w:rPr>
              <w:t>TABLE OF AUTHORITIES</w:t>
            </w:r>
            <w:r w:rsidR="00136C29">
              <w:rPr>
                <w:noProof/>
                <w:webHidden/>
              </w:rPr>
              <w:tab/>
            </w:r>
            <w:r w:rsidR="00136C29">
              <w:rPr>
                <w:noProof/>
                <w:webHidden/>
              </w:rPr>
              <w:fldChar w:fldCharType="begin"/>
            </w:r>
            <w:r w:rsidR="00136C29">
              <w:rPr>
                <w:noProof/>
                <w:webHidden/>
              </w:rPr>
              <w:instrText xml:space="preserve"> PAGEREF _Toc507246933 \h </w:instrText>
            </w:r>
            <w:r w:rsidR="00136C29">
              <w:rPr>
                <w:noProof/>
                <w:webHidden/>
              </w:rPr>
            </w:r>
            <w:r w:rsidR="00136C29">
              <w:rPr>
                <w:noProof/>
                <w:webHidden/>
              </w:rPr>
              <w:fldChar w:fldCharType="separate"/>
            </w:r>
            <w:r w:rsidR="00136C29">
              <w:rPr>
                <w:noProof/>
                <w:webHidden/>
              </w:rPr>
              <w:t>ii</w:t>
            </w:r>
            <w:r w:rsidR="00136C29">
              <w:rPr>
                <w:noProof/>
                <w:webHidden/>
              </w:rPr>
              <w:fldChar w:fldCharType="end"/>
            </w:r>
          </w:hyperlink>
        </w:p>
        <w:p w14:paraId="52DD1EC9" w14:textId="659359E4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34" w:history="1">
            <w:r w:rsidRPr="009C0905">
              <w:rPr>
                <w:rStyle w:val="Hyperlink"/>
                <w:noProof/>
              </w:rPr>
              <w:t>STATEMENT OF JURISDICTION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F81D" w14:textId="4FCDE3DB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35" w:history="1">
            <w:r w:rsidRPr="009C0905">
              <w:rPr>
                <w:rStyle w:val="Hyperlink"/>
                <w:noProof/>
              </w:rPr>
              <w:t>STATEMENT OF THE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2404" w14:textId="6D2C4692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36" w:history="1">
            <w:r w:rsidRPr="009C0905">
              <w:rPr>
                <w:rStyle w:val="Hyperlink"/>
                <w:noProof/>
              </w:rPr>
              <w:t>STATEMENT OF THE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58C4" w14:textId="6CE5B71D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37" w:history="1">
            <w:r w:rsidRPr="009C0905">
              <w:rPr>
                <w:rStyle w:val="Hyperlink"/>
                <w:noProof/>
              </w:rPr>
              <w:t>STATEMENT OF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0A3B" w14:textId="520B005B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38" w:history="1">
            <w:r w:rsidRPr="009C0905">
              <w:rPr>
                <w:rStyle w:val="Hyperlink"/>
                <w:noProof/>
              </w:rPr>
              <w:t>SUMMARY OF THE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47A8" w14:textId="2A78C0D7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39" w:history="1">
            <w:r w:rsidRPr="009C0905">
              <w:rPr>
                <w:rStyle w:val="Hyperlink"/>
                <w:noProof/>
              </w:rPr>
              <w:t>STANDARD OF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EA26" w14:textId="2006D51F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40" w:history="1">
            <w:r w:rsidRPr="009C0905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7FDB" w14:textId="05BADD95" w:rsidR="00136C29" w:rsidRDefault="00136C29" w:rsidP="00CC7DB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7246941" w:history="1">
            <w:r w:rsidRPr="009C090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0905">
              <w:rPr>
                <w:rStyle w:val="Hyperlink"/>
                <w:noProof/>
              </w:rPr>
              <w:t>SSS RETALIATED AGAINST MR. HERNANDEZ BECAUSE SSS TOOK ADVERSE ACTION BY TERMINATING HIS EMPLOYEMENT AND PROVIDING A NEGATIVE REFERENCE, THE ADVERSE ACTION WAS TWO WEEKS AND MONTHS AFTER THE PROTECTED ACTIVITY, AND ITS REASONS FOR TERMINATION WERE INCONSISTENT SHOWING THEY WERE PRETEXTUAL.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DC68" w14:textId="1B18B405" w:rsidR="00136C29" w:rsidRDefault="00136C29" w:rsidP="00CC7DB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7246942" w:history="1">
            <w:r w:rsidRPr="009C090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0905">
              <w:rPr>
                <w:rStyle w:val="Hyperlink"/>
                <w:noProof/>
              </w:rPr>
              <w:t>BLAH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788A" w14:textId="1ECC2FBA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43" w:history="1">
            <w:r w:rsidRPr="009C090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4297" w14:textId="41C46CDD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44" w:history="1">
            <w:r w:rsidRPr="009C0905">
              <w:rPr>
                <w:rStyle w:val="Hyperlink"/>
                <w:noProof/>
              </w:rPr>
              <w:t>CERTIFICATE OF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6974" w14:textId="064C1650" w:rsidR="00136C29" w:rsidRDefault="00136C29" w:rsidP="00CC7DB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246945" w:history="1">
            <w:r w:rsidRPr="009C0905">
              <w:rPr>
                <w:rStyle w:val="Hyperlink"/>
                <w:noProof/>
              </w:rPr>
              <w:t>CERTIFICATE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D4B1" w14:textId="4F8DA25D" w:rsidR="00815C2F" w:rsidRDefault="00815C2F">
          <w:r>
            <w:rPr>
              <w:b/>
              <w:bCs/>
              <w:noProof/>
            </w:rPr>
            <w:fldChar w:fldCharType="end"/>
          </w:r>
        </w:p>
      </w:sdtContent>
    </w:sdt>
    <w:p w14:paraId="2CF57B58" w14:textId="459ED59F" w:rsidR="00564456" w:rsidRPr="000D59BC" w:rsidRDefault="00564456" w:rsidP="00D476E0">
      <w:pPr>
        <w:jc w:val="center"/>
        <w:rPr>
          <w:rFonts w:cs="Times New Roman"/>
          <w:color w:val="2E74B5" w:themeColor="accent5" w:themeShade="BF"/>
          <w:szCs w:val="24"/>
        </w:rPr>
      </w:pPr>
      <w:r w:rsidRPr="000D59BC">
        <w:rPr>
          <w:rFonts w:cs="Times New Roman"/>
          <w:color w:val="2E74B5" w:themeColor="accent5" w:themeShade="BF"/>
          <w:szCs w:val="24"/>
        </w:rPr>
        <w:br w:type="page"/>
      </w:r>
    </w:p>
    <w:p w14:paraId="7976030F" w14:textId="7AE56FB7" w:rsidR="00A67795" w:rsidRPr="00894EFF" w:rsidRDefault="00894EFF" w:rsidP="00B92EDE">
      <w:pPr>
        <w:pStyle w:val="Heading1"/>
        <w:ind w:firstLine="0"/>
      </w:pPr>
      <w:bookmarkStart w:id="2" w:name="_Toc507246933"/>
      <w:r w:rsidRPr="00894EFF">
        <w:lastRenderedPageBreak/>
        <w:t xml:space="preserve">TABLE OF </w:t>
      </w:r>
      <w:r w:rsidRPr="00D01B0F">
        <w:t>AUTHORITIES</w:t>
      </w:r>
      <w:bookmarkEnd w:id="2"/>
    </w:p>
    <w:p w14:paraId="6930A7FE" w14:textId="77777777" w:rsidR="00385F40" w:rsidRDefault="00A67795" w:rsidP="00D87D06">
      <w:pPr>
        <w:pStyle w:val="Misc"/>
      </w:pPr>
      <w:r w:rsidRPr="000D59BC">
        <w:t>CASES</w:t>
      </w:r>
    </w:p>
    <w:p w14:paraId="004E1EEB" w14:textId="2BE5B7F4" w:rsidR="00F4059A" w:rsidRDefault="00F4059A" w:rsidP="00E62F9C">
      <w:pPr>
        <w:tabs>
          <w:tab w:val="left" w:pos="9360"/>
        </w:tabs>
        <w:ind w:firstLine="0"/>
        <w:rPr>
          <w:rFonts w:cs="Times New Roman"/>
          <w:szCs w:val="24"/>
        </w:rPr>
      </w:pPr>
    </w:p>
    <w:p w14:paraId="52071963" w14:textId="77777777" w:rsidR="00C93CDD" w:rsidRDefault="00C93CDD" w:rsidP="00E62F9C">
      <w:pPr>
        <w:tabs>
          <w:tab w:val="left" w:pos="9360"/>
        </w:tabs>
        <w:ind w:firstLine="0"/>
        <w:rPr>
          <w:rFonts w:cs="Times New Roman"/>
          <w:szCs w:val="24"/>
        </w:rPr>
      </w:pPr>
    </w:p>
    <w:p w14:paraId="28323E38" w14:textId="77777777" w:rsidR="00424487" w:rsidRDefault="00D01B0F" w:rsidP="00D476E0">
      <w:pPr>
        <w:jc w:val="center"/>
        <w:rPr>
          <w:rFonts w:eastAsiaTheme="majorEastAsia" w:cs="Times New Roman"/>
          <w:color w:val="2F5496" w:themeColor="accent1" w:themeShade="BF"/>
          <w:szCs w:val="24"/>
        </w:rPr>
        <w:sectPr w:rsidR="00424487" w:rsidSect="00732E70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eastAsiaTheme="majorEastAsia" w:cs="Times New Roman"/>
          <w:color w:val="2F5496" w:themeColor="accent1" w:themeShade="BF"/>
          <w:szCs w:val="24"/>
        </w:rPr>
        <w:br w:type="page"/>
      </w:r>
    </w:p>
    <w:p w14:paraId="444896CC" w14:textId="5658D00C" w:rsidR="00D01B0F" w:rsidRDefault="00D01B0F" w:rsidP="00D476E0">
      <w:pPr>
        <w:jc w:val="center"/>
        <w:rPr>
          <w:rFonts w:eastAsiaTheme="majorEastAsia" w:cs="Times New Roman"/>
          <w:color w:val="2F5496" w:themeColor="accent1" w:themeShade="BF"/>
          <w:szCs w:val="24"/>
        </w:rPr>
      </w:pPr>
    </w:p>
    <w:p w14:paraId="30DDA4DB" w14:textId="090C2997" w:rsidR="00CB57E6" w:rsidRDefault="00D01B0F" w:rsidP="00D476E0">
      <w:pPr>
        <w:pStyle w:val="Heading1"/>
        <w:ind w:firstLine="0"/>
      </w:pPr>
      <w:bookmarkStart w:id="3" w:name="_Toc507246934"/>
      <w:r w:rsidRPr="00D01B0F">
        <w:t>STATEMENT OF JURISDICTION</w:t>
      </w:r>
      <w:bookmarkEnd w:id="3"/>
    </w:p>
    <w:p w14:paraId="32A4355C" w14:textId="5D56CF61" w:rsidR="00BC623A" w:rsidRPr="00917355" w:rsidRDefault="00CA397A" w:rsidP="00917355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  <w:r>
        <w:rPr>
          <w:rFonts w:ascii="TimesNewRomanPSMT" w:hAnsi="TimesNewRomanPSMT" w:cs="TimesNewRomanPSMT"/>
          <w:szCs w:val="24"/>
        </w:rPr>
        <w:t xml:space="preserve">The United States District Court </w:t>
      </w:r>
      <w:r w:rsidR="00E94E91">
        <w:rPr>
          <w:rFonts w:ascii="TimesNewRomanPSMT" w:hAnsi="TimesNewRomanPSMT" w:cs="TimesNewRomanPSMT"/>
          <w:szCs w:val="24"/>
        </w:rPr>
        <w:t>of Colorado</w:t>
      </w:r>
      <w:r>
        <w:rPr>
          <w:rFonts w:ascii="TimesNewRomanPSMT" w:hAnsi="TimesNewRomanPSMT" w:cs="TimesNewRomanPSMT"/>
          <w:szCs w:val="24"/>
        </w:rPr>
        <w:t xml:space="preserve"> had original jurisdiction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over this case pursuant to </w:t>
      </w:r>
      <w:r w:rsidR="00AE1838">
        <w:rPr>
          <w:rFonts w:ascii="TimesNewRomanPSMT" w:hAnsi="TimesNewRomanPSMT" w:cs="TimesNewRomanPSMT"/>
          <w:szCs w:val="24"/>
        </w:rPr>
        <w:t>28 U.S.C. § 1331</w:t>
      </w:r>
      <w:r>
        <w:rPr>
          <w:rFonts w:ascii="TimesNewRomanPSMT" w:hAnsi="TimesNewRomanPSMT" w:cs="TimesNewRomanPSMT"/>
          <w:szCs w:val="24"/>
        </w:rPr>
        <w:t xml:space="preserve"> (</w:t>
      </w:r>
      <w:r w:rsidR="007927AD">
        <w:rPr>
          <w:rFonts w:ascii="TimesNewRomanPSMT" w:hAnsi="TimesNewRomanPSMT" w:cs="TimesNewRomanPSMT"/>
          <w:color w:val="FF0000"/>
          <w:szCs w:val="24"/>
        </w:rPr>
        <w:t>2012</w:t>
      </w:r>
      <w:r>
        <w:rPr>
          <w:rFonts w:ascii="TimesNewRomanPSMT" w:hAnsi="TimesNewRomanPSMT" w:cs="TimesNewRomanPSMT"/>
          <w:szCs w:val="24"/>
        </w:rPr>
        <w:t xml:space="preserve">) because it was a </w:t>
      </w:r>
      <w:r w:rsidR="008A275F">
        <w:rPr>
          <w:rFonts w:ascii="TimesNewRomanPSMT" w:hAnsi="TimesNewRomanPSMT" w:cs="TimesNewRomanPSMT"/>
          <w:szCs w:val="24"/>
        </w:rPr>
        <w:t>civil</w:t>
      </w:r>
      <w:r>
        <w:rPr>
          <w:rFonts w:ascii="TimesNewRomanPSMT" w:hAnsi="TimesNewRomanPSMT" w:cs="TimesNewRomanPSMT"/>
          <w:szCs w:val="24"/>
        </w:rPr>
        <w:t xml:space="preserve"> proceeding arising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under an alleged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violation of </w:t>
      </w:r>
      <w:r w:rsidR="003C7805">
        <w:rPr>
          <w:rFonts w:ascii="TimesNewRomanPSMT" w:hAnsi="TimesNewRomanPSMT" w:cs="TimesNewRomanPSMT"/>
          <w:szCs w:val="24"/>
        </w:rPr>
        <w:t>the Americans with Disabilities Act of 1990</w:t>
      </w:r>
      <w:r w:rsidR="00A15044">
        <w:rPr>
          <w:rFonts w:ascii="TimesNewRomanPSMT" w:hAnsi="TimesNewRomanPSMT" w:cs="TimesNewRomanPSMT"/>
          <w:szCs w:val="24"/>
        </w:rPr>
        <w:t>,</w:t>
      </w:r>
      <w:r w:rsidR="00F034B3">
        <w:rPr>
          <w:rFonts w:ascii="TimesNewRomanPSMT" w:hAnsi="TimesNewRomanPSMT" w:cs="TimesNewRomanPSMT"/>
          <w:szCs w:val="24"/>
        </w:rPr>
        <w:t xml:space="preserve"> 42 U.S.C. §§ 12112</w:t>
      </w:r>
      <w:r w:rsidR="006328C4">
        <w:rPr>
          <w:rFonts w:ascii="TimesNewRomanPSMT" w:hAnsi="TimesNewRomanPSMT" w:cs="TimesNewRomanPSMT"/>
          <w:szCs w:val="24"/>
        </w:rPr>
        <w:t xml:space="preserve"> </w:t>
      </w:r>
      <w:r w:rsidR="00A633B5">
        <w:rPr>
          <w:rFonts w:ascii="TimesNewRomanPSMT" w:hAnsi="TimesNewRomanPSMT" w:cs="TimesNewRomanPSMT"/>
          <w:szCs w:val="24"/>
        </w:rPr>
        <w:t>–</w:t>
      </w:r>
      <w:r w:rsidR="006328C4">
        <w:rPr>
          <w:rFonts w:ascii="TimesNewRomanPSMT" w:hAnsi="TimesNewRomanPSMT" w:cs="TimesNewRomanPSMT"/>
          <w:szCs w:val="24"/>
        </w:rPr>
        <w:t xml:space="preserve"> </w:t>
      </w:r>
      <w:r w:rsidR="00F034B3">
        <w:rPr>
          <w:rFonts w:ascii="TimesNewRomanPSMT" w:hAnsi="TimesNewRomanPSMT" w:cs="TimesNewRomanPSMT"/>
          <w:szCs w:val="24"/>
        </w:rPr>
        <w:t>12117</w:t>
      </w:r>
      <w:r w:rsidR="00A633B5">
        <w:rPr>
          <w:rFonts w:ascii="TimesNewRomanPSMT" w:hAnsi="TimesNewRomanPSMT" w:cs="TimesNewRomanPSMT"/>
          <w:szCs w:val="24"/>
        </w:rPr>
        <w:t xml:space="preserve"> (2017)</w:t>
      </w:r>
      <w:r w:rsidR="00F034B3">
        <w:rPr>
          <w:rFonts w:ascii="TimesNewRomanPSMT" w:hAnsi="TimesNewRomanPSMT" w:cs="TimesNewRomanPSMT"/>
          <w:szCs w:val="24"/>
        </w:rPr>
        <w:t xml:space="preserve">. </w:t>
      </w:r>
      <w:r>
        <w:rPr>
          <w:rFonts w:ascii="TimesNewRomanPSMT" w:hAnsi="TimesNewRomanPSMT" w:cs="TimesNewRomanPSMT"/>
          <w:szCs w:val="24"/>
        </w:rPr>
        <w:t xml:space="preserve">This Court has jurisdiction pursuant to </w:t>
      </w:r>
      <w:commentRangeStart w:id="4"/>
      <w:r>
        <w:rPr>
          <w:rFonts w:ascii="TimesNewRomanPSMT" w:hAnsi="TimesNewRomanPSMT" w:cs="TimesNewRomanPSMT"/>
          <w:szCs w:val="24"/>
        </w:rPr>
        <w:t>28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U.S.C. § 1291 </w:t>
      </w:r>
      <w:commentRangeEnd w:id="4"/>
      <w:r w:rsidR="004D4652">
        <w:rPr>
          <w:rStyle w:val="CommentReference"/>
        </w:rPr>
        <w:commentReference w:id="4"/>
      </w:r>
      <w:r w:rsidR="006A2249">
        <w:rPr>
          <w:rFonts w:ascii="TimesNewRomanPSMT" w:hAnsi="TimesNewRomanPSMT" w:cs="TimesNewRomanPSMT"/>
          <w:szCs w:val="24"/>
        </w:rPr>
        <w:t>(</w:t>
      </w:r>
      <w:commentRangeStart w:id="5"/>
      <w:r w:rsidR="006A2249">
        <w:rPr>
          <w:rFonts w:ascii="TimesNewRomanPSMT" w:hAnsi="TimesNewRomanPSMT" w:cs="TimesNewRomanPSMT"/>
          <w:szCs w:val="24"/>
        </w:rPr>
        <w:t>2017</w:t>
      </w:r>
      <w:commentRangeEnd w:id="5"/>
      <w:r w:rsidR="002538AC">
        <w:rPr>
          <w:rStyle w:val="CommentReference"/>
        </w:rPr>
        <w:commentReference w:id="5"/>
      </w:r>
      <w:r w:rsidR="006A2249">
        <w:rPr>
          <w:rFonts w:ascii="TimesNewRomanPSMT" w:hAnsi="TimesNewRomanPSMT" w:cs="TimesNewRomanPSMT"/>
          <w:szCs w:val="24"/>
        </w:rPr>
        <w:t xml:space="preserve">) </w:t>
      </w:r>
      <w:r>
        <w:rPr>
          <w:rFonts w:ascii="TimesNewRomanPSMT" w:hAnsi="TimesNewRomanPSMT" w:cs="TimesNewRomanPSMT"/>
          <w:szCs w:val="24"/>
        </w:rPr>
        <w:t>because it is an appeal from the final judgment of the district court entered on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February </w:t>
      </w:r>
      <w:r w:rsidR="00D649D5">
        <w:rPr>
          <w:rFonts w:ascii="TimesNewRomanPSMT" w:hAnsi="TimesNewRomanPSMT" w:cs="TimesNewRomanPSMT"/>
          <w:szCs w:val="24"/>
        </w:rPr>
        <w:t>8</w:t>
      </w:r>
      <w:r>
        <w:rPr>
          <w:rFonts w:ascii="TimesNewRomanPSMT" w:hAnsi="TimesNewRomanPSMT" w:cs="TimesNewRomanPSMT"/>
          <w:szCs w:val="24"/>
        </w:rPr>
        <w:t>, 201</w:t>
      </w:r>
      <w:r w:rsidR="00D649D5">
        <w:rPr>
          <w:rFonts w:ascii="TimesNewRomanPSMT" w:hAnsi="TimesNewRomanPSMT" w:cs="TimesNewRomanPSMT"/>
          <w:szCs w:val="24"/>
        </w:rPr>
        <w:t>8</w:t>
      </w:r>
      <w:r>
        <w:rPr>
          <w:rFonts w:ascii="TimesNewRomanPSMT" w:hAnsi="TimesNewRomanPSMT" w:cs="TimesNewRomanPSMT"/>
          <w:szCs w:val="24"/>
        </w:rPr>
        <w:t>.</w:t>
      </w:r>
    </w:p>
    <w:p w14:paraId="71F06567" w14:textId="78F4593C" w:rsidR="00BC623A" w:rsidRDefault="003F3099" w:rsidP="00D476E0">
      <w:pPr>
        <w:pStyle w:val="Heading1"/>
        <w:ind w:firstLine="0"/>
      </w:pPr>
      <w:bookmarkStart w:id="6" w:name="_Toc507246935"/>
      <w:r>
        <w:t>STATEMENT OF THE ISSUE</w:t>
      </w:r>
      <w:bookmarkEnd w:id="6"/>
    </w:p>
    <w:p w14:paraId="402BDD68" w14:textId="36364D52" w:rsidR="006E1D0A" w:rsidRPr="006E1D0A" w:rsidRDefault="006E1D0A" w:rsidP="00D476E0">
      <w:pPr>
        <w:pStyle w:val="Heading1"/>
        <w:ind w:firstLine="0"/>
      </w:pPr>
      <w:bookmarkStart w:id="7" w:name="_Toc507246936"/>
      <w:r>
        <w:t>STATEMENT OF THE CASE</w:t>
      </w:r>
      <w:bookmarkEnd w:id="7"/>
    </w:p>
    <w:p w14:paraId="1386C0BE" w14:textId="72EB9205" w:rsidR="000508DE" w:rsidRDefault="004A6BA5" w:rsidP="00D565FB">
      <w:pPr>
        <w:pStyle w:val="Heading1"/>
        <w:ind w:firstLine="0"/>
      </w:pPr>
      <w:bookmarkStart w:id="8" w:name="_Toc507246937"/>
      <w:r>
        <w:t>STATEMENT OF FACTS</w:t>
      </w:r>
      <w:bookmarkEnd w:id="8"/>
    </w:p>
    <w:p w14:paraId="27B0AA96" w14:textId="48665AC3" w:rsidR="000508DE" w:rsidRDefault="000508DE" w:rsidP="00D476E0">
      <w:pPr>
        <w:pStyle w:val="Heading1"/>
        <w:ind w:firstLine="0"/>
      </w:pPr>
      <w:bookmarkStart w:id="9" w:name="_Toc507246938"/>
      <w:r>
        <w:t xml:space="preserve">SUMMARY OF </w:t>
      </w:r>
      <w:r w:rsidR="00766DC5">
        <w:t xml:space="preserve">THE </w:t>
      </w:r>
      <w:r>
        <w:t>ARGUMENT</w:t>
      </w:r>
      <w:bookmarkEnd w:id="9"/>
    </w:p>
    <w:p w14:paraId="2CFABCB5" w14:textId="4C2F5819" w:rsidR="000508DE" w:rsidRDefault="002C080B" w:rsidP="002C080B">
      <w:pPr>
        <w:pStyle w:val="Heading1"/>
        <w:ind w:firstLine="0"/>
      </w:pPr>
      <w:bookmarkStart w:id="10" w:name="_Toc507246939"/>
      <w:commentRangeStart w:id="11"/>
      <w:r>
        <w:t>STANDARD OF REVIEW</w:t>
      </w:r>
      <w:bookmarkEnd w:id="10"/>
      <w:commentRangeEnd w:id="11"/>
      <w:r w:rsidR="002E48C8">
        <w:rPr>
          <w:rStyle w:val="CommentReference"/>
          <w:rFonts w:eastAsiaTheme="minorHAnsi" w:cstheme="minorBidi"/>
          <w:color w:val="auto"/>
          <w:u w:val="none"/>
        </w:rPr>
        <w:commentReference w:id="11"/>
      </w:r>
    </w:p>
    <w:p w14:paraId="16184E9F" w14:textId="3BAA0B68" w:rsidR="000508DE" w:rsidRDefault="000508DE" w:rsidP="00D476E0">
      <w:pPr>
        <w:pStyle w:val="Heading1"/>
        <w:ind w:firstLine="0"/>
      </w:pPr>
      <w:bookmarkStart w:id="12" w:name="_Toc507246940"/>
      <w:r>
        <w:t>ARGUMENT</w:t>
      </w:r>
      <w:bookmarkEnd w:id="12"/>
    </w:p>
    <w:p w14:paraId="395A76D2" w14:textId="77777777" w:rsidR="00A91BFA" w:rsidRDefault="00BF1979" w:rsidP="00A91BFA">
      <w:r>
        <w:t xml:space="preserve">Stuart Stockton Systems </w:t>
      </w:r>
      <w:r w:rsidR="008458F6">
        <w:t xml:space="preserve">(“SSS”) </w:t>
      </w:r>
      <w:r>
        <w:t>discriminated against</w:t>
      </w:r>
      <w:r w:rsidR="002E2585">
        <w:t xml:space="preserve"> Erik Hernandez </w:t>
      </w:r>
      <w:r w:rsidR="0049703A">
        <w:t xml:space="preserve">because </w:t>
      </w:r>
      <w:r w:rsidR="002700CF">
        <w:t xml:space="preserve">it knew of Mr. Hernandez’ disability, his accommodation </w:t>
      </w:r>
      <w:r w:rsidR="004C7E24">
        <w:t xml:space="preserve">request </w:t>
      </w:r>
      <w:r w:rsidR="002700CF">
        <w:t xml:space="preserve">was reasonable, and would not have caused undue hardship. </w:t>
      </w:r>
      <w:r w:rsidR="008458F6">
        <w:t>Further SSS</w:t>
      </w:r>
      <w:r w:rsidR="007133B8">
        <w:t xml:space="preserve">’s termination and reference of Mr. Hernandez was </w:t>
      </w:r>
      <w:r w:rsidR="00DF64A2">
        <w:t>pretex</w:t>
      </w:r>
      <w:r w:rsidR="00A773A3">
        <w:t>tual</w:t>
      </w:r>
      <w:r w:rsidR="00DF64A2">
        <w:t xml:space="preserve"> for retaliation because Mr. </w:t>
      </w:r>
      <w:r w:rsidR="00A773A3">
        <w:t>Hernandez</w:t>
      </w:r>
      <w:r w:rsidR="00DF64A2">
        <w:t xml:space="preserve"> </w:t>
      </w:r>
      <w:r w:rsidR="00DA0EB6">
        <w:t xml:space="preserve">was </w:t>
      </w:r>
      <w:r w:rsidR="00B67FA9">
        <w:t xml:space="preserve">an </w:t>
      </w:r>
      <w:commentRangeStart w:id="13"/>
      <w:r w:rsidR="00B67FA9">
        <w:t>extremely qualified employee</w:t>
      </w:r>
      <w:commentRangeEnd w:id="13"/>
      <w:r w:rsidR="00A773A3">
        <w:rPr>
          <w:rStyle w:val="CommentReference"/>
        </w:rPr>
        <w:commentReference w:id="13"/>
      </w:r>
      <w:r w:rsidR="00A773A3">
        <w:t xml:space="preserve">, </w:t>
      </w:r>
      <w:r w:rsidR="00A053FB">
        <w:t xml:space="preserve">and </w:t>
      </w:r>
      <w:r w:rsidR="008D0305">
        <w:t>the termination and reference</w:t>
      </w:r>
      <w:r w:rsidR="00A053FB">
        <w:t xml:space="preserve"> occurred within two weeks and three months of </w:t>
      </w:r>
      <w:r w:rsidR="007449C7">
        <w:t xml:space="preserve">the EEOC filing. </w:t>
      </w:r>
      <w:r w:rsidR="00966B81">
        <w:t xml:space="preserve">Under </w:t>
      </w:r>
      <w:r w:rsidR="00D17E95">
        <w:t>the Americans with Disability Act</w:t>
      </w:r>
      <w:r w:rsidR="00B349DD">
        <w:t xml:space="preserve"> (“ADA”)</w:t>
      </w:r>
      <w:r w:rsidR="000F66F6">
        <w:t xml:space="preserve">, </w:t>
      </w:r>
      <w:r w:rsidR="00EE6A5A">
        <w:t xml:space="preserve">a disability </w:t>
      </w:r>
      <w:r w:rsidR="0057602D">
        <w:t xml:space="preserve">is a “physical or mental impairment that substantially limits one or more major life </w:t>
      </w:r>
      <w:r w:rsidR="003446BD">
        <w:t>activities</w:t>
      </w:r>
      <w:r w:rsidR="0057602D">
        <w:t xml:space="preserve">”. </w:t>
      </w:r>
      <w:r w:rsidR="003446BD">
        <w:t>42 U.S.C. §12102(1)(A</w:t>
      </w:r>
      <w:r w:rsidR="001F21FA">
        <w:t xml:space="preserve">). </w:t>
      </w:r>
      <w:r w:rsidR="00357C61">
        <w:lastRenderedPageBreak/>
        <w:t>Major</w:t>
      </w:r>
      <w:r w:rsidR="003A2C7A">
        <w:t xml:space="preserve"> life </w:t>
      </w:r>
      <w:r w:rsidR="00357C61">
        <w:t>activities</w:t>
      </w:r>
      <w:r w:rsidR="003A2C7A">
        <w:t xml:space="preserve"> include seeing, concentrating, thinking, working, and </w:t>
      </w:r>
      <w:r w:rsidR="00357C61">
        <w:t>bodily functions such as normal cell growth. 42 U.S.C. § 12102(2)(A) &amp; (B).</w:t>
      </w:r>
      <w:r w:rsidR="007D69B9">
        <w:t xml:space="preserve"> </w:t>
      </w:r>
      <w:r w:rsidR="003B6223">
        <w:t xml:space="preserve">Discrimination occurs if an employer fails to grant a reasonable accommodation with an individual with a </w:t>
      </w:r>
      <w:r w:rsidR="00790EAE">
        <w:t>qualified individual</w:t>
      </w:r>
      <w:r w:rsidR="004179E1">
        <w:t>, unless</w:t>
      </w:r>
      <w:r w:rsidR="002B70F1">
        <w:t xml:space="preserve"> the employer can show that accommodation would impose an undue hardship. </w:t>
      </w:r>
      <w:r w:rsidR="003B6223">
        <w:t xml:space="preserve"> </w:t>
      </w:r>
      <w:r w:rsidR="002B70F1">
        <w:t xml:space="preserve">42 U.S.C. § 12112(b)(5)(A). </w:t>
      </w:r>
      <w:r w:rsidR="00E365EC">
        <w:t xml:space="preserve">Qualified individuals are those who with or without reasonable accommodation can perform the essential functions of the </w:t>
      </w:r>
      <w:r w:rsidR="00FB29F6">
        <w:t xml:space="preserve">employment position held. </w:t>
      </w:r>
      <w:r w:rsidR="002017E0">
        <w:t>42 U.S.C. § 12111(8). Reasonable Accommodations</w:t>
      </w:r>
      <w:r w:rsidR="00794C0D">
        <w:t xml:space="preserve"> may include modified work schedules, reassignment, or modification of equipment. </w:t>
      </w:r>
      <w:r w:rsidR="00E778E1">
        <w:t xml:space="preserve">42 U.S.C. § 12111(9). Undue hardship requires significant difficulty or </w:t>
      </w:r>
      <w:r w:rsidR="00545688">
        <w:t xml:space="preserve">expense </w:t>
      </w:r>
      <w:r w:rsidR="0058525A">
        <w:t>and must be</w:t>
      </w:r>
      <w:r w:rsidR="00545688">
        <w:t xml:space="preserve"> considered </w:t>
      </w:r>
      <w:proofErr w:type="gramStart"/>
      <w:r w:rsidR="00545688">
        <w:t>in light of</w:t>
      </w:r>
      <w:proofErr w:type="gramEnd"/>
      <w:r w:rsidR="00545688">
        <w:t xml:space="preserve"> an </w:t>
      </w:r>
      <w:r w:rsidR="006C046D">
        <w:t>employer’s</w:t>
      </w:r>
      <w:r w:rsidR="00545688">
        <w:t xml:space="preserve"> resources</w:t>
      </w:r>
      <w:r w:rsidR="00AD31DC">
        <w:t>, size, and the impact of the accommodation. 42 U.S.C. § 12111(10).</w:t>
      </w:r>
      <w:r w:rsidR="00FD5C83">
        <w:t xml:space="preserve"> </w:t>
      </w:r>
      <w:r w:rsidR="00CF7683">
        <w:t xml:space="preserve">To establish a prima facie case of </w:t>
      </w:r>
      <w:r w:rsidR="002319E4">
        <w:t>disability discrimination for the failure to accommodate a</w:t>
      </w:r>
      <w:r w:rsidR="006B31AE">
        <w:t xml:space="preserve"> request for</w:t>
      </w:r>
      <w:r w:rsidR="002319E4">
        <w:t xml:space="preserve"> reasonable accommodations</w:t>
      </w:r>
      <w:r w:rsidR="00116D02">
        <w:t xml:space="preserve">, a plaintiff must show that (1) he is a disabled person as </w:t>
      </w:r>
      <w:r w:rsidR="006B31AE">
        <w:t>defined</w:t>
      </w:r>
      <w:r w:rsidR="00116D02">
        <w:t xml:space="preserve"> by the ADA and Defendant knew of his disability; (2) the accommodations he request</w:t>
      </w:r>
      <w:r w:rsidR="00727C1B">
        <w:t>ed</w:t>
      </w:r>
      <w:r w:rsidR="00116D02">
        <w:t xml:space="preserve"> and was denied were </w:t>
      </w:r>
      <w:r w:rsidR="00674A9F">
        <w:t xml:space="preserve">reasonable; and (3) the accommodations would pose no undue hardship on Defendant’s business operations. </w:t>
      </w:r>
      <w:commentRangeStart w:id="14"/>
      <w:r w:rsidR="00674A9F">
        <w:t>42 U.S.C. § 1211</w:t>
      </w:r>
      <w:r w:rsidR="009D36EB">
        <w:t>2</w:t>
      </w:r>
      <w:r w:rsidR="00674A9F">
        <w:t xml:space="preserve">(b). </w:t>
      </w:r>
      <w:commentRangeEnd w:id="14"/>
      <w:r w:rsidR="00F15963">
        <w:rPr>
          <w:rStyle w:val="CommentReference"/>
        </w:rPr>
        <w:commentReference w:id="14"/>
      </w:r>
      <w:r w:rsidR="00B349DD">
        <w:t>Under the ADA</w:t>
      </w:r>
      <w:r w:rsidR="00FD5C83">
        <w:t>, employers may not retaliat</w:t>
      </w:r>
      <w:r w:rsidR="007C0FD6">
        <w:t xml:space="preserve">e against individuals who have opposed unlawful practices. </w:t>
      </w:r>
      <w:r w:rsidR="006C046D">
        <w:t>42 U.S.C. § 12203(a).</w:t>
      </w:r>
      <w:r w:rsidR="00EE1D56">
        <w:t xml:space="preserve"> </w:t>
      </w:r>
      <w:commentRangeStart w:id="15"/>
      <w:r w:rsidR="00EE1D56">
        <w:t xml:space="preserve">Retaliation is analyzed </w:t>
      </w:r>
      <w:r w:rsidR="0042506B">
        <w:t xml:space="preserve">using a burden </w:t>
      </w:r>
      <w:r w:rsidR="00EE1D56">
        <w:t xml:space="preserve">shifting framework which </w:t>
      </w:r>
      <w:r w:rsidR="00904F0A">
        <w:t>requires</w:t>
      </w:r>
      <w:r w:rsidR="00EE1D56">
        <w:t xml:space="preserve"> </w:t>
      </w:r>
      <w:r w:rsidR="004727CA">
        <w:t>Plaintiff</w:t>
      </w:r>
      <w:r w:rsidR="00EE1D56">
        <w:t xml:space="preserve"> to bring a prima facie case for retaliation</w:t>
      </w:r>
      <w:r w:rsidR="006D4508">
        <w:t xml:space="preserve"> and then i</w:t>
      </w:r>
      <w:r w:rsidR="00904F0A">
        <w:t xml:space="preserve">f Plaintiff </w:t>
      </w:r>
      <w:proofErr w:type="gramStart"/>
      <w:r w:rsidR="00904F0A">
        <w:t>is able to</w:t>
      </w:r>
      <w:proofErr w:type="gramEnd"/>
      <w:r w:rsidR="00904F0A">
        <w:t xml:space="preserve"> do so, burden goes to the defendant to show that the action was not discriminatory</w:t>
      </w:r>
      <w:r w:rsidR="00CB580A">
        <w:t>.</w:t>
      </w:r>
      <w:r w:rsidR="00167333">
        <w:t xml:space="preserve"> </w:t>
      </w:r>
      <w:r w:rsidR="00167333" w:rsidRPr="00167333">
        <w:rPr>
          <w:i/>
        </w:rPr>
        <w:t>McDonnell Douglas Corp. v. Green</w:t>
      </w:r>
      <w:r w:rsidR="00167333" w:rsidRPr="00167333">
        <w:t>, 411 U.S. 792, 802</w:t>
      </w:r>
      <w:r w:rsidR="00167333">
        <w:t xml:space="preserve"> </w:t>
      </w:r>
      <w:r w:rsidR="00167333" w:rsidRPr="00167333">
        <w:t>(1973)</w:t>
      </w:r>
      <w:r w:rsidR="00167333">
        <w:t>.</w:t>
      </w:r>
      <w:r w:rsidR="00CB580A">
        <w:t xml:space="preserve"> Plaintiff must then show that this reason is merely pretext. </w:t>
      </w:r>
      <w:r w:rsidR="00167333">
        <w:rPr>
          <w:i/>
          <w:color w:val="FF0000"/>
        </w:rPr>
        <w:t>Id.</w:t>
      </w:r>
      <w:r w:rsidR="00C6244B" w:rsidRPr="004727CA">
        <w:rPr>
          <w:i/>
          <w:color w:val="FF0000"/>
        </w:rPr>
        <w:t xml:space="preserve"> </w:t>
      </w:r>
      <w:r w:rsidR="00C6244B">
        <w:t>A prima facie case for relation must be shown</w:t>
      </w:r>
      <w:r w:rsidR="00581FC5">
        <w:t xml:space="preserve"> that (1) employee </w:t>
      </w:r>
      <w:r w:rsidR="004727CA">
        <w:t>participated</w:t>
      </w:r>
      <w:r w:rsidR="00581FC5">
        <w:t xml:space="preserve"> in a protected activity; (2) there was adverse employment action; </w:t>
      </w:r>
      <w:r w:rsidR="004727CA">
        <w:t xml:space="preserve">and (3) there was a causal connection between the </w:t>
      </w:r>
      <w:r w:rsidR="00865743">
        <w:t>protected activity and adverse action</w:t>
      </w:r>
      <w:r w:rsidR="004727CA">
        <w:t xml:space="preserve">. </w:t>
      </w:r>
      <w:r w:rsidR="00A94A9C" w:rsidRPr="00A94A9C">
        <w:rPr>
          <w:i/>
        </w:rPr>
        <w:t>E.E.O.C. v. C.R. England, Inc.</w:t>
      </w:r>
      <w:r w:rsidR="00A94A9C" w:rsidRPr="00A94A9C">
        <w:t>, 644 F.3d 1028</w:t>
      </w:r>
      <w:r w:rsidR="00B062C9">
        <w:t>, 1051</w:t>
      </w:r>
      <w:r w:rsidR="00A94A9C" w:rsidRPr="00A94A9C">
        <w:t xml:space="preserve"> (10th Cir. 2011)</w:t>
      </w:r>
      <w:r w:rsidR="00A94A9C">
        <w:t>.</w:t>
      </w:r>
      <w:r w:rsidR="00A94A9C" w:rsidRPr="00A94A9C">
        <w:t xml:space="preserve"> </w:t>
      </w:r>
      <w:commentRangeEnd w:id="15"/>
      <w:r w:rsidR="008229DB">
        <w:rPr>
          <w:rStyle w:val="CommentReference"/>
        </w:rPr>
        <w:commentReference w:id="15"/>
      </w:r>
      <w:r w:rsidR="006877A3">
        <w:t xml:space="preserve">Here only the causal </w:t>
      </w:r>
      <w:r w:rsidR="006877A3">
        <w:lastRenderedPageBreak/>
        <w:t>connection is at issue</w:t>
      </w:r>
      <w:r w:rsidR="0001661B">
        <w:t xml:space="preserve"> for termination</w:t>
      </w:r>
      <w:r w:rsidR="006877A3">
        <w:t xml:space="preserve">, as </w:t>
      </w:r>
      <w:r w:rsidR="00FA5DFA">
        <w:t>filing with the EEOC is a protected activity and termination is adverse action</w:t>
      </w:r>
      <w:r w:rsidR="00CA5F5E">
        <w:t>, however all three are at issue regarding the negative reference given by Mr. Hernandez’s supervisor</w:t>
      </w:r>
      <w:r w:rsidR="00FA5DFA">
        <w:t xml:space="preserve">. </w:t>
      </w:r>
      <w:r w:rsidR="005A01D3">
        <w:t xml:space="preserve">This brief will show that </w:t>
      </w:r>
      <w:r w:rsidR="006E2734">
        <w:t xml:space="preserve">Mr. </w:t>
      </w:r>
      <w:r w:rsidR="002506F6">
        <w:t>Hernandez’s</w:t>
      </w:r>
      <w:r w:rsidR="006E2734">
        <w:t xml:space="preserve"> termination and </w:t>
      </w:r>
      <w:r w:rsidR="00746255">
        <w:t>negative</w:t>
      </w:r>
      <w:r w:rsidR="006E2734">
        <w:t xml:space="preserve"> reference was retaliation for his EEOC filing and </w:t>
      </w:r>
      <w:r w:rsidR="00B12CDD">
        <w:t xml:space="preserve">that </w:t>
      </w:r>
      <w:r w:rsidR="001E5235">
        <w:t xml:space="preserve">SSS knew of Mr. Hernandez’s disability, his requested accommodations were reasonable and denied, and that they would impose no undue hardship on SSS. </w:t>
      </w:r>
    </w:p>
    <w:p w14:paraId="31ACAF63" w14:textId="170EF787" w:rsidR="00A91BFA" w:rsidRDefault="00CB7681" w:rsidP="00136C29">
      <w:pPr>
        <w:pStyle w:val="Heading2"/>
        <w:numPr>
          <w:ilvl w:val="0"/>
          <w:numId w:val="7"/>
        </w:numPr>
        <w:spacing w:line="240" w:lineRule="auto"/>
        <w:ind w:left="720"/>
      </w:pPr>
      <w:bookmarkStart w:id="16" w:name="_Toc507246941"/>
      <w:r>
        <w:t xml:space="preserve">SSS </w:t>
      </w:r>
      <w:r w:rsidRPr="00DD7178">
        <w:t>RETALIATED</w:t>
      </w:r>
      <w:r>
        <w:t xml:space="preserve"> AGAINST MR. HERNANDEZ </w:t>
      </w:r>
      <w:r w:rsidR="006C4AF1">
        <w:t xml:space="preserve">BECAUSE </w:t>
      </w:r>
      <w:r w:rsidR="00726DA9">
        <w:t>SSS TOOK ADVERSE ACTION BY TERMINAT</w:t>
      </w:r>
      <w:r w:rsidR="00BF2CF3">
        <w:t>ING</w:t>
      </w:r>
      <w:r w:rsidR="00726DA9">
        <w:t xml:space="preserve"> HIS EMPLOYEMENT</w:t>
      </w:r>
      <w:r w:rsidR="00BF2CF3">
        <w:t xml:space="preserve"> AND</w:t>
      </w:r>
      <w:r w:rsidR="00726DA9">
        <w:t xml:space="preserve"> PROVIDING A NEGATIVE REFERENCE</w:t>
      </w:r>
      <w:r w:rsidR="00BF2CF3">
        <w:t xml:space="preserve">, </w:t>
      </w:r>
      <w:r w:rsidR="007B35A4">
        <w:t xml:space="preserve">THE ADVERSE </w:t>
      </w:r>
      <w:r w:rsidR="00123D4E">
        <w:t>ACTION WAS TWO WEEKS AND MONTHS AFTER THE PROTECTED ACTIVITY</w:t>
      </w:r>
      <w:r w:rsidR="004B55EA">
        <w:t>, AND ITS REASONS FOR TERMINATION WERE INCONSISTENT SHOWING THEY WERE PRETEXTUAL.</w:t>
      </w:r>
      <w:bookmarkEnd w:id="16"/>
      <w:r w:rsidR="008007C0">
        <w:t xml:space="preserve"> </w:t>
      </w:r>
      <w:r w:rsidR="00FD31F4">
        <w:br/>
      </w:r>
    </w:p>
    <w:p w14:paraId="199D5208" w14:textId="3427FB2B" w:rsidR="001E36E2" w:rsidRPr="00E12413" w:rsidRDefault="00697D14" w:rsidP="00A91BFA">
      <w:pPr>
        <w:rPr>
          <w:i/>
        </w:rPr>
      </w:pPr>
      <w:r>
        <w:t xml:space="preserve">Retaliation is discrimination against an individual </w:t>
      </w:r>
      <w:r w:rsidR="00205310">
        <w:t>because such individual has opposed any act or practice</w:t>
      </w:r>
      <w:r w:rsidR="00316A43">
        <w:t xml:space="preserve"> made unlawful under the ADA. </w:t>
      </w:r>
      <w:r w:rsidR="002506F6">
        <w:t xml:space="preserve">42 U.S.C. § 12203(a). </w:t>
      </w:r>
      <w:r w:rsidR="00A75F85">
        <w:t xml:space="preserve">It is sometimes required for </w:t>
      </w:r>
      <w:r w:rsidR="00CC440E">
        <w:t>a plaintiff</w:t>
      </w:r>
      <w:r w:rsidR="00EA559E">
        <w:t xml:space="preserve"> to show that they had a reasonable belief that they are disabled before a retaliation complaint can be made</w:t>
      </w:r>
      <w:commentRangeStart w:id="17"/>
      <w:r w:rsidR="00EA559E">
        <w:t>.</w:t>
      </w:r>
      <w:r w:rsidR="00CC440E">
        <w:t xml:space="preserve"> [CITATION]. </w:t>
      </w:r>
      <w:r w:rsidR="00EA559E">
        <w:t xml:space="preserve"> </w:t>
      </w:r>
      <w:commentRangeEnd w:id="17"/>
      <w:r w:rsidR="00CC440E">
        <w:rPr>
          <w:rStyle w:val="CommentReference"/>
        </w:rPr>
        <w:commentReference w:id="17"/>
      </w:r>
      <w:r w:rsidR="00E53BD3">
        <w:t>Retaliation</w:t>
      </w:r>
      <w:r w:rsidR="00AC30B7">
        <w:t xml:space="preserve"> is shown with a burden shifting framework. </w:t>
      </w:r>
      <w:r w:rsidR="009B5DB1">
        <w:rPr>
          <w:i/>
        </w:rPr>
        <w:t>McDonnell</w:t>
      </w:r>
      <w:r w:rsidR="009B5DB1">
        <w:t>, 411 U.S. at 802</w:t>
      </w:r>
      <w:r w:rsidR="009B5DB1">
        <w:t xml:space="preserve">. </w:t>
      </w:r>
      <w:r w:rsidR="00AC30B7">
        <w:t>A plaintiff must establish a prima facie case for discrimination by showing</w:t>
      </w:r>
      <w:r w:rsidR="008229DB">
        <w:t xml:space="preserve">: </w:t>
      </w:r>
      <w:r w:rsidR="00E53BD3">
        <w:t>(1) employee participated in a protected activity; (2) there was adverse employment action; and (3) there was a causal connection between the protected activity and adverse action</w:t>
      </w:r>
      <w:r w:rsidR="002042CE">
        <w:t>.</w:t>
      </w:r>
      <w:r w:rsidR="009B5DB1">
        <w:t xml:space="preserve"> </w:t>
      </w:r>
      <w:r w:rsidR="009B5DB1" w:rsidRPr="00A94A9C">
        <w:rPr>
          <w:i/>
        </w:rPr>
        <w:t>E.E.O.C</w:t>
      </w:r>
      <w:r w:rsidR="009B5DB1">
        <w:rPr>
          <w:i/>
        </w:rPr>
        <w:t>.</w:t>
      </w:r>
      <w:r w:rsidR="009B5DB1">
        <w:t xml:space="preserve">, </w:t>
      </w:r>
      <w:r w:rsidR="009B5DB1" w:rsidRPr="00A94A9C">
        <w:t xml:space="preserve">644 F.3d </w:t>
      </w:r>
      <w:r w:rsidR="00B062C9">
        <w:t>at 1051</w:t>
      </w:r>
      <w:r w:rsidR="009B5DB1">
        <w:t>.</w:t>
      </w:r>
      <w:r w:rsidR="009B5DB1" w:rsidRPr="00A94A9C">
        <w:t xml:space="preserve"> </w:t>
      </w:r>
      <w:r w:rsidR="004D77B4">
        <w:t xml:space="preserve">If plaintiff </w:t>
      </w:r>
      <w:proofErr w:type="gramStart"/>
      <w:r w:rsidR="004D77B4">
        <w:t>is able to</w:t>
      </w:r>
      <w:proofErr w:type="gramEnd"/>
      <w:r w:rsidR="004D77B4">
        <w:t xml:space="preserve"> do this the burden shifts to the defendant to provide reason for the adverse actio</w:t>
      </w:r>
      <w:r w:rsidR="00AB0BB6">
        <w:t>n, a</w:t>
      </w:r>
      <w:r w:rsidR="005729D1">
        <w:t>nd</w:t>
      </w:r>
      <w:r w:rsidR="00AB0BB6">
        <w:t xml:space="preserve"> the plaintiff must then show this reason was </w:t>
      </w:r>
      <w:r w:rsidR="00FB07C2">
        <w:t xml:space="preserve">pretextual. </w:t>
      </w:r>
      <w:r w:rsidR="002042CE">
        <w:rPr>
          <w:i/>
        </w:rPr>
        <w:t>McDonnell</w:t>
      </w:r>
      <w:r w:rsidR="002042CE">
        <w:t>, 411 U.S. at 802</w:t>
      </w:r>
      <w:r w:rsidR="005729D1">
        <w:t>.</w:t>
      </w:r>
      <w:r w:rsidR="002042CE">
        <w:t xml:space="preserve"> </w:t>
      </w:r>
      <w:r w:rsidR="0013366D">
        <w:t xml:space="preserve">Retaliation may be proven with only </w:t>
      </w:r>
      <w:r w:rsidR="004226CD">
        <w:t>circumstantial</w:t>
      </w:r>
      <w:r w:rsidR="0013366D">
        <w:t xml:space="preserve"> evidence.</w:t>
      </w:r>
      <w:r w:rsidR="00E12413">
        <w:t xml:space="preserve"> </w:t>
      </w:r>
      <w:r w:rsidR="00E12413">
        <w:rPr>
          <w:i/>
        </w:rPr>
        <w:t>Compare</w:t>
      </w:r>
      <w:r w:rsidR="0013366D">
        <w:t xml:space="preserve"> </w:t>
      </w:r>
      <w:r w:rsidR="004226CD" w:rsidRPr="004226CD">
        <w:rPr>
          <w:i/>
        </w:rPr>
        <w:t>Proctor v. United Parcel Serv.</w:t>
      </w:r>
      <w:r w:rsidR="004226CD" w:rsidRPr="004226CD">
        <w:t>, 502 F.3d 1200, 1208 (10th Cir. 2007)</w:t>
      </w:r>
      <w:r w:rsidR="004226CD">
        <w:t xml:space="preserve"> (allowing </w:t>
      </w:r>
      <w:r w:rsidR="00B25D3F">
        <w:t xml:space="preserve">plaintiff to establish a causal connection </w:t>
      </w:r>
      <w:r w:rsidR="00974DAF">
        <w:t xml:space="preserve">between filing of administrative charges and his discharged by </w:t>
      </w:r>
      <w:r w:rsidR="008B702F">
        <w:t>evidence of circumstances)</w:t>
      </w:r>
      <w:r w:rsidR="00E12413">
        <w:t>,</w:t>
      </w:r>
      <w:bookmarkStart w:id="18" w:name="_GoBack"/>
      <w:bookmarkEnd w:id="18"/>
      <w:r w:rsidR="00E12413">
        <w:t xml:space="preserve"> </w:t>
      </w:r>
      <w:r w:rsidR="00E12413">
        <w:rPr>
          <w:i/>
        </w:rPr>
        <w:t xml:space="preserve">with </w:t>
      </w:r>
      <w:r w:rsidR="00E12413" w:rsidRPr="00992300">
        <w:rPr>
          <w:i/>
        </w:rPr>
        <w:t>Morgan v. Hilti, Inc.</w:t>
      </w:r>
      <w:r w:rsidR="00E12413" w:rsidRPr="00992300">
        <w:t>, 108 F.3d 1319, 1324 (10th Cir. 1997)</w:t>
      </w:r>
      <w:r w:rsidR="00E12413">
        <w:t xml:space="preserve"> (showing that plaintiff was not able to raise an inference of pretext </w:t>
      </w:r>
      <w:r w:rsidR="00E12413">
        <w:lastRenderedPageBreak/>
        <w:t xml:space="preserve">because her employer had issued warnings about the consequences of poor attendance both before and after plaintiff filed the charge of discrimination).  </w:t>
      </w:r>
    </w:p>
    <w:p w14:paraId="42C9FE10" w14:textId="77777777" w:rsidR="009F561A" w:rsidRDefault="00A6525B" w:rsidP="005930BB">
      <w:r>
        <w:t>F</w:t>
      </w:r>
      <w:r w:rsidR="00317584">
        <w:t>iling administrative charges with the EEOC</w:t>
      </w:r>
      <w:r w:rsidR="00AA27B1">
        <w:t xml:space="preserve"> is a protected activity</w:t>
      </w:r>
      <w:r w:rsidR="00317584">
        <w:t xml:space="preserve">. </w:t>
      </w:r>
      <w:r w:rsidR="00317584">
        <w:rPr>
          <w:i/>
        </w:rPr>
        <w:t>Proctor</w:t>
      </w:r>
      <w:r w:rsidR="00317584">
        <w:t xml:space="preserve">, 502 F.3d </w:t>
      </w:r>
      <w:r w:rsidR="00DE04E5">
        <w:t xml:space="preserve">at </w:t>
      </w:r>
      <w:r w:rsidR="00317584">
        <w:t>1208</w:t>
      </w:r>
      <w:r w:rsidR="00AA27B1">
        <w:t xml:space="preserve">; </w:t>
      </w:r>
      <w:r w:rsidRPr="00A6525B">
        <w:rPr>
          <w:i/>
        </w:rPr>
        <w:t>Anderson v. Coors Brewing Co.</w:t>
      </w:r>
      <w:r w:rsidRPr="00A6525B">
        <w:t>, 181 F.3d 1171, 1178 (10th Cir. 1999)</w:t>
      </w:r>
      <w:r>
        <w:t>.</w:t>
      </w:r>
      <w:r w:rsidR="005C5638">
        <w:t xml:space="preserve"> A factor showing</w:t>
      </w:r>
      <w:r w:rsidR="0044796F">
        <w:t xml:space="preserve"> </w:t>
      </w:r>
      <w:r w:rsidR="005C5638">
        <w:t>a</w:t>
      </w:r>
      <w:r w:rsidR="00755550">
        <w:t xml:space="preserve">dverse employment action </w:t>
      </w:r>
      <w:r w:rsidR="004C47AD">
        <w:t xml:space="preserve">is if it </w:t>
      </w:r>
      <w:r w:rsidR="00FB7667">
        <w:t xml:space="preserve">causes harm to future employment prospects. </w:t>
      </w:r>
      <w:r w:rsidR="00FB7667" w:rsidRPr="00FB7667">
        <w:rPr>
          <w:i/>
        </w:rPr>
        <w:t xml:space="preserve">Berry v. </w:t>
      </w:r>
      <w:proofErr w:type="spellStart"/>
      <w:r w:rsidR="00FB7667" w:rsidRPr="00FB7667">
        <w:rPr>
          <w:i/>
        </w:rPr>
        <w:t>Stevinson</w:t>
      </w:r>
      <w:proofErr w:type="spellEnd"/>
      <w:r w:rsidR="00FB7667" w:rsidRPr="00FB7667">
        <w:rPr>
          <w:i/>
        </w:rPr>
        <w:t xml:space="preserve"> Chevrolet</w:t>
      </w:r>
      <w:r w:rsidR="00FB7667" w:rsidRPr="00FB7667">
        <w:t>, 74 F.3d 980, 986–87 (10th Cir.1996)</w:t>
      </w:r>
      <w:r w:rsidR="00FB7667">
        <w:t xml:space="preserve">; </w:t>
      </w:r>
      <w:proofErr w:type="spellStart"/>
      <w:r w:rsidR="00CA2620" w:rsidRPr="00CA2620">
        <w:rPr>
          <w:i/>
        </w:rPr>
        <w:t>Hillig</w:t>
      </w:r>
      <w:proofErr w:type="spellEnd"/>
      <w:r w:rsidR="00CA2620" w:rsidRPr="00CA2620">
        <w:rPr>
          <w:i/>
        </w:rPr>
        <w:t xml:space="preserve"> v. Rumsfeld</w:t>
      </w:r>
      <w:r w:rsidR="00CA2620">
        <w:t>, 381 F.3d 1028, 1031 (10th Cir. 2004)</w:t>
      </w:r>
      <w:r w:rsidR="00906BE9">
        <w:t>.</w:t>
      </w:r>
      <w:r w:rsidR="004C47AD">
        <w:t xml:space="preserve"> </w:t>
      </w:r>
      <w:r w:rsidR="007805A9">
        <w:t>The Court has liberally defined “adverse employment action</w:t>
      </w:r>
      <w:r w:rsidR="00602196">
        <w:t>”, analyzing factors on a case by case basis.</w:t>
      </w:r>
      <w:r w:rsidR="007201FD">
        <w:t xml:space="preserve"> </w:t>
      </w:r>
      <w:r w:rsidR="007201FD" w:rsidRPr="00A94A9C">
        <w:rPr>
          <w:i/>
        </w:rPr>
        <w:t>E.E.O.C.</w:t>
      </w:r>
      <w:r w:rsidR="007201FD">
        <w:t xml:space="preserve">, </w:t>
      </w:r>
      <w:r w:rsidR="007201FD" w:rsidRPr="00A94A9C">
        <w:t xml:space="preserve">644 F.3d </w:t>
      </w:r>
      <w:r w:rsidR="007201FD">
        <w:t xml:space="preserve">at </w:t>
      </w:r>
      <w:r w:rsidR="00B12E29">
        <w:t>1040.</w:t>
      </w:r>
      <w:r w:rsidR="00602196">
        <w:t xml:space="preserve"> </w:t>
      </w:r>
      <w:r w:rsidR="00265C31">
        <w:t>“</w:t>
      </w:r>
      <w:r w:rsidR="00AE1D9D">
        <w:t xml:space="preserve">Acts that constitute a significant change in employment status such as hiring, </w:t>
      </w:r>
      <w:r w:rsidR="00265C31">
        <w:t xml:space="preserve">firing or failing to promote” </w:t>
      </w:r>
      <w:r w:rsidR="00D77BBF">
        <w:t>are adverse employment action</w:t>
      </w:r>
      <w:r w:rsidR="004222CB">
        <w:t xml:space="preserve"> and</w:t>
      </w:r>
      <w:r w:rsidR="00B12E29">
        <w:t xml:space="preserve"> must </w:t>
      </w:r>
      <w:r w:rsidR="004222CB">
        <w:t>cause</w:t>
      </w:r>
      <w:r w:rsidR="00B12E29">
        <w:t xml:space="preserve"> more than </w:t>
      </w:r>
      <w:r w:rsidR="00B12E29" w:rsidRPr="005252D6">
        <w:rPr>
          <w:i/>
        </w:rPr>
        <w:t xml:space="preserve">de </w:t>
      </w:r>
      <w:proofErr w:type="spellStart"/>
      <w:r w:rsidR="00B12E29" w:rsidRPr="005252D6">
        <w:rPr>
          <w:i/>
        </w:rPr>
        <w:t>minimis</w:t>
      </w:r>
      <w:proofErr w:type="spellEnd"/>
      <w:r w:rsidR="00B12E29">
        <w:t xml:space="preserve"> harm. </w:t>
      </w:r>
      <w:r w:rsidR="00E77433">
        <w:rPr>
          <w:i/>
        </w:rPr>
        <w:t>Id</w:t>
      </w:r>
      <w:r w:rsidR="00B12E29">
        <w:t xml:space="preserve">. </w:t>
      </w:r>
      <w:r w:rsidR="00E77433">
        <w:t>N</w:t>
      </w:r>
      <w:r w:rsidR="00820E11">
        <w:t xml:space="preserve">egative references can be adverse </w:t>
      </w:r>
      <w:r w:rsidR="008E4BE6">
        <w:t xml:space="preserve">action, even if the </w:t>
      </w:r>
      <w:r w:rsidR="007A06F1">
        <w:t>recommendation</w:t>
      </w:r>
      <w:r w:rsidR="008E4BE6">
        <w:t xml:space="preserve"> is the not the sole reason for </w:t>
      </w:r>
      <w:r w:rsidR="00B1380A">
        <w:t xml:space="preserve">a potential employer </w:t>
      </w:r>
      <w:r w:rsidR="00A67DDA">
        <w:t>rejecting the plaintiff</w:t>
      </w:r>
      <w:r w:rsidR="00E77433">
        <w:t>, and</w:t>
      </w:r>
      <w:r w:rsidR="00E77433" w:rsidRPr="00E77433">
        <w:t xml:space="preserve"> </w:t>
      </w:r>
      <w:r w:rsidR="00E77433">
        <w:t>t</w:t>
      </w:r>
      <w:r w:rsidR="00E77433">
        <w:t xml:space="preserve">he action does not need to preclude a </w:t>
      </w:r>
      <w:proofErr w:type="gramStart"/>
      <w:r w:rsidR="00E77433">
        <w:t>particular employment</w:t>
      </w:r>
      <w:proofErr w:type="gramEnd"/>
      <w:r w:rsidR="00E77433">
        <w:t xml:space="preserve"> prospect</w:t>
      </w:r>
      <w:r w:rsidR="007A06F1">
        <w:t xml:space="preserve">. </w:t>
      </w:r>
      <w:proofErr w:type="spellStart"/>
      <w:r w:rsidR="007A06F1" w:rsidRPr="00F27C2E">
        <w:rPr>
          <w:i/>
        </w:rPr>
        <w:t>Hillig</w:t>
      </w:r>
      <w:proofErr w:type="spellEnd"/>
      <w:r w:rsidR="007A06F1">
        <w:t xml:space="preserve">, 381 F.3d at </w:t>
      </w:r>
      <w:r w:rsidR="007A06F1" w:rsidRPr="00F27C2E">
        <w:t>1033</w:t>
      </w:r>
      <w:r w:rsidR="007A06F1">
        <w:t xml:space="preserve"> </w:t>
      </w:r>
      <w:r w:rsidR="005B5F0D">
        <w:t xml:space="preserve">(holding </w:t>
      </w:r>
      <w:r w:rsidR="00347F5A">
        <w:t xml:space="preserve">that a negative reference was still adverse action </w:t>
      </w:r>
      <w:r w:rsidR="003D18F7">
        <w:t>despite</w:t>
      </w:r>
      <w:r w:rsidR="00347F5A">
        <w:t xml:space="preserve"> </w:t>
      </w:r>
      <w:r w:rsidR="003D18F7">
        <w:t xml:space="preserve">that </w:t>
      </w:r>
      <w:r w:rsidR="00347F5A">
        <w:t xml:space="preserve">plaintiff would not have been hired </w:t>
      </w:r>
      <w:r w:rsidR="0093504C">
        <w:t>in absence of</w:t>
      </w:r>
      <w:r w:rsidR="00347F5A">
        <w:t xml:space="preserve"> the </w:t>
      </w:r>
      <w:r w:rsidR="0093504C">
        <w:t>negative recommendation</w:t>
      </w:r>
      <w:r w:rsidR="003D18F7">
        <w:t>)</w:t>
      </w:r>
      <w:r w:rsidR="005252D6">
        <w:t xml:space="preserve">. </w:t>
      </w:r>
      <w:r w:rsidR="00E844E8">
        <w:t xml:space="preserve">Negative references may be oral or written. </w:t>
      </w:r>
      <w:r w:rsidR="00E844E8">
        <w:rPr>
          <w:i/>
        </w:rPr>
        <w:t xml:space="preserve">Id. </w:t>
      </w:r>
      <w:r w:rsidR="00E844E8">
        <w:t xml:space="preserve">at </w:t>
      </w:r>
      <w:r w:rsidR="00171CD7">
        <w:t xml:space="preserve">1035. </w:t>
      </w:r>
    </w:p>
    <w:p w14:paraId="45199123" w14:textId="62777C5E" w:rsidR="00F94F9D" w:rsidRPr="00C408AE" w:rsidRDefault="001C2147" w:rsidP="00627F16">
      <w:r>
        <w:t xml:space="preserve">A causal connection between </w:t>
      </w:r>
      <w:r w:rsidR="00B9151A">
        <w:t xml:space="preserve">a protected activity and adverse employment action </w:t>
      </w:r>
      <w:r w:rsidR="00AB2477">
        <w:t xml:space="preserve">may be shown via evidence that </w:t>
      </w:r>
      <w:r w:rsidR="00A32BC9">
        <w:t xml:space="preserve">justifies </w:t>
      </w:r>
      <w:r w:rsidR="00AB2477">
        <w:t>a re</w:t>
      </w:r>
      <w:r w:rsidR="00A32BC9">
        <w:t xml:space="preserve">taliatory motive, such as </w:t>
      </w:r>
      <w:r w:rsidR="00A32BC9">
        <w:t>temporal proximity</w:t>
      </w:r>
      <w:r w:rsidR="00A32BC9">
        <w:t xml:space="preserve">. </w:t>
      </w:r>
      <w:r w:rsidR="009C1CE1">
        <w:rPr>
          <w:i/>
        </w:rPr>
        <w:t>Proctor</w:t>
      </w:r>
      <w:r w:rsidR="009C1CE1">
        <w:t>, 502 F.3d at 1208</w:t>
      </w:r>
      <w:r w:rsidR="00EA319F">
        <w:t>.</w:t>
      </w:r>
      <w:r w:rsidR="00FE05ED">
        <w:t xml:space="preserve"> Closer temporal proximity may stand alone as </w:t>
      </w:r>
      <w:r w:rsidR="0046132A">
        <w:t xml:space="preserve">a causal connection, but greater separation requires </w:t>
      </w:r>
      <w:r w:rsidR="00F70CAE">
        <w:t xml:space="preserve">additional evidence to establish causation. </w:t>
      </w:r>
      <w:r w:rsidR="00C64ECF" w:rsidRPr="00A6525B">
        <w:rPr>
          <w:i/>
        </w:rPr>
        <w:t>Anderson</w:t>
      </w:r>
      <w:r w:rsidR="00C64ECF" w:rsidRPr="00A6525B">
        <w:t xml:space="preserve">, 181 F.3d </w:t>
      </w:r>
      <w:r w:rsidR="00C64ECF">
        <w:t>at</w:t>
      </w:r>
      <w:r w:rsidR="00C64ECF" w:rsidRPr="00A6525B">
        <w:t xml:space="preserve"> 117</w:t>
      </w:r>
      <w:r w:rsidR="00C64ECF">
        <w:t>9</w:t>
      </w:r>
      <w:r w:rsidR="00C64ECF" w:rsidRPr="00A6525B">
        <w:t xml:space="preserve"> (</w:t>
      </w:r>
      <w:r w:rsidR="00AA29D5">
        <w:t xml:space="preserve">stating </w:t>
      </w:r>
      <w:r w:rsidR="00CD1F1D">
        <w:t>“</w:t>
      </w:r>
      <w:r w:rsidR="00AA29D5">
        <w:t>that a one and one-half month period between protected activity and adverse action ma</w:t>
      </w:r>
      <w:r w:rsidR="00257040">
        <w:t>y, by itself, establish causation</w:t>
      </w:r>
      <w:r w:rsidR="00CD1F1D">
        <w:t>”</w:t>
      </w:r>
      <w:r w:rsidR="00257040">
        <w:t>, but a three-month period standing alone is insufficient</w:t>
      </w:r>
      <w:r w:rsidR="00C64ECF" w:rsidRPr="00A6525B">
        <w:t>)</w:t>
      </w:r>
      <w:r w:rsidR="00CD1F1D">
        <w:t xml:space="preserve">; </w:t>
      </w:r>
      <w:r w:rsidR="00CD1F1D">
        <w:rPr>
          <w:i/>
        </w:rPr>
        <w:t>Proctor</w:t>
      </w:r>
      <w:r w:rsidR="00CD1F1D">
        <w:t>, 502 F.3d at 1208</w:t>
      </w:r>
      <w:r w:rsidR="00CD1F1D">
        <w:t xml:space="preserve"> (holding </w:t>
      </w:r>
      <w:r w:rsidR="0097220E">
        <w:t>that</w:t>
      </w:r>
      <w:r w:rsidR="00EE755C">
        <w:t xml:space="preserve"> </w:t>
      </w:r>
      <w:r w:rsidR="0097220E">
        <w:t>“</w:t>
      </w:r>
      <w:r w:rsidR="00EE755C">
        <w:t xml:space="preserve">four months </w:t>
      </w:r>
      <w:r w:rsidR="0097220E">
        <w:t xml:space="preserve">is too large a time gap to establish a causal connection”). </w:t>
      </w:r>
      <w:r w:rsidR="00087D0F">
        <w:t xml:space="preserve">Evidence proffered to strengthen causal connection over longer periods may also </w:t>
      </w:r>
      <w:r w:rsidR="00087D0F">
        <w:lastRenderedPageBreak/>
        <w:t xml:space="preserve">be used to establish that the </w:t>
      </w:r>
      <w:r w:rsidR="005930BB">
        <w:t>defendant’s reasons for adverse action are pretext.</w:t>
      </w:r>
      <w:r w:rsidR="00326AC0">
        <w:t xml:space="preserve"> </w:t>
      </w:r>
      <w:r w:rsidR="00326AC0">
        <w:rPr>
          <w:i/>
        </w:rPr>
        <w:t>See</w:t>
      </w:r>
      <w:r w:rsidR="005930BB">
        <w:t xml:space="preserve"> </w:t>
      </w:r>
      <w:r w:rsidR="00E628FC">
        <w:rPr>
          <w:i/>
        </w:rPr>
        <w:t>i</w:t>
      </w:r>
      <w:r w:rsidR="00326AC0">
        <w:rPr>
          <w:i/>
        </w:rPr>
        <w:t>d.</w:t>
      </w:r>
      <w:r w:rsidR="00326AC0">
        <w:t xml:space="preserve"> at 1209. </w:t>
      </w:r>
      <w:r w:rsidR="00813B79">
        <w:t xml:space="preserve">Pretext </w:t>
      </w:r>
      <w:r w:rsidR="00921B3B">
        <w:t xml:space="preserve">is established by evidence showing </w:t>
      </w:r>
      <w:r w:rsidR="00247425">
        <w:t>“</w:t>
      </w:r>
      <w:r w:rsidR="00627F16" w:rsidRPr="00627F16">
        <w:t xml:space="preserve">weaknesses, </w:t>
      </w:r>
      <w:proofErr w:type="spellStart"/>
      <w:r w:rsidR="00627F16" w:rsidRPr="00627F16">
        <w:t>implausibilities</w:t>
      </w:r>
      <w:proofErr w:type="spellEnd"/>
      <w:r w:rsidR="00627F16" w:rsidRPr="00627F16">
        <w:t>, inconsistencies, incoherencies, or contradictions in the employer's proffered legitimate reasons for its action that a reasonable factfinder could rationally find them unworthy of credence and hence infer that the employer did not act for the asserted non-discriminatory reasons.</w:t>
      </w:r>
      <w:r w:rsidR="00627F16">
        <w:t>”</w:t>
      </w:r>
      <w:r w:rsidR="001575FF">
        <w:t xml:space="preserve"> </w:t>
      </w:r>
      <w:r w:rsidR="001575FF">
        <w:rPr>
          <w:i/>
        </w:rPr>
        <w:t>Id</w:t>
      </w:r>
      <w:r w:rsidR="005B5916">
        <w:rPr>
          <w:i/>
        </w:rPr>
        <w:t xml:space="preserve">. </w:t>
      </w:r>
      <w:r w:rsidR="005B5916">
        <w:t xml:space="preserve">at 1209. The inquiry is not whether the employer’s reasons were fair or correct, but whether </w:t>
      </w:r>
      <w:r w:rsidR="005F7CDA">
        <w:t xml:space="preserve">the employer believed those reasons and acted in good faith. </w:t>
      </w:r>
      <w:r w:rsidR="005F7CDA">
        <w:rPr>
          <w:i/>
        </w:rPr>
        <w:t xml:space="preserve">Id. </w:t>
      </w:r>
      <w:r w:rsidR="005F7CDA">
        <w:t>at 1211.</w:t>
      </w:r>
      <w:r w:rsidR="00AE6D09">
        <w:t xml:space="preserve"> </w:t>
      </w:r>
      <w:r w:rsidR="00E6459E">
        <w:br/>
      </w:r>
    </w:p>
    <w:p w14:paraId="23A2CBFC" w14:textId="32D0FABC" w:rsidR="007F78B8" w:rsidRPr="007F78B8" w:rsidRDefault="007F78B8" w:rsidP="00EB7D2C">
      <w:pPr>
        <w:pStyle w:val="Heading2"/>
        <w:numPr>
          <w:ilvl w:val="0"/>
          <w:numId w:val="7"/>
        </w:numPr>
        <w:ind w:left="720"/>
      </w:pPr>
      <w:bookmarkStart w:id="19" w:name="_Toc507246942"/>
      <w:r>
        <w:t>BLAH 2</w:t>
      </w:r>
      <w:bookmarkEnd w:id="19"/>
    </w:p>
    <w:p w14:paraId="0AD01C00" w14:textId="0A4E12CF" w:rsidR="00BA4F2E" w:rsidRDefault="007415A9" w:rsidP="00D476E0">
      <w:pPr>
        <w:pStyle w:val="Heading1"/>
        <w:ind w:firstLine="0"/>
      </w:pPr>
      <w:bookmarkStart w:id="20" w:name="_Toc507246943"/>
      <w:r>
        <w:t>CONCLUSION</w:t>
      </w:r>
      <w:bookmarkEnd w:id="20"/>
    </w:p>
    <w:p w14:paraId="703441D9" w14:textId="67957D94" w:rsidR="00903DFF" w:rsidRDefault="00A80099" w:rsidP="00D476E0">
      <w:r>
        <w:t>For the foregoing reasons, the district cour</w:t>
      </w:r>
      <w:r w:rsidR="00226B3E">
        <w:t>t [DID SOMETHING NOT GREAT]. Appellant requests [SOMETHING GOOD]</w:t>
      </w:r>
      <w:r w:rsidR="00EB7D2C">
        <w:t>.</w:t>
      </w:r>
    </w:p>
    <w:p w14:paraId="0956B9D0" w14:textId="5B998F53" w:rsidR="00903DFF" w:rsidRDefault="00903DFF" w:rsidP="00D476E0"/>
    <w:p w14:paraId="4CA30F2D" w14:textId="77777777" w:rsidR="00B7574D" w:rsidRPr="00A852B5" w:rsidRDefault="00B7574D" w:rsidP="00D476E0">
      <w:pPr>
        <w:pStyle w:val="Default"/>
        <w:tabs>
          <w:tab w:val="left" w:pos="4680"/>
        </w:tabs>
        <w:contextualSpacing/>
      </w:pPr>
      <w:r w:rsidRPr="00A852B5">
        <w:tab/>
        <w:t xml:space="preserve">Respectfully submitted, </w:t>
      </w:r>
    </w:p>
    <w:p w14:paraId="268A0246" w14:textId="77777777" w:rsidR="00B7574D" w:rsidRPr="00A852B5" w:rsidRDefault="00B7574D" w:rsidP="00D476E0">
      <w:pPr>
        <w:pStyle w:val="Default"/>
        <w:tabs>
          <w:tab w:val="left" w:pos="4680"/>
        </w:tabs>
        <w:contextualSpacing/>
      </w:pPr>
    </w:p>
    <w:p w14:paraId="1785F180" w14:textId="77777777" w:rsidR="00B7574D" w:rsidRPr="00A852B5" w:rsidRDefault="00B7574D" w:rsidP="00D476E0">
      <w:pPr>
        <w:pStyle w:val="Default"/>
        <w:tabs>
          <w:tab w:val="left" w:pos="4680"/>
        </w:tabs>
        <w:contextualSpacing/>
      </w:pPr>
    </w:p>
    <w:p w14:paraId="088E8C93" w14:textId="553FA780" w:rsidR="00B7574D" w:rsidRPr="00A852B5" w:rsidRDefault="00B7574D" w:rsidP="00D476E0">
      <w:pPr>
        <w:pStyle w:val="Default"/>
        <w:tabs>
          <w:tab w:val="left" w:pos="4680"/>
        </w:tabs>
        <w:contextualSpacing/>
      </w:pPr>
      <w:r w:rsidRPr="00A852B5">
        <w:t xml:space="preserve">Dated: </w:t>
      </w:r>
      <w:r>
        <w:rPr>
          <w:u w:val="single"/>
        </w:rPr>
        <w:t>March 25, 2018</w:t>
      </w:r>
      <w:r w:rsidRPr="00A852B5">
        <w:tab/>
        <w:t>________</w:t>
      </w:r>
      <w:r w:rsidRPr="00B7574D">
        <w:t>_____________</w:t>
      </w:r>
    </w:p>
    <w:p w14:paraId="5FB3AB68" w14:textId="77777777" w:rsidR="00B7574D" w:rsidRPr="00A852B5" w:rsidRDefault="00B7574D" w:rsidP="00D476E0">
      <w:pPr>
        <w:pStyle w:val="Default"/>
        <w:tabs>
          <w:tab w:val="left" w:pos="4680"/>
        </w:tabs>
        <w:ind w:left="4680"/>
        <w:contextualSpacing/>
      </w:pPr>
      <w:r w:rsidRPr="00A852B5">
        <w:t>Student’s Anonymous Identifier</w:t>
      </w:r>
      <w:r w:rsidRPr="00A852B5">
        <w:br/>
        <w:t xml:space="preserve">1800 Broadway, </w:t>
      </w:r>
    </w:p>
    <w:p w14:paraId="0AC3A3FA" w14:textId="6036A660" w:rsidR="00B7574D" w:rsidRPr="003477DB" w:rsidRDefault="00B7574D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3477DB">
        <w:rPr>
          <w:color w:val="auto"/>
        </w:rPr>
        <w:t>Boulder, CO 80302</w:t>
      </w:r>
    </w:p>
    <w:p w14:paraId="2B99A6F7" w14:textId="3917AE71" w:rsidR="003477DB" w:rsidRPr="003477DB" w:rsidRDefault="003477DB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3477DB">
        <w:rPr>
          <w:color w:val="auto"/>
        </w:rPr>
        <w:t>(303) 473-2700</w:t>
      </w:r>
    </w:p>
    <w:p w14:paraId="2D1C587E" w14:textId="5E87ECC9" w:rsidR="00B7574D" w:rsidRPr="00903DFF" w:rsidRDefault="00B7574D" w:rsidP="00D476E0">
      <w:pPr>
        <w:pStyle w:val="Default"/>
        <w:tabs>
          <w:tab w:val="left" w:pos="4680"/>
        </w:tabs>
        <w:ind w:left="4680"/>
        <w:contextualSpacing/>
      </w:pPr>
      <w:r w:rsidRPr="00A852B5">
        <w:t xml:space="preserve">Attorney for </w:t>
      </w:r>
      <w:r w:rsidR="003477DB">
        <w:t>Appellant</w:t>
      </w:r>
    </w:p>
    <w:p w14:paraId="5FE913CE" w14:textId="77777777" w:rsidR="00BA4F2E" w:rsidRDefault="00BA4F2E" w:rsidP="00D476E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2EC878F" w14:textId="667434D3" w:rsidR="000508DE" w:rsidRDefault="00BA4F2E" w:rsidP="00D476E0">
      <w:pPr>
        <w:pStyle w:val="Heading1"/>
        <w:ind w:firstLine="0"/>
      </w:pPr>
      <w:bookmarkStart w:id="21" w:name="_Toc507246944"/>
      <w:r>
        <w:lastRenderedPageBreak/>
        <w:t>CERTIFICATE OF COMPLIANCE</w:t>
      </w:r>
      <w:bookmarkEnd w:id="21"/>
    </w:p>
    <w:p w14:paraId="441603E4" w14:textId="77777777" w:rsidR="00BD4C48" w:rsidRPr="00A852B5" w:rsidRDefault="00BD4C48" w:rsidP="00D476E0">
      <w:pPr>
        <w:pStyle w:val="Default"/>
        <w:contextualSpacing/>
      </w:pPr>
      <w:r w:rsidRPr="00A852B5">
        <w:t xml:space="preserve">I certify that </w:t>
      </w:r>
    </w:p>
    <w:p w14:paraId="1BA01D2B" w14:textId="77777777" w:rsidR="00BD4C48" w:rsidRPr="00A852B5" w:rsidRDefault="00BD4C48" w:rsidP="00D476E0">
      <w:pPr>
        <w:pStyle w:val="Default"/>
        <w:contextualSpacing/>
      </w:pPr>
    </w:p>
    <w:p w14:paraId="688BBE34" w14:textId="77777777" w:rsidR="00BD4C48" w:rsidRPr="00A852B5" w:rsidRDefault="00BD4C48" w:rsidP="00D476E0">
      <w:pPr>
        <w:pStyle w:val="Default"/>
        <w:numPr>
          <w:ilvl w:val="0"/>
          <w:numId w:val="3"/>
        </w:numPr>
        <w:contextualSpacing/>
      </w:pPr>
      <w:r w:rsidRPr="00A852B5">
        <w:t>this document has been prepared using Microsoft Word, Times New Roman, 12-point</w:t>
      </w:r>
    </w:p>
    <w:p w14:paraId="540CCAF3" w14:textId="77777777" w:rsidR="00BD4C48" w:rsidRPr="00A852B5" w:rsidRDefault="00BD4C48" w:rsidP="00D476E0">
      <w:pPr>
        <w:pStyle w:val="Default"/>
        <w:contextualSpacing/>
      </w:pPr>
    </w:p>
    <w:p w14:paraId="09D2A200" w14:textId="77777777" w:rsidR="00BD4C48" w:rsidRPr="00A852B5" w:rsidRDefault="00BD4C48" w:rsidP="00D476E0">
      <w:pPr>
        <w:pStyle w:val="Default"/>
        <w:contextualSpacing/>
      </w:pPr>
      <w:r w:rsidRPr="00A852B5">
        <w:t xml:space="preserve">and </w:t>
      </w:r>
    </w:p>
    <w:p w14:paraId="709D85AE" w14:textId="77777777" w:rsidR="00BD4C48" w:rsidRPr="00A852B5" w:rsidRDefault="00BD4C48" w:rsidP="00D476E0">
      <w:pPr>
        <w:pStyle w:val="Default"/>
        <w:contextualSpacing/>
      </w:pPr>
    </w:p>
    <w:p w14:paraId="661E6071" w14:textId="3AF16589" w:rsidR="00BD4C48" w:rsidRPr="00A852B5" w:rsidRDefault="00BD4C48" w:rsidP="00D476E0">
      <w:pPr>
        <w:pStyle w:val="Default"/>
        <w:numPr>
          <w:ilvl w:val="0"/>
          <w:numId w:val="3"/>
        </w:numPr>
        <w:contextualSpacing/>
      </w:pPr>
      <w:r w:rsidRPr="00A852B5">
        <w:t xml:space="preserve">this document contains: </w:t>
      </w:r>
      <w:r>
        <w:t xml:space="preserve">XXXX </w:t>
      </w:r>
      <w:r w:rsidRPr="00A852B5">
        <w:t xml:space="preserve">words. </w:t>
      </w:r>
    </w:p>
    <w:p w14:paraId="3666AF2F" w14:textId="77777777" w:rsidR="00BD4C48" w:rsidRPr="00A852B5" w:rsidRDefault="00BD4C48" w:rsidP="00D476E0">
      <w:pPr>
        <w:pStyle w:val="Default"/>
        <w:contextualSpacing/>
      </w:pPr>
    </w:p>
    <w:p w14:paraId="1C5B79A4" w14:textId="34ACDF51" w:rsidR="00BD4C48" w:rsidRPr="00A852B5" w:rsidRDefault="00BD4C48" w:rsidP="00D476E0">
      <w:pPr>
        <w:pStyle w:val="Default"/>
        <w:tabs>
          <w:tab w:val="left" w:pos="4680"/>
        </w:tabs>
        <w:ind w:firstLine="720"/>
        <w:contextualSpacing/>
      </w:pPr>
      <w:r w:rsidRPr="00A852B5">
        <w:tab/>
        <w:t>__________</w:t>
      </w:r>
      <w:r w:rsidRPr="00BD4C48">
        <w:t>___________</w:t>
      </w:r>
      <w:r w:rsidRPr="00A852B5">
        <w:t xml:space="preserve"> </w:t>
      </w:r>
    </w:p>
    <w:p w14:paraId="7C563AB4" w14:textId="77777777" w:rsidR="00BD4C48" w:rsidRPr="00A852B5" w:rsidRDefault="00BD4C48" w:rsidP="00D476E0">
      <w:pPr>
        <w:tabs>
          <w:tab w:val="left" w:pos="4680"/>
        </w:tabs>
        <w:contextualSpacing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szCs w:val="24"/>
        </w:rPr>
        <w:tab/>
        <w:t>Student’s Anonymous Identifier</w:t>
      </w:r>
    </w:p>
    <w:p w14:paraId="131B657C" w14:textId="77777777" w:rsidR="00BD4C48" w:rsidRPr="00BD4C48" w:rsidRDefault="00BD4C48" w:rsidP="00D476E0"/>
    <w:p w14:paraId="08D9C676" w14:textId="69967645" w:rsidR="00BA4F2E" w:rsidRPr="00BA4F2E" w:rsidRDefault="00242553" w:rsidP="00D476E0">
      <w:pPr>
        <w:pStyle w:val="Heading1"/>
        <w:ind w:firstLine="0"/>
      </w:pPr>
      <w:bookmarkStart w:id="22" w:name="_Toc507246945"/>
      <w:r>
        <w:t>CERTIFICATE OF SERVICE</w:t>
      </w:r>
      <w:bookmarkEnd w:id="22"/>
    </w:p>
    <w:p w14:paraId="1C0355E2" w14:textId="4989D906" w:rsidR="007972B8" w:rsidRDefault="007972B8" w:rsidP="00D476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hereby certify that on this date, the ____ of _________________, 2014, a copy of the foregoing </w:t>
      </w:r>
      <w:r w:rsidR="00D2006D">
        <w:rPr>
          <w:sz w:val="23"/>
          <w:szCs w:val="23"/>
        </w:rPr>
        <w:t>Brief for Appellant</w:t>
      </w:r>
      <w:r>
        <w:rPr>
          <w:sz w:val="23"/>
          <w:szCs w:val="23"/>
        </w:rPr>
        <w:t xml:space="preserve"> was served on </w:t>
      </w:r>
      <w:r w:rsidR="00D2006D">
        <w:rPr>
          <w:sz w:val="23"/>
          <w:szCs w:val="23"/>
        </w:rPr>
        <w:t>opposing counsel</w:t>
      </w:r>
      <w:r>
        <w:rPr>
          <w:sz w:val="23"/>
          <w:szCs w:val="23"/>
        </w:rPr>
        <w:t xml:space="preserve"> via </w:t>
      </w:r>
      <w:r w:rsidR="00D2006D">
        <w:rPr>
          <w:sz w:val="23"/>
          <w:szCs w:val="23"/>
        </w:rPr>
        <w:t>email</w:t>
      </w:r>
    </w:p>
    <w:p w14:paraId="24CD5382" w14:textId="62A86585" w:rsidR="00F82890" w:rsidRPr="00A852B5" w:rsidRDefault="00F82890" w:rsidP="00D476E0">
      <w:pPr>
        <w:pStyle w:val="Default"/>
        <w:tabs>
          <w:tab w:val="left" w:pos="4680"/>
        </w:tabs>
        <w:ind w:firstLine="720"/>
        <w:contextualSpacing/>
      </w:pPr>
      <w:r>
        <w:tab/>
      </w:r>
      <w:r w:rsidRPr="00A852B5">
        <w:t>__________</w:t>
      </w:r>
      <w:r w:rsidRPr="00BD4C48">
        <w:t>___________</w:t>
      </w:r>
      <w:r w:rsidRPr="00A852B5">
        <w:t xml:space="preserve"> </w:t>
      </w:r>
    </w:p>
    <w:p w14:paraId="740955B3" w14:textId="77777777" w:rsidR="00F82890" w:rsidRPr="00A852B5" w:rsidRDefault="00F82890" w:rsidP="00D476E0">
      <w:pPr>
        <w:tabs>
          <w:tab w:val="left" w:pos="4680"/>
        </w:tabs>
        <w:contextualSpacing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szCs w:val="24"/>
        </w:rPr>
        <w:tab/>
        <w:t>Student’s Anonymous Identifier</w:t>
      </w:r>
    </w:p>
    <w:p w14:paraId="6A23ED65" w14:textId="77777777" w:rsidR="00B60156" w:rsidRPr="000D59BC" w:rsidRDefault="00B6015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D129A3F" w14:textId="5DB43887" w:rsidR="009B5795" w:rsidRPr="000D59BC" w:rsidRDefault="009B5795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65E9847B" w14:textId="77777777" w:rsidR="009B5795" w:rsidRPr="000D59BC" w:rsidRDefault="009B5795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6CB21968" w14:textId="0785AD89" w:rsidR="00FB40AC" w:rsidRPr="000D59BC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2E5F12E6" w14:textId="77777777" w:rsidR="00FB40AC" w:rsidRPr="000D59BC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sectPr w:rsidR="00FB40AC" w:rsidRPr="000D59BC" w:rsidSect="0044745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8-02-13T19:25:00Z" w:initials="sg">
    <w:p w14:paraId="6C4AF379" w14:textId="77777777" w:rsidR="00671EB8" w:rsidRDefault="00671EB8">
      <w:pPr>
        <w:pStyle w:val="CommentText"/>
      </w:pPr>
      <w:r>
        <w:rPr>
          <w:rStyle w:val="CommentReference"/>
        </w:rPr>
        <w:annotationRef/>
      </w:r>
      <w:r>
        <w:t>Case Number or Appeal Number?</w:t>
      </w:r>
    </w:p>
    <w:p w14:paraId="1FBD814D" w14:textId="12F8A13F" w:rsidR="00671EB8" w:rsidRDefault="00671EB8">
      <w:pPr>
        <w:pStyle w:val="CommentText"/>
      </w:pPr>
      <w:r>
        <w:t xml:space="preserve">The number on motion memo and appeal record are not the same. </w:t>
      </w:r>
    </w:p>
  </w:comment>
  <w:comment w:id="1" w:author="seth guthrie" w:date="2018-02-13T19:28:00Z" w:initials="sg">
    <w:p w14:paraId="5CA888D9" w14:textId="687291A4" w:rsidR="00E004D7" w:rsidRDefault="00E004D7">
      <w:pPr>
        <w:pStyle w:val="CommentText"/>
      </w:pPr>
      <w:r>
        <w:rPr>
          <w:rStyle w:val="CommentReference"/>
        </w:rPr>
        <w:annotationRef/>
      </w:r>
      <w:r>
        <w:t>Should this be Plaintiff / Appellant?</w:t>
      </w:r>
    </w:p>
  </w:comment>
  <w:comment w:id="4" w:author="seth guthrie" w:date="2018-02-21T19:34:00Z" w:initials="sg">
    <w:p w14:paraId="66CDDC7F" w14:textId="2D36EF0A" w:rsidR="004D4652" w:rsidRDefault="004D4652">
      <w:pPr>
        <w:pStyle w:val="CommentText"/>
      </w:pPr>
      <w:r>
        <w:rPr>
          <w:rStyle w:val="CommentReference"/>
        </w:rPr>
        <w:annotationRef/>
      </w:r>
      <w:r>
        <w:t>Do we need 2000e-5(f)(3)?</w:t>
      </w:r>
    </w:p>
  </w:comment>
  <w:comment w:id="5" w:author="seth guthrie" w:date="2018-02-24T11:44:00Z" w:initials="sg">
    <w:p w14:paraId="64B6F85D" w14:textId="388D09E2" w:rsidR="002538AC" w:rsidRDefault="002538AC">
      <w:pPr>
        <w:pStyle w:val="CommentText"/>
      </w:pPr>
      <w:r>
        <w:rPr>
          <w:rStyle w:val="CommentReference"/>
        </w:rPr>
        <w:annotationRef/>
      </w:r>
      <w:r>
        <w:t xml:space="preserve">Check year. Seems strange its different from </w:t>
      </w:r>
      <w:r w:rsidR="00966838">
        <w:t xml:space="preserve">1331. </w:t>
      </w:r>
    </w:p>
  </w:comment>
  <w:comment w:id="11" w:author="seth guthrie" w:date="2018-02-24T14:50:00Z" w:initials="sg">
    <w:p w14:paraId="3DE949CC" w14:textId="78CF854D" w:rsidR="002E48C8" w:rsidRDefault="002E48C8">
      <w:pPr>
        <w:pStyle w:val="CommentText"/>
      </w:pPr>
      <w:r>
        <w:rPr>
          <w:rStyle w:val="CommentReference"/>
        </w:rPr>
        <w:annotationRef/>
      </w:r>
      <w:r>
        <w:t>Where does this belong order wise?</w:t>
      </w:r>
    </w:p>
  </w:comment>
  <w:comment w:id="13" w:author="seth guthrie" w:date="2018-02-19T14:21:00Z" w:initials="sg">
    <w:p w14:paraId="2AB596F2" w14:textId="2A472E65" w:rsidR="00A773A3" w:rsidRDefault="00A773A3">
      <w:pPr>
        <w:pStyle w:val="CommentText"/>
      </w:pPr>
      <w:r>
        <w:rPr>
          <w:rStyle w:val="CommentReference"/>
        </w:rPr>
        <w:annotationRef/>
      </w:r>
      <w:r>
        <w:t>What does this mean? Be more descriptive</w:t>
      </w:r>
    </w:p>
    <w:p w14:paraId="07CBA532" w14:textId="35619791" w:rsidR="00DA0EB6" w:rsidRDefault="00DA0EB6">
      <w:pPr>
        <w:pStyle w:val="CommentText"/>
      </w:pPr>
    </w:p>
    <w:p w14:paraId="7C005C08" w14:textId="4907BF53" w:rsidR="00DA0EB6" w:rsidRDefault="00DA0EB6">
      <w:pPr>
        <w:pStyle w:val="CommentText"/>
      </w:pPr>
      <w:r>
        <w:t xml:space="preserve">He was a good employee. Really smart. </w:t>
      </w:r>
    </w:p>
  </w:comment>
  <w:comment w:id="14" w:author="seth guthrie" w:date="2018-02-19T14:52:00Z" w:initials="sg">
    <w:p w14:paraId="324160F6" w14:textId="3BB29BE7" w:rsidR="00F15963" w:rsidRDefault="00F15963">
      <w:pPr>
        <w:pStyle w:val="CommentText"/>
      </w:pPr>
      <w:r>
        <w:rPr>
          <w:rStyle w:val="CommentReference"/>
        </w:rPr>
        <w:annotationRef/>
      </w:r>
      <w:r>
        <w:t>This is a quote from the tr</w:t>
      </w:r>
      <w:r w:rsidR="00593E1F">
        <w:t>ia</w:t>
      </w:r>
      <w:r>
        <w:t xml:space="preserve">l level. I read the statute and I don’t get this. It does not present a prima facie case like this. </w:t>
      </w:r>
    </w:p>
    <w:p w14:paraId="03B30B60" w14:textId="77777777" w:rsidR="00701969" w:rsidRDefault="00701969">
      <w:pPr>
        <w:pStyle w:val="CommentText"/>
      </w:pPr>
    </w:p>
    <w:p w14:paraId="2A460F4A" w14:textId="77777777" w:rsidR="00701969" w:rsidRDefault="00701969">
      <w:pPr>
        <w:pStyle w:val="CommentText"/>
      </w:pPr>
      <w:r>
        <w:t xml:space="preserve">Also, cannot find this backed up by ANY case law. </w:t>
      </w:r>
      <w:r w:rsidR="00286173">
        <w:t>The prima facie case seems to be:</w:t>
      </w:r>
    </w:p>
    <w:p w14:paraId="2879FF61" w14:textId="77777777" w:rsidR="00286173" w:rsidRDefault="00286173">
      <w:pPr>
        <w:pStyle w:val="CommentText"/>
      </w:pPr>
    </w:p>
    <w:p w14:paraId="27AFD8C4" w14:textId="00A0E2C5" w:rsidR="00286173" w:rsidRDefault="00286173" w:rsidP="00286173">
      <w:pPr>
        <w:pStyle w:val="CommentText"/>
        <w:numPr>
          <w:ilvl w:val="0"/>
          <w:numId w:val="4"/>
        </w:numPr>
      </w:pPr>
      <w:r>
        <w:t xml:space="preserve"> Disabled</w:t>
      </w:r>
    </w:p>
    <w:p w14:paraId="0F6BDD5E" w14:textId="77777777" w:rsidR="00286173" w:rsidRDefault="00286173" w:rsidP="00286173">
      <w:pPr>
        <w:pStyle w:val="CommentText"/>
        <w:numPr>
          <w:ilvl w:val="0"/>
          <w:numId w:val="4"/>
        </w:numPr>
      </w:pPr>
      <w:r>
        <w:t xml:space="preserve"> Is Qualified</w:t>
      </w:r>
    </w:p>
    <w:p w14:paraId="63A0417E" w14:textId="69D9DCFF" w:rsidR="00286173" w:rsidRDefault="00286173" w:rsidP="00286173">
      <w:pPr>
        <w:pStyle w:val="CommentText"/>
        <w:numPr>
          <w:ilvl w:val="0"/>
          <w:numId w:val="4"/>
        </w:numPr>
      </w:pPr>
      <w:r>
        <w:t>Suffered discrimination</w:t>
      </w:r>
    </w:p>
  </w:comment>
  <w:comment w:id="15" w:author="seth guthrie" w:date="2018-02-24T12:48:00Z" w:initials="sg">
    <w:p w14:paraId="55502CE8" w14:textId="0141C04A" w:rsidR="008229DB" w:rsidRDefault="008229DB">
      <w:pPr>
        <w:pStyle w:val="CommentText"/>
      </w:pPr>
      <w:r>
        <w:rPr>
          <w:rStyle w:val="CommentReference"/>
        </w:rPr>
        <w:annotationRef/>
      </w:r>
      <w:r>
        <w:t xml:space="preserve">Does this belong here? </w:t>
      </w:r>
      <w:r w:rsidR="00E53BD3">
        <w:t>I’ll need to address it again in the retaliation section</w:t>
      </w:r>
    </w:p>
    <w:p w14:paraId="527A851D" w14:textId="7F9A0B1B" w:rsidR="00593E1F" w:rsidRDefault="00593E1F">
      <w:pPr>
        <w:pStyle w:val="CommentText"/>
      </w:pPr>
    </w:p>
    <w:p w14:paraId="53A914E7" w14:textId="55048744" w:rsidR="00593E1F" w:rsidRDefault="00593E1F">
      <w:pPr>
        <w:pStyle w:val="CommentText"/>
      </w:pPr>
      <w:r>
        <w:t xml:space="preserve">This paragraph is super long. </w:t>
      </w:r>
    </w:p>
  </w:comment>
  <w:comment w:id="17" w:author="seth guthrie" w:date="2018-02-24T12:42:00Z" w:initials="sg">
    <w:p w14:paraId="76C6CAC9" w14:textId="362A7259" w:rsidR="00CC440E" w:rsidRDefault="00CC440E">
      <w:pPr>
        <w:pStyle w:val="CommentText"/>
      </w:pPr>
      <w:r>
        <w:rPr>
          <w:rStyle w:val="CommentReference"/>
        </w:rPr>
        <w:annotationRef/>
      </w:r>
      <w:r>
        <w:t xml:space="preserve">Prof. Castle mentioned </w:t>
      </w:r>
      <w:proofErr w:type="gramStart"/>
      <w:r>
        <w:t>this</w:t>
      </w:r>
      <w:proofErr w:type="gramEnd"/>
      <w:r>
        <w:t xml:space="preserve"> but I have found no evidence for it thus far.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BD814D" w15:done="0"/>
  <w15:commentEx w15:paraId="5CA888D9" w15:done="0"/>
  <w15:commentEx w15:paraId="66CDDC7F" w15:done="0"/>
  <w15:commentEx w15:paraId="64B6F85D" w15:done="0"/>
  <w15:commentEx w15:paraId="3DE949CC" w15:done="0"/>
  <w15:commentEx w15:paraId="7C005C08" w15:done="0"/>
  <w15:commentEx w15:paraId="63A0417E" w15:done="0"/>
  <w15:commentEx w15:paraId="53A914E7" w15:done="0"/>
  <w15:commentEx w15:paraId="76C6CA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BD814D" w16cid:durableId="1E2DBA17"/>
  <w16cid:commentId w16cid:paraId="5CA888D9" w16cid:durableId="1E2DBAFB"/>
  <w16cid:commentId w16cid:paraId="66CDDC7F" w16cid:durableId="1E384861"/>
  <w16cid:commentId w16cid:paraId="64B6F85D" w16cid:durableId="1E3BCE9F"/>
  <w16cid:commentId w16cid:paraId="3DE949CC" w16cid:durableId="1E3BFA52"/>
  <w16cid:commentId w16cid:paraId="7C005C08" w16cid:durableId="1E355C02"/>
  <w16cid:commentId w16cid:paraId="63A0417E" w16cid:durableId="1E356331"/>
  <w16cid:commentId w16cid:paraId="53A914E7" w16cid:durableId="1E3BDD83"/>
  <w16cid:commentId w16cid:paraId="76C6CAC9" w16cid:durableId="1E3BDC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7778" w14:textId="77777777" w:rsidR="00EA51FF" w:rsidRDefault="00EA51FF" w:rsidP="009B5795">
      <w:pPr>
        <w:spacing w:line="240" w:lineRule="auto"/>
      </w:pPr>
      <w:r>
        <w:separator/>
      </w:r>
    </w:p>
  </w:endnote>
  <w:endnote w:type="continuationSeparator" w:id="0">
    <w:p w14:paraId="486EBF87" w14:textId="77777777" w:rsidR="00EA51FF" w:rsidRDefault="00EA51FF" w:rsidP="009B5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407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8AC0F" w14:textId="631EAB5D" w:rsidR="0044745E" w:rsidRDefault="00447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4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6BBE9E" w14:textId="77777777" w:rsidR="00B63774" w:rsidRDefault="00B63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38262" w14:textId="5BADAB49" w:rsidR="007D2926" w:rsidRDefault="007D2926">
    <w:pPr>
      <w:pStyle w:val="Footer"/>
      <w:jc w:val="center"/>
    </w:pPr>
  </w:p>
  <w:p w14:paraId="6E4E9E36" w14:textId="77777777" w:rsidR="009B5795" w:rsidRDefault="009B5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74496" w14:textId="77777777" w:rsidR="00EA51FF" w:rsidRDefault="00EA51FF" w:rsidP="009B5795">
      <w:pPr>
        <w:spacing w:line="240" w:lineRule="auto"/>
      </w:pPr>
      <w:r>
        <w:separator/>
      </w:r>
    </w:p>
  </w:footnote>
  <w:footnote w:type="continuationSeparator" w:id="0">
    <w:p w14:paraId="64EB8737" w14:textId="77777777" w:rsidR="00EA51FF" w:rsidRDefault="00EA51FF" w:rsidP="009B57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AAD"/>
    <w:multiLevelType w:val="hybridMultilevel"/>
    <w:tmpl w:val="43F6A6FE"/>
    <w:lvl w:ilvl="0" w:tplc="B75CF7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D3180"/>
    <w:multiLevelType w:val="hybridMultilevel"/>
    <w:tmpl w:val="CC5681A4"/>
    <w:lvl w:ilvl="0" w:tplc="22708D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66F11"/>
    <w:multiLevelType w:val="hybridMultilevel"/>
    <w:tmpl w:val="AE14C084"/>
    <w:lvl w:ilvl="0" w:tplc="BF303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4AE7"/>
    <w:multiLevelType w:val="hybridMultilevel"/>
    <w:tmpl w:val="40B4BA34"/>
    <w:lvl w:ilvl="0" w:tplc="F1A62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144E3"/>
    <w:multiLevelType w:val="hybridMultilevel"/>
    <w:tmpl w:val="6A8ABC8E"/>
    <w:lvl w:ilvl="0" w:tplc="AFC00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96D35"/>
    <w:multiLevelType w:val="hybridMultilevel"/>
    <w:tmpl w:val="009E1D86"/>
    <w:lvl w:ilvl="0" w:tplc="F6A6E6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D6735"/>
    <w:multiLevelType w:val="hybridMultilevel"/>
    <w:tmpl w:val="6E3435C4"/>
    <w:lvl w:ilvl="0" w:tplc="04B4A7D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4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36"/>
    <w:rsid w:val="00015942"/>
    <w:rsid w:val="00015CD5"/>
    <w:rsid w:val="0001661B"/>
    <w:rsid w:val="00034B89"/>
    <w:rsid w:val="000508DE"/>
    <w:rsid w:val="00051322"/>
    <w:rsid w:val="000729D9"/>
    <w:rsid w:val="0008715A"/>
    <w:rsid w:val="00087D0F"/>
    <w:rsid w:val="000D3802"/>
    <w:rsid w:val="000D59BC"/>
    <w:rsid w:val="000F66F6"/>
    <w:rsid w:val="00116D02"/>
    <w:rsid w:val="00123D4E"/>
    <w:rsid w:val="0013366D"/>
    <w:rsid w:val="00133675"/>
    <w:rsid w:val="00136C29"/>
    <w:rsid w:val="00140A01"/>
    <w:rsid w:val="00141775"/>
    <w:rsid w:val="001575FF"/>
    <w:rsid w:val="00167333"/>
    <w:rsid w:val="00171CD7"/>
    <w:rsid w:val="00184C55"/>
    <w:rsid w:val="00185F57"/>
    <w:rsid w:val="001B6BE2"/>
    <w:rsid w:val="001C2147"/>
    <w:rsid w:val="001C65B0"/>
    <w:rsid w:val="001E14A4"/>
    <w:rsid w:val="001E36E2"/>
    <w:rsid w:val="001E5235"/>
    <w:rsid w:val="001F21FA"/>
    <w:rsid w:val="002017E0"/>
    <w:rsid w:val="002042CE"/>
    <w:rsid w:val="00205310"/>
    <w:rsid w:val="00211A1C"/>
    <w:rsid w:val="00226B3E"/>
    <w:rsid w:val="002319E4"/>
    <w:rsid w:val="00237B72"/>
    <w:rsid w:val="00242553"/>
    <w:rsid w:val="00243555"/>
    <w:rsid w:val="002448E9"/>
    <w:rsid w:val="00247425"/>
    <w:rsid w:val="002506F6"/>
    <w:rsid w:val="002538AC"/>
    <w:rsid w:val="00257040"/>
    <w:rsid w:val="002607F4"/>
    <w:rsid w:val="002620E5"/>
    <w:rsid w:val="002650B6"/>
    <w:rsid w:val="00265C31"/>
    <w:rsid w:val="002700CF"/>
    <w:rsid w:val="00284B7D"/>
    <w:rsid w:val="00286173"/>
    <w:rsid w:val="002B70F1"/>
    <w:rsid w:val="002C080B"/>
    <w:rsid w:val="002C5448"/>
    <w:rsid w:val="002D05AF"/>
    <w:rsid w:val="002E2585"/>
    <w:rsid w:val="002E48C8"/>
    <w:rsid w:val="002F6199"/>
    <w:rsid w:val="00316A43"/>
    <w:rsid w:val="00317584"/>
    <w:rsid w:val="00326AC0"/>
    <w:rsid w:val="00326BEB"/>
    <w:rsid w:val="0033148A"/>
    <w:rsid w:val="0033554F"/>
    <w:rsid w:val="003446BD"/>
    <w:rsid w:val="003477DB"/>
    <w:rsid w:val="00347F5A"/>
    <w:rsid w:val="00351EEB"/>
    <w:rsid w:val="00357C61"/>
    <w:rsid w:val="0038230A"/>
    <w:rsid w:val="00385F40"/>
    <w:rsid w:val="00387FB7"/>
    <w:rsid w:val="003A2C7A"/>
    <w:rsid w:val="003B6223"/>
    <w:rsid w:val="003C58A3"/>
    <w:rsid w:val="003C7805"/>
    <w:rsid w:val="003C7892"/>
    <w:rsid w:val="003D18F7"/>
    <w:rsid w:val="003E539C"/>
    <w:rsid w:val="003F3099"/>
    <w:rsid w:val="0041141C"/>
    <w:rsid w:val="0041162C"/>
    <w:rsid w:val="004179E1"/>
    <w:rsid w:val="004222CB"/>
    <w:rsid w:val="004226CD"/>
    <w:rsid w:val="00424487"/>
    <w:rsid w:val="0042506B"/>
    <w:rsid w:val="004270F3"/>
    <w:rsid w:val="0042743D"/>
    <w:rsid w:val="00441E2A"/>
    <w:rsid w:val="0044745E"/>
    <w:rsid w:val="0044796F"/>
    <w:rsid w:val="00451502"/>
    <w:rsid w:val="00457A3D"/>
    <w:rsid w:val="0046132A"/>
    <w:rsid w:val="004631CD"/>
    <w:rsid w:val="004727CA"/>
    <w:rsid w:val="00480C5D"/>
    <w:rsid w:val="00485778"/>
    <w:rsid w:val="004928F3"/>
    <w:rsid w:val="00495276"/>
    <w:rsid w:val="0049703A"/>
    <w:rsid w:val="004A6824"/>
    <w:rsid w:val="004A6BA5"/>
    <w:rsid w:val="004B55EA"/>
    <w:rsid w:val="004C47AD"/>
    <w:rsid w:val="004C6D1A"/>
    <w:rsid w:val="004C7E24"/>
    <w:rsid w:val="004D4652"/>
    <w:rsid w:val="004D77B4"/>
    <w:rsid w:val="004E16A2"/>
    <w:rsid w:val="00500197"/>
    <w:rsid w:val="00500ACA"/>
    <w:rsid w:val="00515300"/>
    <w:rsid w:val="00521205"/>
    <w:rsid w:val="005252D6"/>
    <w:rsid w:val="00545688"/>
    <w:rsid w:val="0055677F"/>
    <w:rsid w:val="00564456"/>
    <w:rsid w:val="00565250"/>
    <w:rsid w:val="005668E6"/>
    <w:rsid w:val="005729D1"/>
    <w:rsid w:val="0057602D"/>
    <w:rsid w:val="00581D4F"/>
    <w:rsid w:val="00581FC5"/>
    <w:rsid w:val="005822C0"/>
    <w:rsid w:val="0058525A"/>
    <w:rsid w:val="005930BB"/>
    <w:rsid w:val="00593E1F"/>
    <w:rsid w:val="00594505"/>
    <w:rsid w:val="00596BBA"/>
    <w:rsid w:val="005A01D3"/>
    <w:rsid w:val="005A7175"/>
    <w:rsid w:val="005A7801"/>
    <w:rsid w:val="005B5916"/>
    <w:rsid w:val="005B5F0D"/>
    <w:rsid w:val="005C5638"/>
    <w:rsid w:val="005D6C8E"/>
    <w:rsid w:val="005E2833"/>
    <w:rsid w:val="005E7789"/>
    <w:rsid w:val="005F3F93"/>
    <w:rsid w:val="005F7CDA"/>
    <w:rsid w:val="00602196"/>
    <w:rsid w:val="00627F16"/>
    <w:rsid w:val="006328C4"/>
    <w:rsid w:val="0063451F"/>
    <w:rsid w:val="0065506D"/>
    <w:rsid w:val="00671EB8"/>
    <w:rsid w:val="00674A9F"/>
    <w:rsid w:val="006840E1"/>
    <w:rsid w:val="006877A3"/>
    <w:rsid w:val="00697D14"/>
    <w:rsid w:val="006A2249"/>
    <w:rsid w:val="006A5836"/>
    <w:rsid w:val="006B31AE"/>
    <w:rsid w:val="006C046D"/>
    <w:rsid w:val="006C4AF1"/>
    <w:rsid w:val="006C7042"/>
    <w:rsid w:val="006D4508"/>
    <w:rsid w:val="006D4B02"/>
    <w:rsid w:val="006E1D0A"/>
    <w:rsid w:val="006E2734"/>
    <w:rsid w:val="006E3CB0"/>
    <w:rsid w:val="006F45BB"/>
    <w:rsid w:val="00701969"/>
    <w:rsid w:val="007133B8"/>
    <w:rsid w:val="007201FD"/>
    <w:rsid w:val="00726DA9"/>
    <w:rsid w:val="00727C1B"/>
    <w:rsid w:val="00732E70"/>
    <w:rsid w:val="007415A9"/>
    <w:rsid w:val="007449C7"/>
    <w:rsid w:val="00746255"/>
    <w:rsid w:val="00755550"/>
    <w:rsid w:val="00766DC5"/>
    <w:rsid w:val="007805A9"/>
    <w:rsid w:val="00790EAE"/>
    <w:rsid w:val="007927AD"/>
    <w:rsid w:val="00794C0D"/>
    <w:rsid w:val="007972B8"/>
    <w:rsid w:val="007A06F1"/>
    <w:rsid w:val="007B35A4"/>
    <w:rsid w:val="007C0FD6"/>
    <w:rsid w:val="007D2926"/>
    <w:rsid w:val="007D69B9"/>
    <w:rsid w:val="007E4689"/>
    <w:rsid w:val="007E7481"/>
    <w:rsid w:val="007F78B8"/>
    <w:rsid w:val="008007C0"/>
    <w:rsid w:val="00813B79"/>
    <w:rsid w:val="00815817"/>
    <w:rsid w:val="00815C2F"/>
    <w:rsid w:val="00820E11"/>
    <w:rsid w:val="008229DB"/>
    <w:rsid w:val="008458F6"/>
    <w:rsid w:val="00865743"/>
    <w:rsid w:val="008719AD"/>
    <w:rsid w:val="008826FD"/>
    <w:rsid w:val="00882E79"/>
    <w:rsid w:val="00887EAC"/>
    <w:rsid w:val="0089107C"/>
    <w:rsid w:val="008924C4"/>
    <w:rsid w:val="00894EFF"/>
    <w:rsid w:val="008A275F"/>
    <w:rsid w:val="008B702F"/>
    <w:rsid w:val="008C7CA8"/>
    <w:rsid w:val="008D0305"/>
    <w:rsid w:val="008E4BE6"/>
    <w:rsid w:val="00903DFF"/>
    <w:rsid w:val="00904F0A"/>
    <w:rsid w:val="00906BE9"/>
    <w:rsid w:val="00917355"/>
    <w:rsid w:val="00921B3B"/>
    <w:rsid w:val="0093504C"/>
    <w:rsid w:val="00942D5A"/>
    <w:rsid w:val="00952AD2"/>
    <w:rsid w:val="00966838"/>
    <w:rsid w:val="00966B81"/>
    <w:rsid w:val="0097220E"/>
    <w:rsid w:val="00974DAF"/>
    <w:rsid w:val="00977BAA"/>
    <w:rsid w:val="00992300"/>
    <w:rsid w:val="009A6637"/>
    <w:rsid w:val="009B3942"/>
    <w:rsid w:val="009B5795"/>
    <w:rsid w:val="009B5DB1"/>
    <w:rsid w:val="009C1CE1"/>
    <w:rsid w:val="009C3882"/>
    <w:rsid w:val="009D36EB"/>
    <w:rsid w:val="009E392B"/>
    <w:rsid w:val="009F561A"/>
    <w:rsid w:val="00A053FB"/>
    <w:rsid w:val="00A15044"/>
    <w:rsid w:val="00A32BC9"/>
    <w:rsid w:val="00A36DFB"/>
    <w:rsid w:val="00A633B5"/>
    <w:rsid w:val="00A6525B"/>
    <w:rsid w:val="00A67795"/>
    <w:rsid w:val="00A67DDA"/>
    <w:rsid w:val="00A75F85"/>
    <w:rsid w:val="00A773A3"/>
    <w:rsid w:val="00A80099"/>
    <w:rsid w:val="00A91BFA"/>
    <w:rsid w:val="00A94A9C"/>
    <w:rsid w:val="00A96FCE"/>
    <w:rsid w:val="00AA27B1"/>
    <w:rsid w:val="00AA29D5"/>
    <w:rsid w:val="00AA460A"/>
    <w:rsid w:val="00AB0BB6"/>
    <w:rsid w:val="00AB2477"/>
    <w:rsid w:val="00AC30B7"/>
    <w:rsid w:val="00AD08CF"/>
    <w:rsid w:val="00AD31DC"/>
    <w:rsid w:val="00AE1838"/>
    <w:rsid w:val="00AE1D9D"/>
    <w:rsid w:val="00AE6D09"/>
    <w:rsid w:val="00AF7FB9"/>
    <w:rsid w:val="00B062C9"/>
    <w:rsid w:val="00B12CDD"/>
    <w:rsid w:val="00B12E29"/>
    <w:rsid w:val="00B1380A"/>
    <w:rsid w:val="00B25D3F"/>
    <w:rsid w:val="00B349DD"/>
    <w:rsid w:val="00B53EC5"/>
    <w:rsid w:val="00B60156"/>
    <w:rsid w:val="00B63774"/>
    <w:rsid w:val="00B67FA9"/>
    <w:rsid w:val="00B7574D"/>
    <w:rsid w:val="00B9151A"/>
    <w:rsid w:val="00B92EDE"/>
    <w:rsid w:val="00BA4F2E"/>
    <w:rsid w:val="00BB0BE5"/>
    <w:rsid w:val="00BC306B"/>
    <w:rsid w:val="00BC4889"/>
    <w:rsid w:val="00BC623A"/>
    <w:rsid w:val="00BD4C48"/>
    <w:rsid w:val="00BE1DB5"/>
    <w:rsid w:val="00BF1979"/>
    <w:rsid w:val="00BF2CF3"/>
    <w:rsid w:val="00C3070D"/>
    <w:rsid w:val="00C408AE"/>
    <w:rsid w:val="00C6244B"/>
    <w:rsid w:val="00C64ECF"/>
    <w:rsid w:val="00C84968"/>
    <w:rsid w:val="00C86668"/>
    <w:rsid w:val="00C93CDD"/>
    <w:rsid w:val="00CA2620"/>
    <w:rsid w:val="00CA397A"/>
    <w:rsid w:val="00CA5F5E"/>
    <w:rsid w:val="00CA7A6B"/>
    <w:rsid w:val="00CB57E6"/>
    <w:rsid w:val="00CB580A"/>
    <w:rsid w:val="00CB6365"/>
    <w:rsid w:val="00CB7681"/>
    <w:rsid w:val="00CC440E"/>
    <w:rsid w:val="00CC7DBB"/>
    <w:rsid w:val="00CD1F1D"/>
    <w:rsid w:val="00CF20AF"/>
    <w:rsid w:val="00CF246F"/>
    <w:rsid w:val="00CF7683"/>
    <w:rsid w:val="00D01B0F"/>
    <w:rsid w:val="00D06858"/>
    <w:rsid w:val="00D17E95"/>
    <w:rsid w:val="00D2006D"/>
    <w:rsid w:val="00D21B46"/>
    <w:rsid w:val="00D476E0"/>
    <w:rsid w:val="00D565FB"/>
    <w:rsid w:val="00D649D5"/>
    <w:rsid w:val="00D77BBF"/>
    <w:rsid w:val="00D814CF"/>
    <w:rsid w:val="00D831F7"/>
    <w:rsid w:val="00D87D06"/>
    <w:rsid w:val="00D92577"/>
    <w:rsid w:val="00DA0EB6"/>
    <w:rsid w:val="00DD1549"/>
    <w:rsid w:val="00DD4517"/>
    <w:rsid w:val="00DD7178"/>
    <w:rsid w:val="00DE04E5"/>
    <w:rsid w:val="00DE2E35"/>
    <w:rsid w:val="00DF5707"/>
    <w:rsid w:val="00DF64A2"/>
    <w:rsid w:val="00E004D7"/>
    <w:rsid w:val="00E05117"/>
    <w:rsid w:val="00E12413"/>
    <w:rsid w:val="00E365EC"/>
    <w:rsid w:val="00E50E4D"/>
    <w:rsid w:val="00E53BD3"/>
    <w:rsid w:val="00E628FC"/>
    <w:rsid w:val="00E62F9C"/>
    <w:rsid w:val="00E6459E"/>
    <w:rsid w:val="00E65758"/>
    <w:rsid w:val="00E77433"/>
    <w:rsid w:val="00E778E1"/>
    <w:rsid w:val="00E844E8"/>
    <w:rsid w:val="00E94E91"/>
    <w:rsid w:val="00EA319F"/>
    <w:rsid w:val="00EA51FF"/>
    <w:rsid w:val="00EA559E"/>
    <w:rsid w:val="00EB3515"/>
    <w:rsid w:val="00EB7D2C"/>
    <w:rsid w:val="00EC5308"/>
    <w:rsid w:val="00EE1D56"/>
    <w:rsid w:val="00EE6A5A"/>
    <w:rsid w:val="00EE755C"/>
    <w:rsid w:val="00F034B3"/>
    <w:rsid w:val="00F15963"/>
    <w:rsid w:val="00F20759"/>
    <w:rsid w:val="00F27817"/>
    <w:rsid w:val="00F27C2E"/>
    <w:rsid w:val="00F34B68"/>
    <w:rsid w:val="00F4059A"/>
    <w:rsid w:val="00F70CAE"/>
    <w:rsid w:val="00F71FBA"/>
    <w:rsid w:val="00F82890"/>
    <w:rsid w:val="00F94F9D"/>
    <w:rsid w:val="00FA5DFA"/>
    <w:rsid w:val="00FB07C2"/>
    <w:rsid w:val="00FB29F6"/>
    <w:rsid w:val="00FB40AC"/>
    <w:rsid w:val="00FB7667"/>
    <w:rsid w:val="00FD31F4"/>
    <w:rsid w:val="00FD5C83"/>
    <w:rsid w:val="00FE05ED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8C22"/>
  <w15:chartTrackingRefBased/>
  <w15:docId w15:val="{370A1A91-1DF1-4272-A448-333FF2D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FB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D4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1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E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E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E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57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95"/>
  </w:style>
  <w:style w:type="paragraph" w:styleId="Footer">
    <w:name w:val="footer"/>
    <w:basedOn w:val="Normal"/>
    <w:link w:val="FooterChar"/>
    <w:uiPriority w:val="99"/>
    <w:unhideWhenUsed/>
    <w:rsid w:val="009B57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95"/>
  </w:style>
  <w:style w:type="paragraph" w:customStyle="1" w:styleId="Default">
    <w:name w:val="Default"/>
    <w:rsid w:val="00B60156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7FB7"/>
    <w:rPr>
      <w:rFonts w:eastAsiaTheme="majorEastAsia" w:cstheme="majorBidi"/>
      <w:color w:val="000000" w:themeColor="text1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64456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7DBB"/>
    <w:pPr>
      <w:tabs>
        <w:tab w:val="right" w:leader="dot" w:pos="9350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A677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D4F"/>
    <w:rPr>
      <w:rFonts w:eastAsiaTheme="majorEastAsia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E50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C7DBB"/>
    <w:pPr>
      <w:tabs>
        <w:tab w:val="left" w:pos="1540"/>
        <w:tab w:val="right" w:leader="dot" w:pos="9350"/>
      </w:tabs>
      <w:spacing w:after="100" w:line="240" w:lineRule="auto"/>
      <w:ind w:left="720" w:hanging="720"/>
    </w:pPr>
  </w:style>
  <w:style w:type="paragraph" w:customStyle="1" w:styleId="Case">
    <w:name w:val="Case"/>
    <w:basedOn w:val="Normal"/>
    <w:link w:val="CaseChar"/>
    <w:qFormat/>
    <w:rsid w:val="00BE1DB5"/>
    <w:pPr>
      <w:tabs>
        <w:tab w:val="right" w:pos="9360"/>
      </w:tabs>
      <w:ind w:firstLine="0"/>
    </w:pPr>
    <w:rPr>
      <w:rFonts w:cs="Times New Roman"/>
      <w:szCs w:val="24"/>
    </w:rPr>
  </w:style>
  <w:style w:type="paragraph" w:customStyle="1" w:styleId="Statute">
    <w:name w:val="Statute"/>
    <w:basedOn w:val="Case"/>
    <w:link w:val="StatuteChar"/>
    <w:qFormat/>
    <w:rsid w:val="001B6BE2"/>
  </w:style>
  <w:style w:type="character" w:customStyle="1" w:styleId="CaseChar">
    <w:name w:val="Case Char"/>
    <w:basedOn w:val="DefaultParagraphFont"/>
    <w:link w:val="Case"/>
    <w:rsid w:val="00BE1DB5"/>
    <w:rPr>
      <w:rFonts w:cs="Times New Roman"/>
      <w:szCs w:val="24"/>
    </w:rPr>
  </w:style>
  <w:style w:type="paragraph" w:customStyle="1" w:styleId="Misc">
    <w:name w:val="Misc"/>
    <w:basedOn w:val="Statute"/>
    <w:link w:val="MiscChar"/>
    <w:qFormat/>
    <w:rsid w:val="00D87D06"/>
  </w:style>
  <w:style w:type="character" w:customStyle="1" w:styleId="StatuteChar">
    <w:name w:val="Statute Char"/>
    <w:basedOn w:val="CaseChar"/>
    <w:link w:val="Statute"/>
    <w:rsid w:val="001B6BE2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4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MiscChar">
    <w:name w:val="Misc Char"/>
    <w:basedOn w:val="StatuteChar"/>
    <w:link w:val="Misc"/>
    <w:rsid w:val="00D87D06"/>
    <w:rPr>
      <w:rFonts w:cs="Times New Roman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F4059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4059A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B9FFA-BCA6-45E1-A137-523AA4A5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guthrie</dc:creator>
  <cp:keywords/>
  <dc:description/>
  <cp:lastModifiedBy>seth guthrie</cp:lastModifiedBy>
  <cp:revision>351</cp:revision>
  <dcterms:created xsi:type="dcterms:W3CDTF">2018-02-13T23:33:00Z</dcterms:created>
  <dcterms:modified xsi:type="dcterms:W3CDTF">2018-02-24T20:24:00Z</dcterms:modified>
</cp:coreProperties>
</file>