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Pr="00906BCD" w:rsidRDefault="006E0AC4" w:rsidP="00D86002">
      <w:pPr>
        <w:widowControl w:val="0"/>
        <w:ind w:firstLine="0"/>
        <w:contextualSpacing/>
        <w:jc w:val="center"/>
        <w:rPr>
          <w:rFonts w:cs="Times New Roman"/>
          <w:b/>
          <w:szCs w:val="24"/>
        </w:rPr>
      </w:pPr>
      <w:r w:rsidRPr="00906BCD">
        <w:rPr>
          <w:rFonts w:cs="Times New Roman"/>
          <w:b/>
          <w:szCs w:val="24"/>
        </w:rPr>
        <w:t>Office Research Memorandum</w:t>
      </w:r>
    </w:p>
    <w:p w14:paraId="7B74944A" w14:textId="04E74A71"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To:</w:t>
      </w:r>
      <w:r w:rsidRPr="00906BCD">
        <w:rPr>
          <w:rFonts w:cs="Times New Roman"/>
          <w:szCs w:val="24"/>
        </w:rPr>
        <w:tab/>
      </w:r>
      <w:r w:rsidRPr="00906BCD">
        <w:rPr>
          <w:rFonts w:cs="Times New Roman"/>
          <w:szCs w:val="24"/>
        </w:rPr>
        <w:tab/>
        <w:t>John Picard</w:t>
      </w:r>
      <w:r w:rsidRPr="00906BCD">
        <w:rPr>
          <w:rFonts w:cs="Times New Roman"/>
          <w:szCs w:val="24"/>
        </w:rPr>
        <w:br/>
        <w:t>From:</w:t>
      </w:r>
      <w:r w:rsidRPr="00906BCD">
        <w:rPr>
          <w:rFonts w:cs="Times New Roman"/>
          <w:szCs w:val="24"/>
        </w:rPr>
        <w:tab/>
      </w:r>
      <w:r w:rsidRPr="00906BCD">
        <w:rPr>
          <w:rFonts w:cs="Times New Roman"/>
          <w:szCs w:val="24"/>
        </w:rPr>
        <w:tab/>
        <w:t>Fall Associate</w:t>
      </w:r>
    </w:p>
    <w:p w14:paraId="7A348A6D" w14:textId="29AC9E30"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Date:</w:t>
      </w:r>
      <w:r w:rsidRPr="00906BCD">
        <w:rPr>
          <w:rFonts w:cs="Times New Roman"/>
          <w:szCs w:val="24"/>
        </w:rPr>
        <w:tab/>
      </w:r>
      <w:r w:rsidRPr="00906BCD">
        <w:rPr>
          <w:rFonts w:cs="Times New Roman"/>
          <w:szCs w:val="24"/>
        </w:rPr>
        <w:tab/>
        <w:t>Wednesday, November 22, 2017</w:t>
      </w:r>
    </w:p>
    <w:p w14:paraId="5E3D6E94" w14:textId="481CAD91"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RE:</w:t>
      </w:r>
      <w:r w:rsidRPr="00906BCD">
        <w:rPr>
          <w:rFonts w:cs="Times New Roman"/>
          <w:szCs w:val="24"/>
        </w:rPr>
        <w:tab/>
      </w:r>
      <w:r w:rsidRPr="00906BCD">
        <w:rPr>
          <w:rFonts w:cs="Times New Roman"/>
          <w:szCs w:val="24"/>
        </w:rPr>
        <w:tab/>
        <w:t>Motion to Dismiss Copyright Infringement Claim</w:t>
      </w:r>
      <w:r w:rsidRPr="00906BCD">
        <w:rPr>
          <w:rFonts w:cs="Times New Roman"/>
          <w:szCs w:val="24"/>
        </w:rPr>
        <w:br/>
      </w:r>
    </w:p>
    <w:p w14:paraId="46C53818" w14:textId="1A5C0AFA" w:rsidR="009A6146" w:rsidRPr="00906BCD" w:rsidRDefault="009A6146" w:rsidP="00D86002">
      <w:pPr>
        <w:widowControl w:val="0"/>
        <w:ind w:firstLine="0"/>
        <w:contextualSpacing/>
        <w:jc w:val="center"/>
        <w:rPr>
          <w:rFonts w:cs="Times New Roman"/>
          <w:b/>
          <w:szCs w:val="24"/>
        </w:rPr>
      </w:pPr>
      <w:r w:rsidRPr="00906BCD">
        <w:rPr>
          <w:rFonts w:cs="Times New Roman"/>
          <w:b/>
          <w:szCs w:val="24"/>
        </w:rPr>
        <w:t>Questions Presented</w:t>
      </w:r>
    </w:p>
    <w:p w14:paraId="700B73DC" w14:textId="06BAD310" w:rsidR="00123E38" w:rsidRPr="00906BCD" w:rsidRDefault="00123E38" w:rsidP="00D86002">
      <w:pPr>
        <w:pStyle w:val="ListParagraph"/>
        <w:widowControl w:val="0"/>
        <w:numPr>
          <w:ilvl w:val="0"/>
          <w:numId w:val="6"/>
        </w:numPr>
        <w:ind w:left="720"/>
        <w:rPr>
          <w:rFonts w:cs="Times New Roman"/>
          <w:szCs w:val="24"/>
        </w:rPr>
      </w:pPr>
      <w:r w:rsidRPr="00906BCD">
        <w:rPr>
          <w:rFonts w:cs="Times New Roman"/>
          <w:szCs w:val="24"/>
        </w:rPr>
        <w:t xml:space="preserve">Under the </w:t>
      </w:r>
      <w:r w:rsidR="00835EB0">
        <w:rPr>
          <w:rFonts w:cs="Times New Roman"/>
          <w:szCs w:val="24"/>
        </w:rPr>
        <w:t>Copyright Act</w:t>
      </w:r>
      <w:r w:rsidRPr="00906BCD">
        <w:rPr>
          <w:rFonts w:cs="Times New Roman"/>
          <w:szCs w:val="24"/>
        </w:rPr>
        <w:t xml:space="preserve">, will </w:t>
      </w:r>
      <w:r w:rsidR="00835EB0">
        <w:rPr>
          <w:rFonts w:cs="Times New Roman"/>
          <w:szCs w:val="24"/>
        </w:rPr>
        <w:t xml:space="preserve">the Southern District of New York </w:t>
      </w:r>
      <w:r w:rsidR="00B40369">
        <w:rPr>
          <w:rFonts w:cs="Times New Roman"/>
          <w:szCs w:val="24"/>
        </w:rPr>
        <w:t xml:space="preserve">(“S.D.N.Y”) </w:t>
      </w:r>
      <w:r w:rsidR="00835EB0">
        <w:rPr>
          <w:rFonts w:cs="Times New Roman"/>
          <w:szCs w:val="24"/>
        </w:rPr>
        <w:t xml:space="preserve">grant </w:t>
      </w:r>
      <w:r w:rsidRPr="00906BCD">
        <w:rPr>
          <w:rFonts w:cs="Times New Roman"/>
          <w:szCs w:val="24"/>
        </w:rPr>
        <w:t>Archer Enterprises</w:t>
      </w:r>
      <w:r w:rsidR="00DB5E9D" w:rsidRPr="00906BCD">
        <w:rPr>
          <w:rFonts w:cs="Times New Roman"/>
          <w:szCs w:val="24"/>
        </w:rPr>
        <w:t>’</w:t>
      </w:r>
      <w:r w:rsidRPr="00906BCD">
        <w:rPr>
          <w:rFonts w:cs="Times New Roman"/>
          <w:szCs w:val="24"/>
        </w:rPr>
        <w:t xml:space="preserve"> </w:t>
      </w:r>
      <w:r w:rsidR="00D377C9">
        <w:rPr>
          <w:rFonts w:cs="Times New Roman"/>
          <w:szCs w:val="24"/>
        </w:rPr>
        <w:t>(“Archer</w:t>
      </w:r>
      <w:r w:rsidR="001E6888">
        <w:rPr>
          <w:rFonts w:cs="Times New Roman"/>
          <w:szCs w:val="24"/>
        </w:rPr>
        <w:t>”</w:t>
      </w:r>
      <w:r w:rsidR="00D377C9">
        <w:rPr>
          <w:rFonts w:cs="Times New Roman"/>
          <w:szCs w:val="24"/>
        </w:rPr>
        <w:t>)</w:t>
      </w:r>
      <w:r w:rsidR="00B40369">
        <w:rPr>
          <w:rFonts w:cs="Times New Roman"/>
          <w:szCs w:val="24"/>
        </w:rPr>
        <w:t xml:space="preserve"> M</w:t>
      </w:r>
      <w:r w:rsidRPr="00906BCD">
        <w:rPr>
          <w:rFonts w:cs="Times New Roman"/>
          <w:szCs w:val="24"/>
        </w:rPr>
        <w:t xml:space="preserve">otion to </w:t>
      </w:r>
      <w:r w:rsidR="00B40369">
        <w:rPr>
          <w:rFonts w:cs="Times New Roman"/>
          <w:szCs w:val="24"/>
        </w:rPr>
        <w:t>D</w:t>
      </w:r>
      <w:r w:rsidRPr="00906BCD">
        <w:rPr>
          <w:rFonts w:cs="Times New Roman"/>
          <w:szCs w:val="24"/>
        </w:rPr>
        <w:t>ismiss for failure to state a claim</w:t>
      </w:r>
      <w:r w:rsidR="00835EB0">
        <w:rPr>
          <w:rFonts w:cs="Times New Roman"/>
          <w:szCs w:val="24"/>
        </w:rPr>
        <w:t xml:space="preserve"> when</w:t>
      </w:r>
      <w:r w:rsidRPr="00906BCD">
        <w:rPr>
          <w:rFonts w:cs="Times New Roman"/>
          <w:szCs w:val="24"/>
        </w:rPr>
        <w:t xml:space="preserve"> </w:t>
      </w:r>
      <w:r w:rsidR="00B40369">
        <w:rPr>
          <w:rFonts w:cs="Times New Roman"/>
          <w:szCs w:val="24"/>
        </w:rPr>
        <w:t xml:space="preserve">Kate </w:t>
      </w:r>
      <w:r w:rsidRPr="00906BCD">
        <w:rPr>
          <w:rFonts w:cs="Times New Roman"/>
          <w:szCs w:val="24"/>
        </w:rPr>
        <w:t>Janeway</w:t>
      </w:r>
      <w:r w:rsidR="00B40369">
        <w:rPr>
          <w:rFonts w:cs="Times New Roman"/>
          <w:szCs w:val="24"/>
        </w:rPr>
        <w:t xml:space="preserve"> (“Janeway”)</w:t>
      </w:r>
      <w:r w:rsidRPr="00906BCD">
        <w:rPr>
          <w:rFonts w:cs="Times New Roman"/>
          <w:szCs w:val="24"/>
        </w:rPr>
        <w:t xml:space="preserve"> </w:t>
      </w:r>
      <w:r w:rsidR="002B546E">
        <w:rPr>
          <w:rFonts w:cs="Times New Roman"/>
          <w:szCs w:val="24"/>
        </w:rPr>
        <w:t xml:space="preserve">filed for </w:t>
      </w:r>
      <w:r w:rsidRPr="00906BCD">
        <w:rPr>
          <w:rFonts w:cs="Times New Roman"/>
          <w:szCs w:val="24"/>
        </w:rPr>
        <w:t xml:space="preserve">copyright </w:t>
      </w:r>
      <w:r w:rsidR="002B546E">
        <w:rPr>
          <w:rFonts w:cs="Times New Roman"/>
          <w:szCs w:val="24"/>
        </w:rPr>
        <w:t xml:space="preserve">registration </w:t>
      </w:r>
      <w:r w:rsidRPr="00906BCD">
        <w:rPr>
          <w:rFonts w:cs="Times New Roman"/>
          <w:szCs w:val="24"/>
        </w:rPr>
        <w:t xml:space="preserve">on the same day </w:t>
      </w:r>
      <w:r w:rsidR="002B546E">
        <w:rPr>
          <w:rFonts w:cs="Times New Roman"/>
          <w:szCs w:val="24"/>
        </w:rPr>
        <w:t>that she filed for copyright</w:t>
      </w:r>
      <w:r w:rsidRPr="00906BCD">
        <w:rPr>
          <w:rFonts w:cs="Times New Roman"/>
          <w:szCs w:val="24"/>
        </w:rPr>
        <w:t xml:space="preserve"> infringement </w:t>
      </w:r>
      <w:r w:rsidR="00DB5E9D" w:rsidRPr="00906BCD">
        <w:rPr>
          <w:rFonts w:cs="Times New Roman"/>
          <w:szCs w:val="24"/>
        </w:rPr>
        <w:t xml:space="preserve">and her registration application </w:t>
      </w:r>
      <w:r w:rsidR="00B40369">
        <w:rPr>
          <w:rFonts w:cs="Times New Roman"/>
          <w:szCs w:val="24"/>
        </w:rPr>
        <w:t>has not yet b</w:t>
      </w:r>
      <w:r w:rsidR="002B546E">
        <w:rPr>
          <w:rFonts w:cs="Times New Roman"/>
          <w:szCs w:val="24"/>
        </w:rPr>
        <w:t>een</w:t>
      </w:r>
      <w:r w:rsidR="00B40369">
        <w:rPr>
          <w:rFonts w:cs="Times New Roman"/>
          <w:szCs w:val="24"/>
        </w:rPr>
        <w:t xml:space="preserve"> accepted or rejected by the Copyright Office</w:t>
      </w:r>
      <w:r w:rsidRPr="00906BCD">
        <w:rPr>
          <w:rFonts w:cs="Times New Roman"/>
          <w:szCs w:val="24"/>
        </w:rPr>
        <w:t>?</w:t>
      </w:r>
    </w:p>
    <w:p w14:paraId="3F0F0C3E" w14:textId="0D9AC9C3" w:rsidR="001B13E3" w:rsidRPr="00906BCD" w:rsidRDefault="00DB5E9D" w:rsidP="00D86002">
      <w:pPr>
        <w:pStyle w:val="ListParagraph"/>
        <w:widowControl w:val="0"/>
        <w:numPr>
          <w:ilvl w:val="0"/>
          <w:numId w:val="6"/>
        </w:numPr>
        <w:ind w:left="720"/>
        <w:rPr>
          <w:rFonts w:cs="Times New Roman"/>
          <w:szCs w:val="24"/>
        </w:rPr>
      </w:pPr>
      <w:r w:rsidRPr="00906BCD">
        <w:rPr>
          <w:rFonts w:cs="Times New Roman"/>
          <w:szCs w:val="24"/>
        </w:rPr>
        <w:t>Under the</w:t>
      </w:r>
      <w:r w:rsidR="00835EB0">
        <w:rPr>
          <w:rFonts w:cs="Times New Roman"/>
          <w:szCs w:val="24"/>
        </w:rPr>
        <w:t xml:space="preserve"> </w:t>
      </w:r>
      <w:r w:rsidR="007070CA">
        <w:rPr>
          <w:rFonts w:cs="Times New Roman"/>
          <w:szCs w:val="24"/>
        </w:rPr>
        <w:t>S.D.N.Y</w:t>
      </w:r>
      <w:r w:rsidRPr="00906BCD">
        <w:rPr>
          <w:rFonts w:cs="Times New Roman"/>
          <w:szCs w:val="24"/>
        </w:rPr>
        <w:t>, w</w:t>
      </w:r>
      <w:r w:rsidR="0056142C" w:rsidRPr="00906BCD">
        <w:rPr>
          <w:rFonts w:cs="Times New Roman"/>
          <w:szCs w:val="24"/>
        </w:rPr>
        <w:t xml:space="preserve">ill Archer be able to </w:t>
      </w:r>
      <w:r w:rsidR="006744C4" w:rsidRPr="00906BCD">
        <w:rPr>
          <w:rFonts w:cs="Times New Roman"/>
          <w:szCs w:val="24"/>
        </w:rPr>
        <w:t>meet the threshold requirements for</w:t>
      </w:r>
      <w:r w:rsidR="0056142C" w:rsidRPr="00906BCD">
        <w:rPr>
          <w:rFonts w:cs="Times New Roman"/>
          <w:szCs w:val="24"/>
        </w:rPr>
        <w:t xml:space="preserve"> a safe harbor defense</w:t>
      </w:r>
      <w:r w:rsidR="00A072F2" w:rsidRPr="00906BCD">
        <w:rPr>
          <w:rFonts w:cs="Times New Roman"/>
          <w:szCs w:val="24"/>
        </w:rPr>
        <w:t xml:space="preserve">, </w:t>
      </w:r>
      <w:r w:rsidR="00535C4E" w:rsidRPr="00906BCD">
        <w:rPr>
          <w:rFonts w:cs="Times New Roman"/>
          <w:szCs w:val="24"/>
        </w:rPr>
        <w:t>when they are a service provider,</w:t>
      </w:r>
      <w:r w:rsidR="00835EB0">
        <w:rPr>
          <w:rFonts w:cs="Times New Roman"/>
          <w:szCs w:val="24"/>
        </w:rPr>
        <w:t xml:space="preserve"> </w:t>
      </w:r>
      <w:r w:rsidR="00535C4E" w:rsidRPr="00906BCD">
        <w:rPr>
          <w:rFonts w:cs="Times New Roman"/>
          <w:szCs w:val="24"/>
        </w:rPr>
        <w:t>implement a repeat infringer policy</w:t>
      </w:r>
      <w:r w:rsidR="00835EB0">
        <w:rPr>
          <w:rFonts w:cs="Times New Roman"/>
          <w:szCs w:val="24"/>
        </w:rPr>
        <w:t xml:space="preserve">, and probably </w:t>
      </w:r>
      <w:r w:rsidR="007070CA">
        <w:rPr>
          <w:rFonts w:cs="Times New Roman"/>
          <w:szCs w:val="24"/>
        </w:rPr>
        <w:t>accommodate</w:t>
      </w:r>
      <w:r w:rsidR="00835EB0">
        <w:rPr>
          <w:rFonts w:cs="Times New Roman"/>
          <w:szCs w:val="24"/>
        </w:rPr>
        <w:t xml:space="preserve"> standard technical measures</w:t>
      </w:r>
      <w:r w:rsidR="00DC38AE" w:rsidRPr="00906BCD">
        <w:rPr>
          <w:rFonts w:cs="Times New Roman"/>
          <w:szCs w:val="24"/>
        </w:rPr>
        <w:t>?</w:t>
      </w:r>
    </w:p>
    <w:p w14:paraId="3281E502" w14:textId="155D70D6" w:rsidR="009606FD" w:rsidRPr="00906BCD" w:rsidRDefault="00880C48" w:rsidP="00D86002">
      <w:pPr>
        <w:widowControl w:val="0"/>
        <w:ind w:firstLine="0"/>
        <w:contextualSpacing/>
        <w:jc w:val="center"/>
        <w:rPr>
          <w:rFonts w:cs="Times New Roman"/>
          <w:b/>
          <w:szCs w:val="24"/>
        </w:rPr>
      </w:pPr>
      <w:r w:rsidRPr="00906BCD">
        <w:rPr>
          <w:rFonts w:cs="Times New Roman"/>
          <w:b/>
          <w:szCs w:val="24"/>
        </w:rPr>
        <w:t>Brief Answers</w:t>
      </w:r>
    </w:p>
    <w:p w14:paraId="3CBE74C5" w14:textId="4953F244" w:rsidR="00097F92" w:rsidRPr="00906BCD" w:rsidRDefault="0009385D" w:rsidP="00D86002">
      <w:pPr>
        <w:pStyle w:val="ListParagraph"/>
        <w:widowControl w:val="0"/>
        <w:numPr>
          <w:ilvl w:val="0"/>
          <w:numId w:val="5"/>
        </w:numPr>
        <w:rPr>
          <w:rFonts w:cs="Times New Roman"/>
          <w:szCs w:val="24"/>
        </w:rPr>
      </w:pPr>
      <w:r w:rsidRPr="00906BCD">
        <w:rPr>
          <w:rFonts w:cs="Times New Roman"/>
          <w:szCs w:val="24"/>
        </w:rPr>
        <w:t xml:space="preserve">Yes. </w:t>
      </w:r>
      <w:r w:rsidR="00D83FD2" w:rsidRPr="00906BCD">
        <w:rPr>
          <w:rFonts w:cs="Times New Roman"/>
          <w:szCs w:val="24"/>
        </w:rPr>
        <w:t xml:space="preserve">The </w:t>
      </w:r>
      <w:r w:rsidR="00B40369">
        <w:rPr>
          <w:rFonts w:cs="Times New Roman"/>
          <w:szCs w:val="24"/>
        </w:rPr>
        <w:t>S.D.N.Y</w:t>
      </w:r>
      <w:r w:rsidR="00D83FD2" w:rsidRPr="00906BCD">
        <w:rPr>
          <w:rFonts w:cs="Times New Roman"/>
          <w:szCs w:val="24"/>
        </w:rPr>
        <w:t xml:space="preserve"> will </w:t>
      </w:r>
      <w:r w:rsidR="00876ACB">
        <w:rPr>
          <w:rFonts w:cs="Times New Roman"/>
          <w:szCs w:val="24"/>
        </w:rPr>
        <w:t>likely</w:t>
      </w:r>
      <w:r w:rsidR="00D83FD2" w:rsidRPr="00906BCD">
        <w:rPr>
          <w:rFonts w:cs="Times New Roman"/>
          <w:szCs w:val="24"/>
        </w:rPr>
        <w:t xml:space="preserve"> </w:t>
      </w:r>
      <w:r w:rsidR="00DB5E9D" w:rsidRPr="00906BCD">
        <w:rPr>
          <w:rFonts w:cs="Times New Roman"/>
          <w:szCs w:val="24"/>
        </w:rPr>
        <w:t xml:space="preserve">grant the </w:t>
      </w:r>
      <w:r w:rsidR="00D45051">
        <w:rPr>
          <w:rFonts w:cs="Times New Roman"/>
          <w:szCs w:val="24"/>
        </w:rPr>
        <w:t>Motion to Dismiss</w:t>
      </w:r>
      <w:r w:rsidR="00D83FD2" w:rsidRPr="00906BCD">
        <w:rPr>
          <w:rFonts w:cs="Times New Roman"/>
          <w:szCs w:val="24"/>
        </w:rPr>
        <w:t>.</w:t>
      </w:r>
      <w:r w:rsidR="00DB5E9D" w:rsidRPr="00906BCD">
        <w:rPr>
          <w:rFonts w:cs="Times New Roman"/>
          <w:szCs w:val="24"/>
        </w:rPr>
        <w:t xml:space="preserve"> </w:t>
      </w:r>
      <w:r w:rsidR="00B40369">
        <w:rPr>
          <w:rFonts w:cs="Times New Roman"/>
          <w:szCs w:val="24"/>
        </w:rPr>
        <w:t>The S.D.N.Y will likely hold that t</w:t>
      </w:r>
      <w:r w:rsidR="000E2947" w:rsidRPr="00906BCD">
        <w:rPr>
          <w:rFonts w:cs="Times New Roman"/>
          <w:szCs w:val="24"/>
        </w:rPr>
        <w:t xml:space="preserve">he Copyright </w:t>
      </w:r>
      <w:r w:rsidR="00D1415A">
        <w:rPr>
          <w:rFonts w:cs="Times New Roman"/>
          <w:szCs w:val="24"/>
        </w:rPr>
        <w:t>O</w:t>
      </w:r>
      <w:r w:rsidR="000E2947" w:rsidRPr="00906BCD">
        <w:rPr>
          <w:rFonts w:cs="Times New Roman"/>
          <w:szCs w:val="24"/>
        </w:rPr>
        <w:t xml:space="preserve">ffice </w:t>
      </w:r>
      <w:r w:rsidR="00DB5E9D" w:rsidRPr="00906BCD">
        <w:rPr>
          <w:rFonts w:cs="Times New Roman"/>
          <w:szCs w:val="24"/>
        </w:rPr>
        <w:t xml:space="preserve">must </w:t>
      </w:r>
      <w:r w:rsidR="000E2947" w:rsidRPr="00906BCD">
        <w:rPr>
          <w:rFonts w:cs="Times New Roman"/>
          <w:szCs w:val="24"/>
        </w:rPr>
        <w:t>accept or reject a copyright owner’s application before suit can be brought</w:t>
      </w:r>
      <w:r w:rsidR="00DB5E9D" w:rsidRPr="00906BCD">
        <w:rPr>
          <w:rFonts w:cs="Times New Roman"/>
          <w:szCs w:val="24"/>
        </w:rPr>
        <w:t xml:space="preserve">. </w:t>
      </w:r>
      <w:r w:rsidR="00D1415A">
        <w:rPr>
          <w:rFonts w:cs="Times New Roman"/>
          <w:szCs w:val="24"/>
        </w:rPr>
        <w:t>T</w:t>
      </w:r>
      <w:r w:rsidR="00B40369">
        <w:rPr>
          <w:rFonts w:cs="Times New Roman"/>
          <w:szCs w:val="24"/>
        </w:rPr>
        <w:t xml:space="preserve">he S.D.N.Y </w:t>
      </w:r>
      <w:r w:rsidR="00D1415A">
        <w:rPr>
          <w:rFonts w:cs="Times New Roman"/>
          <w:szCs w:val="24"/>
        </w:rPr>
        <w:t xml:space="preserve">interprets the Copyright Act </w:t>
      </w:r>
      <w:r w:rsidR="00980D70">
        <w:rPr>
          <w:rFonts w:cs="Times New Roman"/>
          <w:szCs w:val="24"/>
        </w:rPr>
        <w:t>as</w:t>
      </w:r>
      <w:r w:rsidR="00D1415A">
        <w:rPr>
          <w:rFonts w:cs="Times New Roman"/>
          <w:szCs w:val="24"/>
        </w:rPr>
        <w:t xml:space="preserve"> requir</w:t>
      </w:r>
      <w:r w:rsidR="00980D70">
        <w:rPr>
          <w:rFonts w:cs="Times New Roman"/>
          <w:szCs w:val="24"/>
        </w:rPr>
        <w:t>ing</w:t>
      </w:r>
      <w:r w:rsidR="00D1415A">
        <w:rPr>
          <w:rFonts w:cs="Times New Roman"/>
          <w:szCs w:val="24"/>
        </w:rPr>
        <w:t xml:space="preserve"> acceptance or rejection by the Copyright Office as a </w:t>
      </w:r>
      <w:r w:rsidR="009A336B">
        <w:rPr>
          <w:rFonts w:cs="Times New Roman"/>
          <w:szCs w:val="24"/>
        </w:rPr>
        <w:t>prerequisite</w:t>
      </w:r>
      <w:r w:rsidR="00D1415A">
        <w:rPr>
          <w:rFonts w:cs="Times New Roman"/>
          <w:szCs w:val="24"/>
        </w:rPr>
        <w:t xml:space="preserve"> to bring</w:t>
      </w:r>
      <w:r w:rsidR="009A336B">
        <w:rPr>
          <w:rFonts w:cs="Times New Roman"/>
          <w:szCs w:val="24"/>
        </w:rPr>
        <w:t>ing</w:t>
      </w:r>
      <w:r w:rsidR="00D1415A">
        <w:rPr>
          <w:rFonts w:cs="Times New Roman"/>
          <w:szCs w:val="24"/>
        </w:rPr>
        <w:t xml:space="preserve"> suit</w:t>
      </w:r>
      <w:r w:rsidR="00B40369">
        <w:rPr>
          <w:rFonts w:cs="Times New Roman"/>
          <w:szCs w:val="24"/>
        </w:rPr>
        <w:t xml:space="preserve"> </w:t>
      </w:r>
      <w:r w:rsidR="00D1415A">
        <w:rPr>
          <w:rFonts w:cs="Times New Roman"/>
          <w:szCs w:val="24"/>
        </w:rPr>
        <w:t xml:space="preserve">for copyright infringement in almost all cases. </w:t>
      </w:r>
      <w:r w:rsidR="00833A37" w:rsidRPr="00906BCD">
        <w:rPr>
          <w:rFonts w:cs="Times New Roman"/>
          <w:szCs w:val="24"/>
        </w:rPr>
        <w:t xml:space="preserve">Janeway applied for copyright registration on the same day </w:t>
      </w:r>
      <w:r w:rsidR="00C2643B" w:rsidRPr="00906BCD">
        <w:rPr>
          <w:rFonts w:cs="Times New Roman"/>
          <w:szCs w:val="24"/>
        </w:rPr>
        <w:t>she filed suit, and her application is still pending. Therefore, the registration requirement is</w:t>
      </w:r>
      <w:r w:rsidR="004C2FF1" w:rsidRPr="00906BCD">
        <w:rPr>
          <w:rFonts w:cs="Times New Roman"/>
          <w:szCs w:val="24"/>
        </w:rPr>
        <w:t xml:space="preserve"> not fulfilled, and she can not bring suit. </w:t>
      </w:r>
    </w:p>
    <w:p w14:paraId="2D339DED" w14:textId="14B7269A" w:rsidR="003B6BFA" w:rsidRPr="00906BCD" w:rsidRDefault="003D4264" w:rsidP="00D86002">
      <w:pPr>
        <w:pStyle w:val="ListParagraph"/>
        <w:widowControl w:val="0"/>
        <w:numPr>
          <w:ilvl w:val="0"/>
          <w:numId w:val="5"/>
        </w:numPr>
        <w:rPr>
          <w:rFonts w:cs="Times New Roman"/>
          <w:szCs w:val="24"/>
        </w:rPr>
      </w:pPr>
      <w:r w:rsidRPr="00906BCD">
        <w:rPr>
          <w:rFonts w:cs="Times New Roman"/>
          <w:szCs w:val="24"/>
        </w:rPr>
        <w:t xml:space="preserve">Probably Yes. </w:t>
      </w:r>
      <w:r w:rsidR="002F3D90" w:rsidRPr="00906BCD">
        <w:rPr>
          <w:rFonts w:cs="Times New Roman"/>
          <w:szCs w:val="24"/>
        </w:rPr>
        <w:t xml:space="preserve">Archer will </w:t>
      </w:r>
      <w:r w:rsidR="0043043C" w:rsidRPr="00906BCD">
        <w:rPr>
          <w:rFonts w:cs="Times New Roman"/>
          <w:szCs w:val="24"/>
        </w:rPr>
        <w:t>probably meet the threshold requirements for</w:t>
      </w:r>
      <w:r w:rsidR="002F3D90" w:rsidRPr="00906BCD">
        <w:rPr>
          <w:rFonts w:cs="Times New Roman"/>
          <w:szCs w:val="24"/>
        </w:rPr>
        <w:t xml:space="preserve"> a safe harbor defense. </w:t>
      </w:r>
      <w:r w:rsidR="00B40FFA" w:rsidRPr="00906BCD">
        <w:rPr>
          <w:rFonts w:cs="Times New Roman"/>
          <w:szCs w:val="24"/>
        </w:rPr>
        <w:t xml:space="preserve">The threshold requirements for a safe harbor </w:t>
      </w:r>
      <w:r w:rsidR="00813604">
        <w:rPr>
          <w:rFonts w:cs="Times New Roman"/>
          <w:szCs w:val="24"/>
        </w:rPr>
        <w:t xml:space="preserve">defense </w:t>
      </w:r>
      <w:r w:rsidR="00B40FFA" w:rsidRPr="00906BCD">
        <w:rPr>
          <w:rFonts w:cs="Times New Roman"/>
          <w:szCs w:val="24"/>
        </w:rPr>
        <w:t xml:space="preserve">require </w:t>
      </w:r>
      <w:r w:rsidR="002B546E">
        <w:rPr>
          <w:rFonts w:cs="Times New Roman"/>
          <w:szCs w:val="24"/>
        </w:rPr>
        <w:t xml:space="preserve">the </w:t>
      </w:r>
      <w:r w:rsidR="00B40FFA" w:rsidRPr="00906BCD">
        <w:rPr>
          <w:rFonts w:cs="Times New Roman"/>
          <w:szCs w:val="24"/>
        </w:rPr>
        <w:t xml:space="preserve">defendant to be a service provider, implement a repeat infringer policy, and </w:t>
      </w:r>
      <w:r w:rsidR="00B40369">
        <w:rPr>
          <w:rFonts w:cs="Times New Roman"/>
          <w:szCs w:val="24"/>
        </w:rPr>
        <w:t>accommodate</w:t>
      </w:r>
      <w:r w:rsidR="00B40FFA" w:rsidRPr="00906BCD">
        <w:rPr>
          <w:rFonts w:cs="Times New Roman"/>
          <w:szCs w:val="24"/>
        </w:rPr>
        <w:t xml:space="preserve"> standard </w:t>
      </w:r>
      <w:r w:rsidR="00B40FFA" w:rsidRPr="00906BCD">
        <w:rPr>
          <w:rFonts w:cs="Times New Roman"/>
          <w:szCs w:val="24"/>
        </w:rPr>
        <w:lastRenderedPageBreak/>
        <w:t>technical measures. Archer is a service provider and terminate</w:t>
      </w:r>
      <w:r w:rsidR="00717A3D">
        <w:rPr>
          <w:rFonts w:cs="Times New Roman"/>
          <w:szCs w:val="24"/>
        </w:rPr>
        <w:t>s</w:t>
      </w:r>
      <w:r w:rsidR="00B40FFA" w:rsidRPr="00906BCD">
        <w:rPr>
          <w:rFonts w:cs="Times New Roman"/>
          <w:szCs w:val="24"/>
        </w:rPr>
        <w:t xml:space="preserve"> user accounts </w:t>
      </w:r>
      <w:r w:rsidR="00EA3B2B">
        <w:rPr>
          <w:rFonts w:cs="Times New Roman"/>
          <w:szCs w:val="24"/>
        </w:rPr>
        <w:t>of repeat infringers</w:t>
      </w:r>
      <w:r w:rsidR="00B40FFA" w:rsidRPr="00906BCD">
        <w:rPr>
          <w:rFonts w:cs="Times New Roman"/>
          <w:szCs w:val="24"/>
        </w:rPr>
        <w:t xml:space="preserve">. Whether they accommodate standard technical measures is not clear from the facts given. </w:t>
      </w:r>
      <w:r w:rsidR="00835EB0" w:rsidRPr="00906BCD">
        <w:rPr>
          <w:rFonts w:cs="Times New Roman"/>
          <w:szCs w:val="24"/>
        </w:rPr>
        <w:t>Therefore,</w:t>
      </w:r>
      <w:r w:rsidR="00B40FFA" w:rsidRPr="00906BCD">
        <w:rPr>
          <w:rFonts w:cs="Times New Roman"/>
          <w:szCs w:val="24"/>
        </w:rPr>
        <w:t xml:space="preserve"> it is likely they can use a safe harbor defense, but more facts are required.</w:t>
      </w:r>
    </w:p>
    <w:p w14:paraId="1EB1A0D9" w14:textId="020B397A" w:rsidR="00810C5C" w:rsidRPr="00906BCD" w:rsidRDefault="00810C5C" w:rsidP="00D86002">
      <w:pPr>
        <w:pStyle w:val="ListParagraph"/>
        <w:widowControl w:val="0"/>
        <w:ind w:left="0" w:firstLine="0"/>
        <w:jc w:val="center"/>
        <w:rPr>
          <w:rFonts w:cs="Times New Roman"/>
          <w:b/>
          <w:szCs w:val="24"/>
        </w:rPr>
      </w:pPr>
      <w:r w:rsidRPr="00906BCD">
        <w:rPr>
          <w:rFonts w:cs="Times New Roman"/>
          <w:b/>
          <w:szCs w:val="24"/>
        </w:rPr>
        <w:t>Statement of Facts</w:t>
      </w:r>
    </w:p>
    <w:p w14:paraId="09C3F64F" w14:textId="77777777" w:rsidR="006F0F30" w:rsidRDefault="00793566" w:rsidP="00D86002">
      <w:pPr>
        <w:pStyle w:val="ListParagraph"/>
        <w:widowControl w:val="0"/>
        <w:ind w:left="0" w:firstLine="360"/>
        <w:rPr>
          <w:rFonts w:cs="Times New Roman"/>
          <w:szCs w:val="24"/>
        </w:rPr>
      </w:pPr>
      <w:r w:rsidRPr="00906BCD">
        <w:rPr>
          <w:rFonts w:cs="Times New Roman"/>
          <w:szCs w:val="24"/>
        </w:rPr>
        <w:t>On August 27,</w:t>
      </w:r>
      <w:r w:rsidR="008845F4">
        <w:rPr>
          <w:rFonts w:cs="Times New Roman"/>
          <w:szCs w:val="24"/>
        </w:rPr>
        <w:t xml:space="preserve"> </w:t>
      </w:r>
      <w:r w:rsidR="00B40369">
        <w:rPr>
          <w:rFonts w:cs="Times New Roman"/>
          <w:szCs w:val="24"/>
        </w:rPr>
        <w:t>J</w:t>
      </w:r>
      <w:r w:rsidRPr="00906BCD">
        <w:rPr>
          <w:rFonts w:cs="Times New Roman"/>
          <w:szCs w:val="24"/>
        </w:rPr>
        <w:t xml:space="preserve">aneway completed a music video to her new song “Nashville to New York”, which begins with a five second still of her personal logo. </w:t>
      </w:r>
      <w:r w:rsidR="007F048D">
        <w:rPr>
          <w:rFonts w:cs="Times New Roman"/>
          <w:szCs w:val="24"/>
        </w:rPr>
        <w:t xml:space="preserve">Mem. at 1. </w:t>
      </w:r>
      <w:r w:rsidRPr="00906BCD">
        <w:rPr>
          <w:rFonts w:cs="Times New Roman"/>
          <w:szCs w:val="24"/>
        </w:rPr>
        <w:t>On August 30, she found the music video on Holodeck, Archer</w:t>
      </w:r>
      <w:r w:rsidR="007070CA">
        <w:rPr>
          <w:rFonts w:cs="Times New Roman"/>
          <w:szCs w:val="24"/>
        </w:rPr>
        <w:t>’s</w:t>
      </w:r>
      <w:r w:rsidRPr="00906BCD">
        <w:rPr>
          <w:rFonts w:cs="Times New Roman"/>
          <w:szCs w:val="24"/>
        </w:rPr>
        <w:t xml:space="preserve"> video-hosting site. </w:t>
      </w:r>
      <w:r w:rsidR="007F048D">
        <w:rPr>
          <w:rFonts w:cs="Times New Roman"/>
          <w:szCs w:val="24"/>
        </w:rPr>
        <w:t xml:space="preserve">Mem. at 1. </w:t>
      </w:r>
      <w:r w:rsidR="00A00FBD" w:rsidRPr="00906BCD">
        <w:rPr>
          <w:rFonts w:cs="Times New Roman"/>
          <w:szCs w:val="24"/>
        </w:rPr>
        <w:t>On September 1, Janeway submitted an application for copyright registration</w:t>
      </w:r>
      <w:r w:rsidR="008845F4">
        <w:rPr>
          <w:rFonts w:cs="Times New Roman"/>
          <w:szCs w:val="24"/>
        </w:rPr>
        <w:t xml:space="preserve"> to the Copyright Office</w:t>
      </w:r>
      <w:r w:rsidR="00CB51F8">
        <w:rPr>
          <w:rFonts w:cs="Times New Roman"/>
          <w:szCs w:val="24"/>
        </w:rPr>
        <w:t>,</w:t>
      </w:r>
      <w:r w:rsidR="00A00FBD" w:rsidRPr="00906BCD">
        <w:rPr>
          <w:rFonts w:cs="Times New Roman"/>
          <w:szCs w:val="24"/>
        </w:rPr>
        <w:t xml:space="preserve"> </w:t>
      </w:r>
      <w:r w:rsidR="00CB51F8">
        <w:rPr>
          <w:rFonts w:cs="Times New Roman"/>
          <w:szCs w:val="24"/>
        </w:rPr>
        <w:t>t</w:t>
      </w:r>
      <w:r w:rsidR="00A00FBD" w:rsidRPr="00906BCD">
        <w:rPr>
          <w:rFonts w:cs="Times New Roman"/>
          <w:szCs w:val="24"/>
        </w:rPr>
        <w:t xml:space="preserve">he same day she filed suit against Archer in the </w:t>
      </w:r>
      <w:r w:rsidR="007070CA">
        <w:rPr>
          <w:rFonts w:cs="Times New Roman"/>
          <w:szCs w:val="24"/>
        </w:rPr>
        <w:t>S.D.N.Y.</w:t>
      </w:r>
      <w:r w:rsidR="00A00FBD" w:rsidRPr="00906BCD">
        <w:rPr>
          <w:rFonts w:cs="Times New Roman"/>
          <w:szCs w:val="24"/>
        </w:rPr>
        <w:t xml:space="preserve">, alleging </w:t>
      </w:r>
      <w:r w:rsidR="00A00FBD" w:rsidRPr="00B55299">
        <w:rPr>
          <w:rFonts w:cs="Times New Roman"/>
          <w:szCs w:val="24"/>
        </w:rPr>
        <w:t xml:space="preserve">copyright infringement. </w:t>
      </w:r>
      <w:r w:rsidR="007F048D">
        <w:rPr>
          <w:rFonts w:cs="Times New Roman"/>
          <w:szCs w:val="24"/>
        </w:rPr>
        <w:t xml:space="preserve">Mem. at 2. </w:t>
      </w:r>
      <w:r w:rsidR="00A00FBD" w:rsidRPr="00B55299">
        <w:rPr>
          <w:rFonts w:cs="Times New Roman"/>
          <w:szCs w:val="24"/>
        </w:rPr>
        <w:t xml:space="preserve">As part of </w:t>
      </w:r>
      <w:r w:rsidR="003E358E" w:rsidRPr="00B55299">
        <w:rPr>
          <w:rFonts w:cs="Times New Roman"/>
          <w:szCs w:val="24"/>
        </w:rPr>
        <w:t>her</w:t>
      </w:r>
      <w:r w:rsidR="00EA3B2B" w:rsidRPr="00B55299">
        <w:rPr>
          <w:rFonts w:cs="Times New Roman"/>
          <w:szCs w:val="24"/>
        </w:rPr>
        <w:t xml:space="preserve"> </w:t>
      </w:r>
      <w:r w:rsidR="00A00FBD" w:rsidRPr="00B55299">
        <w:rPr>
          <w:rFonts w:cs="Times New Roman"/>
          <w:szCs w:val="24"/>
        </w:rPr>
        <w:t xml:space="preserve">suit, she claims that Archer violated her exclusive rights under </w:t>
      </w:r>
      <w:r w:rsidR="00B55299" w:rsidRPr="00B55299">
        <w:rPr>
          <w:rFonts w:cs="Times New Roman"/>
          <w:szCs w:val="24"/>
        </w:rPr>
        <w:t>the Visual Artists Rights Act, 17 U.S.C. § 106(A) (2012) (“VARA”).</w:t>
      </w:r>
      <w:r w:rsidR="00B55299" w:rsidRPr="00906BCD">
        <w:rPr>
          <w:rFonts w:cs="Times New Roman"/>
          <w:b/>
          <w:szCs w:val="24"/>
        </w:rPr>
        <w:t xml:space="preserve"> </w:t>
      </w:r>
      <w:r w:rsidR="007F048D">
        <w:rPr>
          <w:rFonts w:cs="Times New Roman"/>
          <w:szCs w:val="24"/>
        </w:rPr>
        <w:t>Mem. at 2.</w:t>
      </w:r>
    </w:p>
    <w:p w14:paraId="03A8BD8A" w14:textId="06F22DF4" w:rsidR="006419A0" w:rsidRPr="00906BCD" w:rsidRDefault="00B55299" w:rsidP="00D86002">
      <w:pPr>
        <w:pStyle w:val="ListParagraph"/>
        <w:widowControl w:val="0"/>
        <w:ind w:left="0" w:firstLine="360"/>
        <w:rPr>
          <w:rFonts w:cs="Times New Roman"/>
          <w:szCs w:val="24"/>
        </w:rPr>
      </w:pPr>
      <w:r w:rsidRPr="00906BCD">
        <w:rPr>
          <w:rFonts w:cs="Times New Roman"/>
          <w:szCs w:val="24"/>
        </w:rPr>
        <w:t xml:space="preserve">Archer notifies users that they reserve the right to remove videos and terminate accounts for violating terms of service. The Terms of Service state that Archer can and will terminate accounts that are found to be repeat copyright infringers (repeat infringers are </w:t>
      </w:r>
      <w:r>
        <w:rPr>
          <w:rFonts w:cs="Times New Roman"/>
          <w:szCs w:val="24"/>
        </w:rPr>
        <w:t>users</w:t>
      </w:r>
      <w:r w:rsidRPr="00906BCD">
        <w:rPr>
          <w:rFonts w:cs="Times New Roman"/>
          <w:szCs w:val="24"/>
        </w:rPr>
        <w:t xml:space="preserve"> with three or more valid takedown notices). </w:t>
      </w:r>
      <w:r w:rsidR="007F048D">
        <w:rPr>
          <w:rFonts w:cs="Times New Roman"/>
          <w:szCs w:val="24"/>
        </w:rPr>
        <w:t xml:space="preserve">Mem. at 2. </w:t>
      </w:r>
      <w:r w:rsidRPr="00906BCD">
        <w:rPr>
          <w:rFonts w:cs="Times New Roman"/>
          <w:szCs w:val="24"/>
        </w:rPr>
        <w:t>Archer monitors infringement notices to determine when take down is appropriate. When take down notices are received, Archer reviews a user’s account for additional violations of Terms of Service. Archer also has technical means of preventing re-upload of infringing material.</w:t>
      </w:r>
      <w:r>
        <w:rPr>
          <w:rFonts w:cs="Times New Roman"/>
          <w:szCs w:val="24"/>
        </w:rPr>
        <w:t xml:space="preserve"> Mem</w:t>
      </w:r>
      <w:r w:rsidR="007F048D">
        <w:rPr>
          <w:rFonts w:cs="Times New Roman"/>
          <w:szCs w:val="24"/>
        </w:rPr>
        <w:t>. at 2.</w:t>
      </w:r>
    </w:p>
    <w:p w14:paraId="1F1F6648" w14:textId="3E8D1914" w:rsidR="006E0AC4" w:rsidRPr="00906BCD" w:rsidRDefault="006E0AC4" w:rsidP="00D86002">
      <w:pPr>
        <w:widowControl w:val="0"/>
        <w:ind w:firstLine="0"/>
        <w:contextualSpacing/>
        <w:jc w:val="center"/>
        <w:rPr>
          <w:rFonts w:cs="Times New Roman"/>
          <w:b/>
          <w:szCs w:val="24"/>
        </w:rPr>
      </w:pPr>
      <w:r w:rsidRPr="00906BCD">
        <w:rPr>
          <w:rFonts w:cs="Times New Roman"/>
          <w:b/>
          <w:szCs w:val="24"/>
        </w:rPr>
        <w:t>Discussion</w:t>
      </w:r>
    </w:p>
    <w:p w14:paraId="51128740" w14:textId="385498BB" w:rsidR="004F76C5" w:rsidRPr="00906BCD" w:rsidRDefault="00B55299" w:rsidP="00D86002">
      <w:pPr>
        <w:widowControl w:val="0"/>
        <w:ind w:firstLine="360"/>
        <w:contextualSpacing/>
        <w:rPr>
          <w:rFonts w:cs="Times New Roman"/>
          <w:color w:val="000000" w:themeColor="text1"/>
          <w:szCs w:val="24"/>
        </w:rPr>
      </w:pPr>
      <w:r w:rsidRPr="00B55299">
        <w:rPr>
          <w:rFonts w:cs="Times New Roman"/>
          <w:szCs w:val="24"/>
        </w:rPr>
        <w:t xml:space="preserve">Archer’s Motion to Dismiss will likely succeed because Janeway applied for copyright registration on the same day she filed for infringement, which is insufficient under the registration </w:t>
      </w:r>
      <w:r>
        <w:rPr>
          <w:rFonts w:cs="Times New Roman"/>
          <w:szCs w:val="24"/>
        </w:rPr>
        <w:t>requirement</w:t>
      </w:r>
      <w:r w:rsidRPr="00B55299">
        <w:rPr>
          <w:rFonts w:cs="Times New Roman"/>
          <w:szCs w:val="24"/>
        </w:rPr>
        <w:t xml:space="preserve"> </w:t>
      </w:r>
      <w:r>
        <w:rPr>
          <w:rFonts w:cs="Times New Roman"/>
          <w:szCs w:val="24"/>
        </w:rPr>
        <w:t>that</w:t>
      </w:r>
      <w:r w:rsidRPr="00B55299">
        <w:rPr>
          <w:rFonts w:cs="Times New Roman"/>
          <w:szCs w:val="24"/>
        </w:rPr>
        <w:t xml:space="preserve"> the S.D.N.Y is likely to apply as her application has not been accepted or reject</w:t>
      </w:r>
      <w:r>
        <w:rPr>
          <w:rFonts w:cs="Times New Roman"/>
          <w:szCs w:val="24"/>
        </w:rPr>
        <w:t>ed</w:t>
      </w:r>
      <w:r w:rsidRPr="00B55299">
        <w:rPr>
          <w:rFonts w:cs="Times New Roman"/>
          <w:szCs w:val="24"/>
        </w:rPr>
        <w:t xml:space="preserve"> by the Copyright Office. </w:t>
      </w:r>
      <w:r w:rsidR="003D26B8" w:rsidRPr="00B55299">
        <w:rPr>
          <w:rFonts w:cs="Times New Roman"/>
          <w:szCs w:val="24"/>
        </w:rPr>
        <w:t>Further</w:t>
      </w:r>
      <w:r w:rsidR="00343643" w:rsidRPr="00906BCD">
        <w:rPr>
          <w:rFonts w:cs="Times New Roman"/>
          <w:szCs w:val="24"/>
        </w:rPr>
        <w:t>,</w:t>
      </w:r>
      <w:r w:rsidR="003D26B8" w:rsidRPr="00906BCD">
        <w:rPr>
          <w:rFonts w:cs="Times New Roman"/>
          <w:szCs w:val="24"/>
        </w:rPr>
        <w:t xml:space="preserve"> </w:t>
      </w:r>
      <w:r w:rsidR="0093014F" w:rsidRPr="00906BCD">
        <w:rPr>
          <w:rFonts w:cs="Times New Roman"/>
          <w:szCs w:val="24"/>
        </w:rPr>
        <w:t>Archer</w:t>
      </w:r>
      <w:r w:rsidR="006E0AC4" w:rsidRPr="00906BCD">
        <w:rPr>
          <w:rFonts w:cs="Times New Roman"/>
          <w:szCs w:val="24"/>
        </w:rPr>
        <w:t xml:space="preserve"> </w:t>
      </w:r>
      <w:r w:rsidR="003D26B8" w:rsidRPr="00906BCD">
        <w:rPr>
          <w:rFonts w:cs="Times New Roman"/>
          <w:szCs w:val="24"/>
        </w:rPr>
        <w:t>may</w:t>
      </w:r>
      <w:r w:rsidR="0093014F" w:rsidRPr="00906BCD">
        <w:rPr>
          <w:rFonts w:cs="Times New Roman"/>
          <w:szCs w:val="24"/>
        </w:rPr>
        <w:t xml:space="preserve"> also </w:t>
      </w:r>
      <w:r w:rsidR="00305E4D" w:rsidRPr="00906BCD">
        <w:rPr>
          <w:rFonts w:cs="Times New Roman"/>
          <w:szCs w:val="24"/>
        </w:rPr>
        <w:t>be eligible for</w:t>
      </w:r>
      <w:r w:rsidR="0093014F" w:rsidRPr="00906BCD">
        <w:rPr>
          <w:rFonts w:cs="Times New Roman"/>
          <w:szCs w:val="24"/>
        </w:rPr>
        <w:t xml:space="preserve"> </w:t>
      </w:r>
      <w:r w:rsidR="008845F4">
        <w:rPr>
          <w:rFonts w:cs="Times New Roman"/>
          <w:szCs w:val="24"/>
        </w:rPr>
        <w:t xml:space="preserve">a </w:t>
      </w:r>
      <w:r w:rsidR="0093014F" w:rsidRPr="00906BCD">
        <w:rPr>
          <w:rFonts w:cs="Times New Roman"/>
          <w:szCs w:val="24"/>
        </w:rPr>
        <w:t>safe harbor</w:t>
      </w:r>
      <w:r w:rsidR="008845F4">
        <w:rPr>
          <w:rFonts w:cs="Times New Roman"/>
          <w:szCs w:val="24"/>
        </w:rPr>
        <w:t xml:space="preserve"> defense</w:t>
      </w:r>
      <w:r w:rsidR="0093014F" w:rsidRPr="00906BCD">
        <w:rPr>
          <w:rFonts w:cs="Times New Roman"/>
          <w:szCs w:val="24"/>
        </w:rPr>
        <w:t xml:space="preserve"> </w:t>
      </w:r>
      <w:r w:rsidR="00305E4D" w:rsidRPr="00906BCD">
        <w:rPr>
          <w:rFonts w:cs="Times New Roman"/>
          <w:szCs w:val="24"/>
        </w:rPr>
        <w:t xml:space="preserve">because they are </w:t>
      </w:r>
      <w:r w:rsidR="005D2DB1" w:rsidRPr="00906BCD">
        <w:rPr>
          <w:rFonts w:cs="Times New Roman"/>
          <w:szCs w:val="24"/>
        </w:rPr>
        <w:t>a service provider</w:t>
      </w:r>
      <w:r w:rsidR="0059280E" w:rsidRPr="00906BCD">
        <w:rPr>
          <w:rFonts w:cs="Times New Roman"/>
          <w:szCs w:val="24"/>
        </w:rPr>
        <w:t>,</w:t>
      </w:r>
      <w:r w:rsidR="00305E4D" w:rsidRPr="00906BCD">
        <w:rPr>
          <w:rFonts w:cs="Times New Roman"/>
          <w:szCs w:val="24"/>
        </w:rPr>
        <w:t xml:space="preserve"> terminate repeat infringers</w:t>
      </w:r>
      <w:r w:rsidR="003D26B8" w:rsidRPr="00906BCD">
        <w:rPr>
          <w:rFonts w:cs="Times New Roman"/>
          <w:szCs w:val="24"/>
        </w:rPr>
        <w:t xml:space="preserve">, </w:t>
      </w:r>
      <w:r w:rsidR="008845F4">
        <w:rPr>
          <w:rFonts w:cs="Times New Roman"/>
          <w:szCs w:val="24"/>
        </w:rPr>
        <w:t>and accommodate</w:t>
      </w:r>
      <w:r w:rsidR="008C135B" w:rsidRPr="00906BCD">
        <w:rPr>
          <w:rFonts w:cs="Times New Roman"/>
          <w:szCs w:val="24"/>
        </w:rPr>
        <w:t xml:space="preserve"> standard technical measures</w:t>
      </w:r>
      <w:r w:rsidR="003D26B8" w:rsidRPr="00906BCD">
        <w:rPr>
          <w:rFonts w:cs="Times New Roman"/>
          <w:szCs w:val="24"/>
        </w:rPr>
        <w:t xml:space="preserve">. </w:t>
      </w:r>
      <w:r w:rsidR="00E50348" w:rsidRPr="00906BCD">
        <w:rPr>
          <w:rFonts w:cs="Times New Roman"/>
          <w:szCs w:val="24"/>
        </w:rPr>
        <w:t xml:space="preserve">Under </w:t>
      </w:r>
      <w:r w:rsidR="009045C1" w:rsidRPr="00906BCD">
        <w:rPr>
          <w:rFonts w:cs="Times New Roman"/>
          <w:szCs w:val="24"/>
        </w:rPr>
        <w:t xml:space="preserve">the </w:t>
      </w:r>
      <w:r w:rsidR="00E50348" w:rsidRPr="00906BCD">
        <w:rPr>
          <w:rFonts w:cs="Times New Roman"/>
          <w:szCs w:val="24"/>
        </w:rPr>
        <w:t>Copyright Act, 17 U.S.C.</w:t>
      </w:r>
      <w:r w:rsidR="005976DD" w:rsidRPr="00906BCD">
        <w:rPr>
          <w:rFonts w:cs="Times New Roman"/>
          <w:szCs w:val="24"/>
        </w:rPr>
        <w:t xml:space="preserve"> §§ 101 et </w:t>
      </w:r>
      <w:r w:rsidR="005976DD" w:rsidRPr="00906BCD">
        <w:rPr>
          <w:rFonts w:cs="Times New Roman"/>
          <w:i/>
          <w:szCs w:val="24"/>
        </w:rPr>
        <w:t>seq</w:t>
      </w:r>
      <w:r w:rsidR="005976DD" w:rsidRPr="00906BCD">
        <w:rPr>
          <w:rFonts w:cs="Times New Roman"/>
          <w:szCs w:val="24"/>
        </w:rPr>
        <w:t>.</w:t>
      </w:r>
      <w:r w:rsidR="00C45D61">
        <w:rPr>
          <w:rFonts w:cs="Times New Roman"/>
          <w:szCs w:val="24"/>
        </w:rPr>
        <w:t xml:space="preserve"> (2012)</w:t>
      </w:r>
      <w:r w:rsidR="005976DD" w:rsidRPr="00906BCD">
        <w:rPr>
          <w:rFonts w:cs="Times New Roman"/>
          <w:szCs w:val="24"/>
        </w:rPr>
        <w:t>,</w:t>
      </w:r>
      <w:r w:rsidR="00E50348" w:rsidRPr="00906BCD">
        <w:rPr>
          <w:rFonts w:cs="Times New Roman"/>
          <w:szCs w:val="24"/>
        </w:rPr>
        <w:t xml:space="preserve"> a plaintiff must show 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906BCD">
        <w:rPr>
          <w:rFonts w:cs="Times New Roman"/>
          <w:szCs w:val="24"/>
        </w:rPr>
        <w:t xml:space="preserve">infringement. </w:t>
      </w:r>
      <w:r w:rsidR="00C27E7B" w:rsidRPr="00906BCD">
        <w:rPr>
          <w:rFonts w:cs="Times New Roman"/>
          <w:i/>
          <w:iCs/>
          <w:szCs w:val="24"/>
        </w:rPr>
        <w:t>Gattoni v. Tibi, LLC</w:t>
      </w:r>
      <w:r w:rsidR="00C27E7B" w:rsidRPr="00906BCD">
        <w:rPr>
          <w:rFonts w:cs="Times New Roman"/>
          <w:szCs w:val="24"/>
        </w:rPr>
        <w:t>, 254 F.</w:t>
      </w:r>
      <w:r w:rsidR="003E4335" w:rsidRPr="00906BCD">
        <w:rPr>
          <w:rFonts w:cs="Times New Roman"/>
          <w:szCs w:val="24"/>
        </w:rPr>
        <w:t xml:space="preserve"> </w:t>
      </w:r>
      <w:r w:rsidR="00C27E7B" w:rsidRPr="00906BCD">
        <w:rPr>
          <w:rFonts w:cs="Times New Roman"/>
          <w:szCs w:val="24"/>
        </w:rPr>
        <w:t>Supp.</w:t>
      </w:r>
      <w:r w:rsidR="003E4335" w:rsidRPr="00906BCD">
        <w:rPr>
          <w:rFonts w:cs="Times New Roman"/>
          <w:szCs w:val="24"/>
        </w:rPr>
        <w:t xml:space="preserve"> </w:t>
      </w:r>
      <w:r w:rsidR="00C27E7B" w:rsidRPr="00906BCD">
        <w:rPr>
          <w:rFonts w:cs="Times New Roman"/>
          <w:szCs w:val="24"/>
        </w:rPr>
        <w:t>3d 659</w:t>
      </w:r>
      <w:r w:rsidR="00522F26">
        <w:rPr>
          <w:rFonts w:cs="Times New Roman"/>
          <w:szCs w:val="24"/>
        </w:rPr>
        <w:t>, 662</w:t>
      </w:r>
      <w:r w:rsidR="00C27E7B" w:rsidRPr="00906BCD">
        <w:rPr>
          <w:rFonts w:cs="Times New Roman"/>
          <w:szCs w:val="24"/>
        </w:rPr>
        <w:t xml:space="preserve"> (S.D.N.Y. 2017); </w:t>
      </w:r>
      <w:r w:rsidR="00C27E7B" w:rsidRPr="00906BCD">
        <w:rPr>
          <w:rFonts w:cs="Times New Roman"/>
          <w:i/>
          <w:szCs w:val="24"/>
        </w:rPr>
        <w:t>Palatkevich v. Choupak</w:t>
      </w:r>
      <w:r w:rsidR="00C27E7B" w:rsidRPr="00906BCD">
        <w:rPr>
          <w:rFonts w:cs="Times New Roman"/>
          <w:szCs w:val="24"/>
        </w:rPr>
        <w:t xml:space="preserve">, Nos. 12 Civ. 1681 (CM), 12 Civ. 1682 (CM), 2014 1509236, at *6 (S.D.N.Y. Jan. 24, 2014). </w:t>
      </w:r>
      <w:r w:rsidR="00901211" w:rsidRPr="00906BCD">
        <w:rPr>
          <w:rFonts w:cs="Times New Roman"/>
          <w:szCs w:val="24"/>
        </w:rPr>
        <w:t>What defines proper registration as required by the third element differs</w:t>
      </w:r>
      <w:r w:rsidR="008845F4">
        <w:rPr>
          <w:rFonts w:cs="Times New Roman"/>
          <w:szCs w:val="24"/>
        </w:rPr>
        <w:t>:</w:t>
      </w:r>
      <w:r w:rsidR="00901211" w:rsidRPr="00906BCD">
        <w:rPr>
          <w:rFonts w:cs="Times New Roman"/>
          <w:szCs w:val="24"/>
        </w:rPr>
        <w:t xml:space="preserve"> some courts requi</w:t>
      </w:r>
      <w:r w:rsidR="00FE1F20" w:rsidRPr="00906BCD">
        <w:rPr>
          <w:rFonts w:cs="Times New Roman"/>
          <w:szCs w:val="24"/>
        </w:rPr>
        <w:t>r</w:t>
      </w:r>
      <w:r w:rsidR="008845F4">
        <w:rPr>
          <w:rFonts w:cs="Times New Roman"/>
          <w:szCs w:val="24"/>
        </w:rPr>
        <w:t>e</w:t>
      </w:r>
      <w:r w:rsidR="00FE1F20" w:rsidRPr="00906BCD">
        <w:rPr>
          <w:rFonts w:cs="Times New Roman"/>
          <w:szCs w:val="24"/>
        </w:rPr>
        <w:t xml:space="preserve"> only</w:t>
      </w:r>
      <w:r w:rsidR="008845F4">
        <w:rPr>
          <w:rFonts w:cs="Times New Roman"/>
          <w:szCs w:val="24"/>
        </w:rPr>
        <w:t xml:space="preserve"> an</w:t>
      </w:r>
      <w:r w:rsidR="00FE1F20" w:rsidRPr="00906BCD">
        <w:rPr>
          <w:rFonts w:cs="Times New Roman"/>
          <w:szCs w:val="24"/>
        </w:rPr>
        <w:t xml:space="preserve"> application </w:t>
      </w:r>
      <w:r w:rsidR="008845F4">
        <w:rPr>
          <w:rFonts w:cs="Times New Roman"/>
          <w:szCs w:val="24"/>
        </w:rPr>
        <w:t xml:space="preserve">to be submitted to the Copyright Office </w:t>
      </w:r>
      <w:r w:rsidR="00FE1F20" w:rsidRPr="00906BCD">
        <w:rPr>
          <w:rFonts w:cs="Times New Roman"/>
          <w:szCs w:val="24"/>
        </w:rPr>
        <w:t>(the a</w:t>
      </w:r>
      <w:r w:rsidR="00901211" w:rsidRPr="00906BCD">
        <w:rPr>
          <w:rFonts w:cs="Times New Roman"/>
          <w:szCs w:val="24"/>
        </w:rPr>
        <w:t xml:space="preserve">pplication </w:t>
      </w:r>
      <w:r w:rsidR="00FE1F20" w:rsidRPr="00906BCD">
        <w:rPr>
          <w:rFonts w:cs="Times New Roman"/>
          <w:szCs w:val="24"/>
        </w:rPr>
        <w:t>a</w:t>
      </w:r>
      <w:r w:rsidR="00901211" w:rsidRPr="00906BCD">
        <w:rPr>
          <w:rFonts w:cs="Times New Roman"/>
          <w:szCs w:val="24"/>
        </w:rPr>
        <w:t xml:space="preserve">pproach) </w:t>
      </w:r>
      <w:r w:rsidR="008845F4">
        <w:rPr>
          <w:rFonts w:cs="Times New Roman"/>
          <w:szCs w:val="24"/>
        </w:rPr>
        <w:t xml:space="preserve">while others </w:t>
      </w:r>
      <w:r w:rsidR="00522F26">
        <w:rPr>
          <w:rFonts w:cs="Times New Roman"/>
          <w:szCs w:val="24"/>
        </w:rPr>
        <w:t>require</w:t>
      </w:r>
      <w:r w:rsidR="008845F4">
        <w:rPr>
          <w:rFonts w:cs="Times New Roman"/>
          <w:szCs w:val="24"/>
        </w:rPr>
        <w:t xml:space="preserve"> the Copyright Office issue an acceptance or re</w:t>
      </w:r>
      <w:r w:rsidR="00C328B6">
        <w:rPr>
          <w:rFonts w:cs="Times New Roman"/>
          <w:szCs w:val="24"/>
        </w:rPr>
        <w:t>je</w:t>
      </w:r>
      <w:r w:rsidR="008845F4">
        <w:rPr>
          <w:rFonts w:cs="Times New Roman"/>
          <w:szCs w:val="24"/>
        </w:rPr>
        <w:t>ction of the application</w:t>
      </w:r>
      <w:r w:rsidR="00FE1F20" w:rsidRPr="00906BCD">
        <w:rPr>
          <w:rFonts w:cs="Times New Roman"/>
          <w:szCs w:val="24"/>
        </w:rPr>
        <w:t xml:space="preserve"> (the registration a</w:t>
      </w:r>
      <w:r w:rsidR="00901211" w:rsidRPr="00906BCD">
        <w:rPr>
          <w:rFonts w:cs="Times New Roman"/>
          <w:szCs w:val="24"/>
        </w:rPr>
        <w:t xml:space="preserve">pproach). </w:t>
      </w:r>
      <w:r w:rsidR="00C27E7B" w:rsidRPr="00906BCD">
        <w:rPr>
          <w:rFonts w:cs="Times New Roman"/>
          <w:i/>
          <w:szCs w:val="24"/>
        </w:rPr>
        <w:t>Cosmetic Ideas, Inc. v. IAC/Interactivecorp</w:t>
      </w:r>
      <w:r w:rsidR="00C27E7B" w:rsidRPr="00906BCD">
        <w:rPr>
          <w:rFonts w:cs="Times New Roman"/>
          <w:szCs w:val="24"/>
        </w:rPr>
        <w:t>, 606 F.3d 612</w:t>
      </w:r>
      <w:r w:rsidR="006F0F30">
        <w:rPr>
          <w:rFonts w:cs="Times New Roman"/>
          <w:szCs w:val="24"/>
        </w:rPr>
        <w:t>, 621</w:t>
      </w:r>
      <w:r w:rsidR="00C27E7B" w:rsidRPr="00906BCD">
        <w:rPr>
          <w:rFonts w:cs="Times New Roman"/>
          <w:szCs w:val="24"/>
        </w:rPr>
        <w:t xml:space="preserve"> (9th Cir. 2010)</w:t>
      </w:r>
      <w:r w:rsidR="00C27E7B" w:rsidRPr="00906BCD">
        <w:rPr>
          <w:rFonts w:cs="Times New Roman"/>
          <w:i/>
          <w:szCs w:val="24"/>
        </w:rPr>
        <w:t xml:space="preserve"> </w:t>
      </w:r>
      <w:r w:rsidR="00901211" w:rsidRPr="00906BCD">
        <w:rPr>
          <w:rFonts w:cs="Times New Roman"/>
          <w:szCs w:val="24"/>
        </w:rPr>
        <w:t xml:space="preserve">(holding that the application alone is enough for </w:t>
      </w:r>
      <w:r w:rsidR="003A2C5C" w:rsidRPr="00906BCD">
        <w:rPr>
          <w:rFonts w:cs="Times New Roman"/>
          <w:szCs w:val="24"/>
        </w:rPr>
        <w:t>preregistration</w:t>
      </w:r>
      <w:r w:rsidR="003A2C5C" w:rsidRPr="00906BCD">
        <w:rPr>
          <w:rFonts w:cs="Times New Roman"/>
          <w:b/>
          <w:szCs w:val="24"/>
        </w:rPr>
        <w:t xml:space="preserve"> </w:t>
      </w:r>
      <w:r w:rsidR="00901211" w:rsidRPr="00906BCD">
        <w:rPr>
          <w:rFonts w:cs="Times New Roman"/>
          <w:szCs w:val="24"/>
        </w:rPr>
        <w:t xml:space="preserve">under </w:t>
      </w:r>
      <w:r w:rsidR="00502D3B" w:rsidRPr="00906BCD">
        <w:rPr>
          <w:rFonts w:cs="Times New Roman"/>
          <w:szCs w:val="24"/>
        </w:rPr>
        <w:t xml:space="preserve">17 U.S.C. </w:t>
      </w:r>
      <w:r w:rsidR="00901211" w:rsidRPr="00906BCD">
        <w:rPr>
          <w:rFonts w:cs="Times New Roman"/>
          <w:szCs w:val="24"/>
        </w:rPr>
        <w:t xml:space="preserve">§ 411(a)); </w:t>
      </w:r>
      <w:r w:rsidR="00C27E7B" w:rsidRPr="00906BCD">
        <w:rPr>
          <w:rFonts w:cs="Times New Roman"/>
          <w:i/>
          <w:szCs w:val="24"/>
        </w:rPr>
        <w:t>Gattoni</w:t>
      </w:r>
      <w:r w:rsidR="00C27E7B" w:rsidRPr="00906BCD">
        <w:rPr>
          <w:rFonts w:cs="Times New Roman"/>
          <w:szCs w:val="24"/>
        </w:rPr>
        <w:t xml:space="preserve">, </w:t>
      </w:r>
      <w:r w:rsidR="006D683E" w:rsidRPr="00906BCD">
        <w:rPr>
          <w:rFonts w:cs="Times New Roman"/>
          <w:szCs w:val="24"/>
        </w:rPr>
        <w:t>254 F.</w:t>
      </w:r>
      <w:r w:rsidR="003E4335" w:rsidRPr="00906BCD">
        <w:rPr>
          <w:rFonts w:cs="Times New Roman"/>
          <w:szCs w:val="24"/>
        </w:rPr>
        <w:t xml:space="preserve"> </w:t>
      </w:r>
      <w:r w:rsidR="006D683E" w:rsidRPr="00906BCD">
        <w:rPr>
          <w:rFonts w:cs="Times New Roman"/>
          <w:szCs w:val="24"/>
        </w:rPr>
        <w:t>Supp.</w:t>
      </w:r>
      <w:r w:rsidR="003E4335" w:rsidRPr="00906BCD">
        <w:rPr>
          <w:rFonts w:cs="Times New Roman"/>
          <w:szCs w:val="24"/>
        </w:rPr>
        <w:t xml:space="preserve"> </w:t>
      </w:r>
      <w:r w:rsidR="006D683E" w:rsidRPr="00906BCD">
        <w:rPr>
          <w:rFonts w:cs="Times New Roman"/>
          <w:szCs w:val="24"/>
        </w:rPr>
        <w:t xml:space="preserve">3d </w:t>
      </w:r>
      <w:r w:rsidR="00C27E7B" w:rsidRPr="00906BCD">
        <w:rPr>
          <w:rFonts w:cs="Times New Roman"/>
          <w:szCs w:val="24"/>
        </w:rPr>
        <w:t xml:space="preserve">at 659 </w:t>
      </w:r>
      <w:r w:rsidR="00901211" w:rsidRPr="00906BCD">
        <w:rPr>
          <w:rFonts w:cs="Times New Roman"/>
          <w:szCs w:val="24"/>
        </w:rPr>
        <w:t>(requiring that the application must be accepted</w:t>
      </w:r>
      <w:r w:rsidR="009640D5">
        <w:rPr>
          <w:rFonts w:cs="Times New Roman"/>
          <w:szCs w:val="24"/>
        </w:rPr>
        <w:t xml:space="preserve"> or rejected by the Copyright Office before bring</w:t>
      </w:r>
      <w:r w:rsidR="00522F26">
        <w:rPr>
          <w:rFonts w:cs="Times New Roman"/>
          <w:szCs w:val="24"/>
        </w:rPr>
        <w:t>ing</w:t>
      </w:r>
      <w:r w:rsidR="009640D5">
        <w:rPr>
          <w:rFonts w:cs="Times New Roman"/>
          <w:szCs w:val="24"/>
        </w:rPr>
        <w:t xml:space="preserve"> suit</w:t>
      </w:r>
      <w:r w:rsidR="00901211" w:rsidRPr="00906BCD">
        <w:rPr>
          <w:rFonts w:cs="Times New Roman"/>
          <w:szCs w:val="24"/>
        </w:rPr>
        <w:t>).</w:t>
      </w:r>
      <w:r w:rsidR="00502D3B" w:rsidRPr="00906BCD">
        <w:rPr>
          <w:rFonts w:cs="Times New Roman"/>
          <w:szCs w:val="24"/>
        </w:rPr>
        <w:t xml:space="preserve"> Here, only the registration requirement of the third element is at </w:t>
      </w:r>
      <w:r w:rsidR="00C27E7B" w:rsidRPr="00906BCD">
        <w:rPr>
          <w:rFonts w:cs="Times New Roman"/>
          <w:szCs w:val="24"/>
        </w:rPr>
        <w:t>issue</w:t>
      </w:r>
      <w:r w:rsidR="00502D3B" w:rsidRPr="00906BCD">
        <w:rPr>
          <w:rFonts w:cs="Times New Roman"/>
          <w:szCs w:val="24"/>
        </w:rPr>
        <w:t xml:space="preserve">. </w:t>
      </w:r>
      <w:r w:rsidR="004F76C5" w:rsidRPr="00906BCD">
        <w:rPr>
          <w:rFonts w:cs="Times New Roman"/>
          <w:color w:val="000000" w:themeColor="text1"/>
          <w:szCs w:val="24"/>
        </w:rPr>
        <w:t xml:space="preserve">This memorandum will discuss </w:t>
      </w:r>
      <w:r w:rsidR="00502D3B" w:rsidRPr="00906BCD">
        <w:rPr>
          <w:rFonts w:cs="Times New Roman"/>
          <w:color w:val="000000" w:themeColor="text1"/>
          <w:szCs w:val="24"/>
        </w:rPr>
        <w:t xml:space="preserve">the </w:t>
      </w:r>
      <w:r w:rsidR="00C328B6">
        <w:rPr>
          <w:rFonts w:cs="Times New Roman"/>
          <w:color w:val="000000" w:themeColor="text1"/>
          <w:szCs w:val="24"/>
        </w:rPr>
        <w:t>S.D.N.Y</w:t>
      </w:r>
      <w:r w:rsidR="002A3D00">
        <w:rPr>
          <w:rFonts w:cs="Times New Roman"/>
          <w:color w:val="000000" w:themeColor="text1"/>
          <w:szCs w:val="24"/>
        </w:rPr>
        <w:t>.</w:t>
      </w:r>
      <w:r w:rsidR="00C328B6">
        <w:rPr>
          <w:rFonts w:cs="Times New Roman"/>
          <w:color w:val="000000" w:themeColor="text1"/>
          <w:szCs w:val="24"/>
        </w:rPr>
        <w:t>’s</w:t>
      </w:r>
      <w:r w:rsidR="00502D3B" w:rsidRPr="00906BCD">
        <w:rPr>
          <w:rFonts w:cs="Times New Roman"/>
          <w:color w:val="000000" w:themeColor="text1"/>
          <w:szCs w:val="24"/>
        </w:rPr>
        <w:t xml:space="preserve"> likely use of the registration approach to determine the requirements for</w:t>
      </w:r>
      <w:r w:rsidR="00C328B6">
        <w:rPr>
          <w:rFonts w:cs="Times New Roman"/>
          <w:color w:val="000000" w:themeColor="text1"/>
          <w:szCs w:val="24"/>
        </w:rPr>
        <w:t xml:space="preserve"> a</w:t>
      </w:r>
      <w:r w:rsidR="00502D3B" w:rsidRPr="00906BCD">
        <w:rPr>
          <w:rFonts w:cs="Times New Roman"/>
          <w:color w:val="000000" w:themeColor="text1"/>
          <w:szCs w:val="24"/>
        </w:rPr>
        <w:t xml:space="preserve"> copyright </w:t>
      </w:r>
      <w:r w:rsidR="00C328B6">
        <w:rPr>
          <w:rFonts w:cs="Times New Roman"/>
          <w:color w:val="000000" w:themeColor="text1"/>
          <w:szCs w:val="24"/>
        </w:rPr>
        <w:t>infringement suit</w:t>
      </w:r>
      <w:r w:rsidR="004F76C5" w:rsidRPr="00906BCD">
        <w:rPr>
          <w:rFonts w:cs="Times New Roman"/>
          <w:color w:val="000000" w:themeColor="text1"/>
          <w:szCs w:val="24"/>
        </w:rPr>
        <w:t xml:space="preserve">, and </w:t>
      </w:r>
      <w:r w:rsidR="00C27E7B" w:rsidRPr="00906BCD">
        <w:rPr>
          <w:rFonts w:cs="Times New Roman"/>
          <w:color w:val="000000" w:themeColor="text1"/>
          <w:szCs w:val="24"/>
        </w:rPr>
        <w:t xml:space="preserve">whether </w:t>
      </w:r>
      <w:r w:rsidR="00982EF8" w:rsidRPr="00906BCD">
        <w:rPr>
          <w:rFonts w:cs="Times New Roman"/>
          <w:color w:val="000000" w:themeColor="text1"/>
          <w:szCs w:val="24"/>
        </w:rPr>
        <w:t xml:space="preserve">Archer </w:t>
      </w:r>
      <w:r w:rsidR="00C27E7B" w:rsidRPr="00906BCD">
        <w:rPr>
          <w:rFonts w:cs="Times New Roman"/>
          <w:color w:val="000000" w:themeColor="text1"/>
          <w:szCs w:val="24"/>
        </w:rPr>
        <w:t>meets the threshold requirements of a safe harbor defense</w:t>
      </w:r>
      <w:r w:rsidR="004F76C5" w:rsidRPr="00906BCD">
        <w:rPr>
          <w:rFonts w:cs="Times New Roman"/>
          <w:color w:val="000000" w:themeColor="text1"/>
          <w:szCs w:val="24"/>
        </w:rPr>
        <w:t xml:space="preserve">. </w:t>
      </w:r>
    </w:p>
    <w:p w14:paraId="27DA213E" w14:textId="65F4D553" w:rsidR="00E8071C" w:rsidRPr="00906BCD" w:rsidRDefault="00502D3B" w:rsidP="00D86002">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Janeway has not met the p</w:t>
      </w:r>
      <w:r w:rsidR="003A2C5C" w:rsidRPr="00906BCD">
        <w:rPr>
          <w:rFonts w:cs="Times New Roman"/>
          <w:b/>
          <w:szCs w:val="24"/>
        </w:rPr>
        <w:t>re</w:t>
      </w:r>
      <w:r w:rsidRPr="00906BCD">
        <w:rPr>
          <w:rFonts w:cs="Times New Roman"/>
          <w:b/>
          <w:szCs w:val="24"/>
        </w:rPr>
        <w:t>registration requirement of 17 U.S.C. § 411(a)</w:t>
      </w:r>
      <w:r w:rsidR="00E8071C" w:rsidRPr="00906BCD">
        <w:rPr>
          <w:rFonts w:cs="Times New Roman"/>
          <w:b/>
          <w:szCs w:val="24"/>
        </w:rPr>
        <w:t xml:space="preserve"> because her application has not been accepted</w:t>
      </w:r>
      <w:r w:rsidR="004F4700">
        <w:rPr>
          <w:rFonts w:cs="Times New Roman"/>
          <w:b/>
          <w:szCs w:val="24"/>
        </w:rPr>
        <w:t xml:space="preserve"> or rejected by the Copyright Office</w:t>
      </w:r>
      <w:r w:rsidR="00E8071C" w:rsidRPr="00906BCD">
        <w:rPr>
          <w:rFonts w:cs="Times New Roman"/>
          <w:b/>
          <w:szCs w:val="24"/>
        </w:rPr>
        <w:t xml:space="preserve">, the </w:t>
      </w:r>
      <w:r w:rsidR="004F4700">
        <w:rPr>
          <w:rFonts w:cs="Times New Roman"/>
          <w:b/>
          <w:szCs w:val="24"/>
        </w:rPr>
        <w:t>S.D.N.Y.</w:t>
      </w:r>
      <w:r w:rsidR="00E8071C" w:rsidRPr="00906BCD">
        <w:rPr>
          <w:rFonts w:cs="Times New Roman"/>
          <w:b/>
          <w:szCs w:val="24"/>
        </w:rPr>
        <w:t xml:space="preserve"> is likely to use the registration approach, and the music video is not protected by </w:t>
      </w:r>
      <w:r w:rsidR="00B55299">
        <w:rPr>
          <w:rFonts w:cs="Times New Roman"/>
          <w:b/>
          <w:szCs w:val="24"/>
        </w:rPr>
        <w:t>VARA.</w:t>
      </w:r>
      <w:r w:rsidR="00032293" w:rsidRPr="00906BCD">
        <w:rPr>
          <w:rFonts w:cs="Times New Roman"/>
          <w:b/>
          <w:szCs w:val="24"/>
        </w:rPr>
        <w:br/>
      </w:r>
    </w:p>
    <w:p w14:paraId="58F80860" w14:textId="6B883C39" w:rsidR="00E8071C" w:rsidRPr="00906BCD" w:rsidRDefault="00C27E7B" w:rsidP="00D86002">
      <w:pPr>
        <w:widowControl w:val="0"/>
        <w:ind w:firstLine="360"/>
        <w:contextualSpacing/>
        <w:rPr>
          <w:rFonts w:cs="Times New Roman"/>
          <w:szCs w:val="24"/>
        </w:rPr>
      </w:pPr>
      <w:r w:rsidRPr="00906BCD">
        <w:rPr>
          <w:rFonts w:cs="Times New Roman"/>
          <w:szCs w:val="24"/>
        </w:rPr>
        <w:t>Under the Copyright Act, “</w:t>
      </w:r>
      <w:r w:rsidR="00003E0B" w:rsidRPr="00906BCD">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906BCD">
        <w:rPr>
          <w:rFonts w:cs="Times New Roman"/>
          <w:szCs w:val="24"/>
        </w:rPr>
        <w:t xml:space="preserve">17 U.S.C. § 411(a). </w:t>
      </w:r>
      <w:r w:rsidR="00003E0B" w:rsidRPr="00906BCD">
        <w:rPr>
          <w:rFonts w:cs="Times New Roman"/>
          <w:szCs w:val="24"/>
        </w:rPr>
        <w:t xml:space="preserve">The preregistration requirement has </w:t>
      </w:r>
      <w:r w:rsidR="00982EF8" w:rsidRPr="00906BCD">
        <w:rPr>
          <w:rFonts w:cs="Times New Roman"/>
          <w:szCs w:val="24"/>
        </w:rPr>
        <w:t>been interpreted in two ways: t</w:t>
      </w:r>
      <w:r w:rsidR="00003E0B" w:rsidRPr="00906BCD">
        <w:rPr>
          <w:rFonts w:cs="Times New Roman"/>
          <w:szCs w:val="24"/>
        </w:rPr>
        <w:t xml:space="preserve">he registration approach, which requires plaintiff’s copyright application to have been accepted </w:t>
      </w:r>
      <w:r w:rsidR="00D86907" w:rsidRPr="00906BCD">
        <w:rPr>
          <w:rFonts w:cs="Times New Roman"/>
          <w:szCs w:val="24"/>
        </w:rPr>
        <w:t xml:space="preserve">or rejected </w:t>
      </w:r>
      <w:r w:rsidR="00003E0B" w:rsidRPr="00906BCD">
        <w:rPr>
          <w:rFonts w:cs="Times New Roman"/>
          <w:szCs w:val="24"/>
        </w:rPr>
        <w:t>before filing suit, and the application approach, which only requires plaintiffs to have submitted the a</w:t>
      </w:r>
      <w:r w:rsidR="00982EF8" w:rsidRPr="00906BCD">
        <w:rPr>
          <w:rFonts w:cs="Times New Roman"/>
          <w:szCs w:val="24"/>
        </w:rPr>
        <w:t xml:space="preserve">pplication before filing suit. </w:t>
      </w:r>
      <w:r w:rsidR="00982EF8" w:rsidRPr="00906BCD">
        <w:rPr>
          <w:rFonts w:cs="Times New Roman"/>
          <w:i/>
          <w:szCs w:val="24"/>
        </w:rPr>
        <w:t>Psihoyos v. John Wiley &amp; Sons, Inc</w:t>
      </w:r>
      <w:r w:rsidR="006D683E" w:rsidRPr="00906BCD">
        <w:rPr>
          <w:rFonts w:cs="Times New Roman"/>
          <w:szCs w:val="24"/>
        </w:rPr>
        <w:t>., 748 F.3d 120</w:t>
      </w:r>
      <w:r w:rsidR="009E146E">
        <w:rPr>
          <w:rFonts w:cs="Times New Roman"/>
          <w:szCs w:val="24"/>
        </w:rPr>
        <w:t>, 125</w:t>
      </w:r>
      <w:r w:rsidR="006D683E" w:rsidRPr="00906BCD">
        <w:rPr>
          <w:rFonts w:cs="Times New Roman"/>
          <w:szCs w:val="24"/>
        </w:rPr>
        <w:t xml:space="preserve"> (2</w:t>
      </w:r>
      <w:r w:rsidR="00982EF8" w:rsidRPr="00906BCD">
        <w:rPr>
          <w:rFonts w:cs="Times New Roman"/>
          <w:szCs w:val="24"/>
        </w:rPr>
        <w:t xml:space="preserve">d Cir. 2014). </w:t>
      </w:r>
      <w:r w:rsidR="00BF1252" w:rsidRPr="00906BCD">
        <w:rPr>
          <w:rFonts w:cs="Times New Roman"/>
          <w:szCs w:val="24"/>
        </w:rPr>
        <w:t xml:space="preserve">These approaches have created a circuit split. </w:t>
      </w:r>
      <w:r w:rsidR="00982EF8" w:rsidRPr="00906BCD">
        <w:rPr>
          <w:rFonts w:cs="Times New Roman"/>
          <w:i/>
          <w:szCs w:val="24"/>
        </w:rPr>
        <w:t>Id.</w:t>
      </w:r>
      <w:r w:rsidR="00BF1252" w:rsidRPr="00906BCD">
        <w:rPr>
          <w:rFonts w:cs="Times New Roman"/>
          <w:szCs w:val="24"/>
        </w:rPr>
        <w:t xml:space="preserve"> at 125. </w:t>
      </w:r>
    </w:p>
    <w:p w14:paraId="2243F58E" w14:textId="1A2F6C46" w:rsidR="000569DE" w:rsidRPr="00906BCD" w:rsidRDefault="00E8071C" w:rsidP="00D86002">
      <w:pPr>
        <w:pStyle w:val="ListParagraph"/>
        <w:widowControl w:val="0"/>
        <w:numPr>
          <w:ilvl w:val="0"/>
          <w:numId w:val="3"/>
        </w:numPr>
        <w:spacing w:line="240" w:lineRule="auto"/>
        <w:ind w:left="720"/>
        <w:rPr>
          <w:rFonts w:cs="Times New Roman"/>
          <w:b/>
          <w:szCs w:val="24"/>
        </w:rPr>
      </w:pPr>
      <w:r w:rsidRPr="00906BCD">
        <w:rPr>
          <w:rFonts w:cs="Times New Roman"/>
          <w:b/>
          <w:szCs w:val="24"/>
        </w:rPr>
        <w:t xml:space="preserve">Janeway’s registration is </w:t>
      </w:r>
      <w:r w:rsidR="007070CA">
        <w:rPr>
          <w:rFonts w:cs="Times New Roman"/>
          <w:b/>
          <w:szCs w:val="24"/>
        </w:rPr>
        <w:t>in</w:t>
      </w:r>
      <w:r w:rsidRPr="00906BCD">
        <w:rPr>
          <w:rFonts w:cs="Times New Roman"/>
          <w:b/>
          <w:szCs w:val="24"/>
        </w:rPr>
        <w:t xml:space="preserve">sufficient </w:t>
      </w:r>
      <w:r w:rsidR="007070CA">
        <w:rPr>
          <w:rFonts w:cs="Times New Roman"/>
          <w:b/>
          <w:szCs w:val="24"/>
        </w:rPr>
        <w:t xml:space="preserve">for her suit </w:t>
      </w:r>
      <w:r w:rsidRPr="00906BCD">
        <w:rPr>
          <w:rFonts w:cs="Times New Roman"/>
          <w:b/>
          <w:szCs w:val="24"/>
        </w:rPr>
        <w:t xml:space="preserve">because she filed her application for copyright on the same day she filed for </w:t>
      </w:r>
      <w:r w:rsidR="00042BC8" w:rsidRPr="00906BCD">
        <w:rPr>
          <w:rFonts w:cs="Times New Roman"/>
          <w:b/>
          <w:szCs w:val="24"/>
        </w:rPr>
        <w:t>infringement</w:t>
      </w:r>
      <w:r w:rsidRPr="00906BCD">
        <w:rPr>
          <w:rFonts w:cs="Times New Roman"/>
          <w:b/>
          <w:szCs w:val="24"/>
        </w:rPr>
        <w:t xml:space="preserve"> and the </w:t>
      </w:r>
      <w:r w:rsidR="004F4700">
        <w:rPr>
          <w:rFonts w:cs="Times New Roman"/>
          <w:b/>
          <w:szCs w:val="24"/>
        </w:rPr>
        <w:t>S.D.N.Y.</w:t>
      </w:r>
      <w:r w:rsidR="002C152B" w:rsidRPr="00906BCD">
        <w:rPr>
          <w:rFonts w:cs="Times New Roman"/>
          <w:b/>
          <w:szCs w:val="24"/>
        </w:rPr>
        <w:t xml:space="preserve"> will use the r</w:t>
      </w:r>
      <w:r w:rsidRPr="00906BCD">
        <w:rPr>
          <w:rFonts w:cs="Times New Roman"/>
          <w:b/>
          <w:szCs w:val="24"/>
        </w:rPr>
        <w:t xml:space="preserve">egistration </w:t>
      </w:r>
      <w:r w:rsidR="002C152B" w:rsidRPr="00906BCD">
        <w:rPr>
          <w:rFonts w:cs="Times New Roman"/>
          <w:b/>
          <w:szCs w:val="24"/>
        </w:rPr>
        <w:t>a</w:t>
      </w:r>
      <w:r w:rsidRPr="00906BCD">
        <w:rPr>
          <w:rFonts w:cs="Times New Roman"/>
          <w:b/>
          <w:szCs w:val="24"/>
        </w:rPr>
        <w:t>pproach</w:t>
      </w:r>
      <w:r w:rsidR="00032293" w:rsidRPr="00906BCD">
        <w:rPr>
          <w:rFonts w:cs="Times New Roman"/>
          <w:b/>
          <w:szCs w:val="24"/>
        </w:rPr>
        <w:t>.</w:t>
      </w:r>
      <w:r w:rsidR="000569DE" w:rsidRPr="00906BCD">
        <w:rPr>
          <w:rFonts w:cs="Times New Roman"/>
          <w:b/>
          <w:szCs w:val="24"/>
        </w:rPr>
        <w:br/>
      </w:r>
    </w:p>
    <w:p w14:paraId="37A323F7" w14:textId="092505E2" w:rsidR="003A4232" w:rsidRDefault="003A4232" w:rsidP="00D86002">
      <w:pPr>
        <w:widowControl w:val="0"/>
        <w:ind w:firstLine="360"/>
        <w:rPr>
          <w:rFonts w:cs="Times New Roman"/>
          <w:color w:val="000000" w:themeColor="text1"/>
          <w:szCs w:val="24"/>
        </w:rPr>
      </w:pPr>
      <w:r w:rsidRPr="00906BCD">
        <w:rPr>
          <w:rFonts w:cs="Times New Roman"/>
          <w:szCs w:val="24"/>
        </w:rPr>
        <w:t>The Fifth and Ninth Circuit follow the application approach.</w:t>
      </w:r>
      <w:r w:rsidRPr="00906BCD">
        <w:rPr>
          <w:rFonts w:cs="Times New Roman"/>
          <w:i/>
          <w:iCs/>
          <w:szCs w:val="24"/>
        </w:rPr>
        <w:t xml:space="preserve"> Apple Barrel Prods., Inc. v. Beard</w:t>
      </w:r>
      <w:r w:rsidRPr="00906BCD">
        <w:rPr>
          <w:rFonts w:cs="Times New Roman"/>
          <w:szCs w:val="24"/>
        </w:rPr>
        <w:t>, 730 F.2d 384, 386–87 (5th Cir.</w:t>
      </w:r>
      <w:r>
        <w:rPr>
          <w:rFonts w:cs="Times New Roman"/>
          <w:szCs w:val="24"/>
        </w:rPr>
        <w:t xml:space="preserve"> </w:t>
      </w:r>
      <w:r w:rsidRPr="00906BCD">
        <w:rPr>
          <w:rFonts w:cs="Times New Roman"/>
          <w:szCs w:val="24"/>
        </w:rPr>
        <w:t xml:space="preserve">1984); </w:t>
      </w:r>
      <w:r w:rsidRPr="00906BCD">
        <w:rPr>
          <w:rFonts w:cs="Times New Roman"/>
          <w:i/>
          <w:szCs w:val="24"/>
        </w:rPr>
        <w:t>Cosmetic Ideas</w:t>
      </w:r>
      <w:r w:rsidRPr="00906BCD">
        <w:rPr>
          <w:rFonts w:cs="Times New Roman"/>
          <w:szCs w:val="24"/>
        </w:rPr>
        <w:t>, 606 F.3d</w:t>
      </w:r>
      <w:r w:rsidR="009E146E">
        <w:rPr>
          <w:rFonts w:cs="Times New Roman"/>
          <w:szCs w:val="24"/>
        </w:rPr>
        <w:t xml:space="preserve"> at 621</w:t>
      </w:r>
      <w:r w:rsidRPr="00906BCD">
        <w:rPr>
          <w:rFonts w:cs="Times New Roman"/>
          <w:szCs w:val="24"/>
        </w:rPr>
        <w:t>. The Eight Circuit endorse</w:t>
      </w:r>
      <w:r w:rsidR="009E146E">
        <w:rPr>
          <w:rFonts w:cs="Times New Roman"/>
          <w:szCs w:val="24"/>
        </w:rPr>
        <w:t>s</w:t>
      </w:r>
      <w:r w:rsidRPr="00906BCD">
        <w:rPr>
          <w:rFonts w:cs="Times New Roman"/>
          <w:szCs w:val="24"/>
        </w:rPr>
        <w:t xml:space="preserve"> application in dicta, and </w:t>
      </w:r>
      <w:r>
        <w:rPr>
          <w:rFonts w:cs="Times New Roman"/>
          <w:szCs w:val="24"/>
        </w:rPr>
        <w:t xml:space="preserve">the </w:t>
      </w:r>
      <w:r w:rsidRPr="00906BCD">
        <w:rPr>
          <w:rFonts w:cs="Times New Roman"/>
          <w:szCs w:val="24"/>
        </w:rPr>
        <w:t xml:space="preserve">Seventh Circuit’s dicta </w:t>
      </w:r>
      <w:r>
        <w:rPr>
          <w:rFonts w:cs="Times New Roman"/>
          <w:szCs w:val="24"/>
        </w:rPr>
        <w:t>is conflicting</w:t>
      </w:r>
      <w:r w:rsidRPr="00906BCD">
        <w:rPr>
          <w:rFonts w:cs="Times New Roman"/>
          <w:szCs w:val="24"/>
        </w:rPr>
        <w:t xml:space="preserve">. </w:t>
      </w:r>
      <w:r w:rsidRPr="00906BCD">
        <w:rPr>
          <w:rFonts w:cs="Times New Roman"/>
          <w:i/>
          <w:iCs/>
          <w:szCs w:val="24"/>
        </w:rPr>
        <w:t>Fourth Estate Pub. Benefit Corp. v. Wall-Street.com, LLC</w:t>
      </w:r>
      <w:r w:rsidRPr="00906BCD">
        <w:rPr>
          <w:rFonts w:cs="Times New Roman"/>
          <w:szCs w:val="24"/>
        </w:rPr>
        <w:t>, 856 F.3d 1338 (11th Cir. 2017) (summarizing the circuit split regarding the use of the registration or application approach).</w:t>
      </w:r>
      <w:r>
        <w:rPr>
          <w:rFonts w:cs="Times New Roman"/>
          <w:szCs w:val="24"/>
        </w:rPr>
        <w:t xml:space="preserve"> T</w:t>
      </w:r>
      <w:r w:rsidRPr="00906BCD">
        <w:rPr>
          <w:rFonts w:cs="Times New Roman"/>
          <w:szCs w:val="24"/>
        </w:rPr>
        <w:t>he Tenth and Eleventh Circuits</w:t>
      </w:r>
      <w:r>
        <w:rPr>
          <w:rFonts w:cs="Times New Roman"/>
          <w:szCs w:val="24"/>
        </w:rPr>
        <w:t xml:space="preserve"> have adopted the registration approach</w:t>
      </w:r>
      <w:r w:rsidRPr="00906BCD">
        <w:rPr>
          <w:rFonts w:cs="Times New Roman"/>
          <w:szCs w:val="24"/>
        </w:rPr>
        <w:t xml:space="preserve">. </w:t>
      </w:r>
      <w:bookmarkStart w:id="0" w:name="_Hlk497559389"/>
      <w:r w:rsidRPr="00906BCD">
        <w:rPr>
          <w:rFonts w:cs="Times New Roman"/>
          <w:i/>
          <w:szCs w:val="24"/>
        </w:rPr>
        <w:t>L</w:t>
      </w:r>
      <w:r w:rsidRPr="00906BCD">
        <w:rPr>
          <w:rFonts w:cs="Times New Roman"/>
          <w:i/>
          <w:iCs/>
          <w:szCs w:val="24"/>
        </w:rPr>
        <w:t xml:space="preserve">a Resolana </w:t>
      </w:r>
      <w:bookmarkEnd w:id="0"/>
      <w:r w:rsidRPr="00906BCD">
        <w:rPr>
          <w:rFonts w:cs="Times New Roman"/>
          <w:i/>
          <w:iCs/>
          <w:szCs w:val="24"/>
        </w:rPr>
        <w:t>Architects, PA v. Clay Realtors Angel Fire</w:t>
      </w:r>
      <w:r w:rsidRPr="00906BCD">
        <w:rPr>
          <w:rFonts w:cs="Times New Roman"/>
          <w:szCs w:val="24"/>
        </w:rPr>
        <w:t xml:space="preserve">, 416 F.3d 1195 (10th Cir. 2005), abrogated on other grounds by </w:t>
      </w:r>
      <w:r w:rsidRPr="00906BCD">
        <w:rPr>
          <w:rFonts w:cs="Times New Roman"/>
          <w:i/>
          <w:iCs/>
          <w:szCs w:val="24"/>
        </w:rPr>
        <w:t>Reed Elsevier, Inc. v. Muchnick</w:t>
      </w:r>
      <w:r w:rsidRPr="00906BCD">
        <w:rPr>
          <w:rFonts w:cs="Times New Roman"/>
          <w:szCs w:val="24"/>
        </w:rPr>
        <w:t xml:space="preserve">, 559 U.S. 154 (2010); </w:t>
      </w:r>
      <w:r w:rsidRPr="00906BCD">
        <w:rPr>
          <w:rFonts w:cs="Times New Roman"/>
          <w:i/>
          <w:iCs/>
          <w:szCs w:val="24"/>
        </w:rPr>
        <w:t>Fourth Estate Pub. Benefit Corp</w:t>
      </w:r>
      <w:r>
        <w:rPr>
          <w:rFonts w:cs="Times New Roman"/>
          <w:i/>
          <w:iCs/>
          <w:szCs w:val="24"/>
        </w:rPr>
        <w:t>,</w:t>
      </w:r>
      <w:r w:rsidRPr="00906BCD">
        <w:rPr>
          <w:rFonts w:cs="Times New Roman"/>
          <w:szCs w:val="24"/>
        </w:rPr>
        <w:t xml:space="preserve"> 856 F.3d </w:t>
      </w:r>
      <w:r>
        <w:rPr>
          <w:rFonts w:cs="Times New Roman"/>
          <w:szCs w:val="24"/>
        </w:rPr>
        <w:t xml:space="preserve">at </w:t>
      </w:r>
      <w:r w:rsidRPr="00906BCD">
        <w:rPr>
          <w:rFonts w:cs="Times New Roman"/>
          <w:szCs w:val="24"/>
        </w:rPr>
        <w:t>1338.</w:t>
      </w:r>
      <w:r>
        <w:rPr>
          <w:rFonts w:cs="Times New Roman"/>
          <w:szCs w:val="24"/>
        </w:rPr>
        <w:t xml:space="preserve"> </w:t>
      </w:r>
      <w:r w:rsidRPr="00906BCD">
        <w:rPr>
          <w:rFonts w:cs="Times New Roman"/>
          <w:color w:val="000000" w:themeColor="text1"/>
          <w:szCs w:val="24"/>
        </w:rPr>
        <w:t xml:space="preserve">Courts </w:t>
      </w:r>
      <w:r w:rsidR="004F4700">
        <w:rPr>
          <w:rFonts w:cs="Times New Roman"/>
          <w:color w:val="000000" w:themeColor="text1"/>
          <w:szCs w:val="24"/>
        </w:rPr>
        <w:t xml:space="preserve">seek to </w:t>
      </w:r>
      <w:r w:rsidRPr="00906BCD">
        <w:rPr>
          <w:rFonts w:cs="Times New Roman"/>
          <w:color w:val="000000" w:themeColor="text1"/>
          <w:szCs w:val="24"/>
        </w:rPr>
        <w:t xml:space="preserve">interpret the ambiguous language </w:t>
      </w:r>
      <w:r w:rsidR="004F4700" w:rsidRPr="00906BCD">
        <w:rPr>
          <w:rFonts w:cs="Times New Roman"/>
          <w:color w:val="000000" w:themeColor="text1"/>
          <w:szCs w:val="24"/>
        </w:rPr>
        <w:t>in 17 U.S.C. § 411(a)</w:t>
      </w:r>
      <w:r w:rsidRPr="00906BCD">
        <w:rPr>
          <w:rFonts w:cs="Times New Roman"/>
          <w:color w:val="000000" w:themeColor="text1"/>
          <w:szCs w:val="24"/>
        </w:rPr>
        <w:t xml:space="preserve"> </w:t>
      </w:r>
      <w:r w:rsidR="004F4700">
        <w:rPr>
          <w:rFonts w:cs="Times New Roman"/>
          <w:color w:val="000000" w:themeColor="text1"/>
          <w:szCs w:val="24"/>
        </w:rPr>
        <w:t>by interpreting the plain language of the statute, determining</w:t>
      </w:r>
      <w:r w:rsidRPr="00906BCD">
        <w:rPr>
          <w:rFonts w:cs="Times New Roman"/>
          <w:color w:val="000000" w:themeColor="text1"/>
          <w:szCs w:val="24"/>
        </w:rPr>
        <w:t xml:space="preserve"> legislative </w:t>
      </w:r>
      <w:r w:rsidR="004F4700">
        <w:rPr>
          <w:rFonts w:cs="Times New Roman"/>
          <w:color w:val="000000" w:themeColor="text1"/>
          <w:szCs w:val="24"/>
        </w:rPr>
        <w:t>intent behind</w:t>
      </w:r>
      <w:r w:rsidRPr="00906BCD">
        <w:rPr>
          <w:rFonts w:cs="Times New Roman"/>
          <w:color w:val="000000" w:themeColor="text1"/>
          <w:szCs w:val="24"/>
        </w:rPr>
        <w:t xml:space="preserve"> the statute, and policy impacts of </w:t>
      </w:r>
      <w:r>
        <w:rPr>
          <w:rFonts w:cs="Times New Roman"/>
          <w:color w:val="000000" w:themeColor="text1"/>
          <w:szCs w:val="24"/>
        </w:rPr>
        <w:t>each</w:t>
      </w:r>
      <w:r w:rsidRPr="00906BCD">
        <w:rPr>
          <w:rFonts w:cs="Times New Roman"/>
          <w:color w:val="000000" w:themeColor="text1"/>
          <w:szCs w:val="24"/>
        </w:rPr>
        <w:t xml:space="preserve"> approach</w:t>
      </w:r>
      <w:r>
        <w:rPr>
          <w:rFonts w:cs="Times New Roman"/>
          <w:color w:val="000000" w:themeColor="text1"/>
          <w:szCs w:val="24"/>
        </w:rPr>
        <w:t xml:space="preserve"> to determine which is best.</w:t>
      </w:r>
      <w:r w:rsidR="00AF7BFF" w:rsidRPr="00AF7BFF">
        <w:rPr>
          <w:rFonts w:cs="Times New Roman"/>
          <w:i/>
          <w:szCs w:val="24"/>
        </w:rPr>
        <w:t xml:space="preserve"> </w:t>
      </w:r>
      <w:r w:rsidR="00AF7BFF" w:rsidRPr="00431050">
        <w:rPr>
          <w:rFonts w:cs="Times New Roman"/>
          <w:i/>
          <w:szCs w:val="24"/>
        </w:rPr>
        <w:t>Cosmetic Ideas</w:t>
      </w:r>
      <w:r w:rsidR="00AF7BFF" w:rsidRPr="0038150A">
        <w:rPr>
          <w:rFonts w:cs="Times New Roman"/>
          <w:szCs w:val="24"/>
        </w:rPr>
        <w:t>, 606 F.3d at 616.</w:t>
      </w:r>
    </w:p>
    <w:p w14:paraId="08A79A6B" w14:textId="37227C4E" w:rsidR="003A4232" w:rsidRDefault="00AF7BFF" w:rsidP="00D86002">
      <w:pPr>
        <w:widowControl w:val="0"/>
        <w:ind w:firstLine="360"/>
        <w:rPr>
          <w:rFonts w:cs="Times New Roman"/>
          <w:szCs w:val="24"/>
        </w:rPr>
      </w:pPr>
      <w:r>
        <w:t xml:space="preserve">When the language of a statutory section is not clear, the court turns to the context of the statute as a whole. </w:t>
      </w:r>
      <w:r w:rsidRPr="00431050">
        <w:rPr>
          <w:rFonts w:cs="Times New Roman"/>
          <w:i/>
          <w:szCs w:val="24"/>
        </w:rPr>
        <w:t>Cosmetic Ideas</w:t>
      </w:r>
      <w:r w:rsidRPr="0038150A">
        <w:rPr>
          <w:rFonts w:cs="Times New Roman"/>
          <w:szCs w:val="24"/>
        </w:rPr>
        <w:t>, 606 F.3d at 616.</w:t>
      </w:r>
      <w:r>
        <w:rPr>
          <w:rFonts w:cs="Times New Roman"/>
          <w:szCs w:val="24"/>
        </w:rPr>
        <w:t xml:space="preserve"> </w:t>
      </w:r>
      <w:r w:rsidR="004D5A9C">
        <w:t xml:space="preserve">The language of </w:t>
      </w:r>
      <w:r w:rsidR="009E146E">
        <w:t xml:space="preserve">17 U.S.C. </w:t>
      </w:r>
      <w:r w:rsidR="003A4232" w:rsidRPr="00906BCD">
        <w:rPr>
          <w:rFonts w:cs="Times New Roman"/>
          <w:szCs w:val="24"/>
        </w:rPr>
        <w:t>§</w:t>
      </w:r>
      <w:r w:rsidR="009E146E">
        <w:rPr>
          <w:rFonts w:cs="Times New Roman"/>
          <w:szCs w:val="24"/>
        </w:rPr>
        <w:t>§</w:t>
      </w:r>
      <w:r w:rsidR="003A4232" w:rsidRPr="00906BCD">
        <w:rPr>
          <w:rFonts w:cs="Times New Roman"/>
          <w:szCs w:val="24"/>
        </w:rPr>
        <w:t xml:space="preserve"> 410(a) and 411(a)</w:t>
      </w:r>
      <w:r w:rsidR="003A4232" w:rsidRPr="00906BCD">
        <w:rPr>
          <w:rFonts w:cs="Times New Roman"/>
          <w:color w:val="000000" w:themeColor="text1"/>
          <w:szCs w:val="24"/>
        </w:rPr>
        <w:t xml:space="preserve"> suggest the need for affirmative acts from the Copyright Office, however </w:t>
      </w:r>
      <w:r w:rsidR="003A4232" w:rsidRPr="00906BCD">
        <w:rPr>
          <w:rFonts w:cs="Times New Roman"/>
          <w:szCs w:val="24"/>
        </w:rPr>
        <w:t>§ 408(a) suggests delivery to the office is enough for registration, and § 410(d) could be interpreted in either way.</w:t>
      </w:r>
      <w:r w:rsidR="003A4232">
        <w:rPr>
          <w:rFonts w:cs="Times New Roman"/>
          <w:szCs w:val="24"/>
        </w:rPr>
        <w:t xml:space="preserve"> </w:t>
      </w:r>
      <w:bookmarkStart w:id="1" w:name="_Hlk498762195"/>
      <w:r w:rsidR="003A4232" w:rsidRPr="00431050">
        <w:rPr>
          <w:rFonts w:cs="Times New Roman"/>
          <w:i/>
          <w:szCs w:val="24"/>
        </w:rPr>
        <w:t>Cosmetic Ideas</w:t>
      </w:r>
      <w:r w:rsidR="003A4232" w:rsidRPr="0038150A">
        <w:rPr>
          <w:rFonts w:cs="Times New Roman"/>
          <w:szCs w:val="24"/>
        </w:rPr>
        <w:t>, 606 F.3d at 616.</w:t>
      </w:r>
      <w:r w:rsidR="003A4232">
        <w:rPr>
          <w:rFonts w:cs="Times New Roman"/>
          <w:szCs w:val="24"/>
        </w:rPr>
        <w:t xml:space="preserve"> </w:t>
      </w:r>
      <w:bookmarkEnd w:id="1"/>
      <w:r w:rsidR="003A4232">
        <w:rPr>
          <w:rFonts w:cs="Times New Roman"/>
          <w:szCs w:val="24"/>
        </w:rPr>
        <w:t xml:space="preserve">The Tenth and Eleventh Circuits find the language so plain, that </w:t>
      </w:r>
      <w:r>
        <w:rPr>
          <w:rFonts w:cs="Times New Roman"/>
          <w:szCs w:val="24"/>
        </w:rPr>
        <w:t>other arguments are unnecessary</w:t>
      </w:r>
      <w:r w:rsidR="003A4232">
        <w:rPr>
          <w:rFonts w:cs="Times New Roman"/>
          <w:szCs w:val="24"/>
        </w:rPr>
        <w:t xml:space="preserve">.  </w:t>
      </w:r>
      <w:r w:rsidRPr="00431050">
        <w:rPr>
          <w:rFonts w:cs="Times New Roman"/>
          <w:i/>
          <w:szCs w:val="24"/>
        </w:rPr>
        <w:t>Fourth Estate</w:t>
      </w:r>
      <w:r w:rsidRPr="00431050">
        <w:rPr>
          <w:rFonts w:cs="Times New Roman"/>
          <w:szCs w:val="24"/>
        </w:rPr>
        <w:t>, 856 F.3d at 134</w:t>
      </w:r>
      <w:r>
        <w:rPr>
          <w:rFonts w:cs="Times New Roman"/>
          <w:szCs w:val="24"/>
        </w:rPr>
        <w:t xml:space="preserve">2; </w:t>
      </w:r>
      <w:r w:rsidR="009E146E">
        <w:rPr>
          <w:rFonts w:cs="Times New Roman"/>
          <w:i/>
          <w:szCs w:val="24"/>
        </w:rPr>
        <w:t>s</w:t>
      </w:r>
      <w:r w:rsidRPr="00AF7BFF">
        <w:rPr>
          <w:rFonts w:cs="Times New Roman"/>
          <w:i/>
          <w:szCs w:val="24"/>
        </w:rPr>
        <w:t>ee also</w:t>
      </w:r>
      <w:r>
        <w:rPr>
          <w:rFonts w:cs="Times New Roman"/>
          <w:szCs w:val="24"/>
        </w:rPr>
        <w:t xml:space="preserve"> </w:t>
      </w:r>
      <w:r w:rsidR="003A4232" w:rsidRPr="00906BCD">
        <w:rPr>
          <w:rFonts w:cs="Times New Roman"/>
          <w:i/>
          <w:szCs w:val="24"/>
        </w:rPr>
        <w:t>L</w:t>
      </w:r>
      <w:r w:rsidR="003A4232" w:rsidRPr="00906BCD">
        <w:rPr>
          <w:rFonts w:cs="Times New Roman"/>
          <w:i/>
          <w:iCs/>
          <w:szCs w:val="24"/>
        </w:rPr>
        <w:t>a Resolana</w:t>
      </w:r>
      <w:r w:rsidR="003A4232" w:rsidRPr="00906BCD">
        <w:rPr>
          <w:rFonts w:cs="Times New Roman"/>
          <w:iCs/>
          <w:szCs w:val="24"/>
        </w:rPr>
        <w:t>, 858 F.3d at 1202</w:t>
      </w:r>
      <w:r w:rsidR="003A4232">
        <w:rPr>
          <w:rFonts w:cs="Times New Roman"/>
          <w:iCs/>
          <w:szCs w:val="24"/>
        </w:rPr>
        <w:t xml:space="preserve">. </w:t>
      </w:r>
      <w:r w:rsidR="003A4232" w:rsidRPr="00906BCD">
        <w:rPr>
          <w:rFonts w:cs="Times New Roman"/>
          <w:szCs w:val="24"/>
        </w:rPr>
        <w:t xml:space="preserve">The Eleventh </w:t>
      </w:r>
      <w:r w:rsidR="007C59E6">
        <w:rPr>
          <w:rFonts w:cs="Times New Roman"/>
          <w:szCs w:val="24"/>
        </w:rPr>
        <w:t>C</w:t>
      </w:r>
      <w:r w:rsidR="003A4232" w:rsidRPr="00906BCD">
        <w:rPr>
          <w:rFonts w:cs="Times New Roman"/>
          <w:szCs w:val="24"/>
        </w:rPr>
        <w:t xml:space="preserve">ircuit holds that the language of 17 U.S.C. § 411(a) suggests the need of an affirmative act from the Copyright Office. </w:t>
      </w:r>
      <w:r w:rsidR="003A4232" w:rsidRPr="00906BCD">
        <w:rPr>
          <w:rFonts w:cs="Times New Roman"/>
          <w:i/>
          <w:szCs w:val="24"/>
        </w:rPr>
        <w:t>Fourth Estate</w:t>
      </w:r>
      <w:r w:rsidR="003A4232" w:rsidRPr="00906BCD">
        <w:rPr>
          <w:rFonts w:cs="Times New Roman"/>
          <w:szCs w:val="24"/>
        </w:rPr>
        <w:t>, 856 F.3d at 1341 (holding that Copyright Act defines registration as a process that</w:t>
      </w:r>
      <w:r w:rsidR="003A4232">
        <w:rPr>
          <w:rFonts w:cs="Times New Roman"/>
          <w:szCs w:val="24"/>
        </w:rPr>
        <w:t xml:space="preserve"> requires</w:t>
      </w:r>
      <w:r w:rsidR="003A4232" w:rsidRPr="00906BCD">
        <w:rPr>
          <w:rFonts w:cs="Times New Roman"/>
          <w:szCs w:val="24"/>
        </w:rPr>
        <w:t xml:space="preserve"> action by both copyright own</w:t>
      </w:r>
      <w:r w:rsidR="003A4232">
        <w:rPr>
          <w:rFonts w:cs="Times New Roman"/>
          <w:szCs w:val="24"/>
        </w:rPr>
        <w:t>er</w:t>
      </w:r>
      <w:r w:rsidR="003A4232" w:rsidRPr="00906BCD">
        <w:rPr>
          <w:rFonts w:cs="Times New Roman"/>
          <w:szCs w:val="24"/>
        </w:rPr>
        <w:t xml:space="preserve"> and the Copyright Office).</w:t>
      </w:r>
      <w:r w:rsidR="003A4232">
        <w:rPr>
          <w:rFonts w:cs="Times New Roman"/>
          <w:szCs w:val="24"/>
        </w:rPr>
        <w:t xml:space="preserve"> </w:t>
      </w:r>
      <w:r w:rsidR="003A4232" w:rsidRPr="00431050">
        <w:rPr>
          <w:rFonts w:cs="Times New Roman"/>
          <w:szCs w:val="24"/>
        </w:rPr>
        <w:t xml:space="preserve">The statute states registration is required to file suit, and application is used in the same section and is clearly separate and apart. </w:t>
      </w:r>
      <w:r w:rsidR="003A4232" w:rsidRPr="00431050">
        <w:rPr>
          <w:rFonts w:cs="Times New Roman"/>
          <w:i/>
          <w:szCs w:val="24"/>
        </w:rPr>
        <w:t>Mays &amp; Assocs. v. Euler</w:t>
      </w:r>
      <w:r w:rsidR="003A4232" w:rsidRPr="00431050">
        <w:rPr>
          <w:rFonts w:cs="Times New Roman"/>
          <w:szCs w:val="24"/>
        </w:rPr>
        <w:t xml:space="preserve">, 370 F. Supp. 2d 362, 368 (D. Md. 2005). The statue also distinguishes between application and registration in § 410(a) and (d). </w:t>
      </w:r>
      <w:r w:rsidR="003A4232" w:rsidRPr="00431050">
        <w:rPr>
          <w:rFonts w:cs="Times New Roman"/>
          <w:i/>
          <w:szCs w:val="24"/>
        </w:rPr>
        <w:t>Fourth Estate</w:t>
      </w:r>
      <w:r w:rsidR="003A4232" w:rsidRPr="00431050">
        <w:rPr>
          <w:rFonts w:cs="Times New Roman"/>
          <w:szCs w:val="24"/>
        </w:rPr>
        <w:t>, 856 F.3d at 1341 (upholding registration approach because the phrase “after examination” in § 410(a) is indicative that registration occurs after filing of the application and that § 410(d) shows registration occurs only after an application is deemed acceptable).</w:t>
      </w:r>
      <w:r w:rsidR="003A4232">
        <w:rPr>
          <w:rFonts w:cs="Times New Roman"/>
          <w:szCs w:val="24"/>
        </w:rPr>
        <w:t xml:space="preserve"> </w:t>
      </w:r>
    </w:p>
    <w:p w14:paraId="20DBACA0" w14:textId="12D01A93" w:rsidR="003A4232" w:rsidRDefault="003A4232" w:rsidP="00D86002">
      <w:pPr>
        <w:widowControl w:val="0"/>
        <w:ind w:firstLine="360"/>
        <w:rPr>
          <w:rFonts w:cs="Times New Roman"/>
          <w:iCs/>
          <w:szCs w:val="24"/>
        </w:rPr>
      </w:pPr>
      <w:r>
        <w:t>Next, courts turn to the legislative intent of the statute. Courts applying the application approach examine the legislative intent because they find no clarity in the statute</w:t>
      </w:r>
      <w:r w:rsidR="00AF7BFF">
        <w:t xml:space="preserve">. </w:t>
      </w:r>
      <w:r w:rsidR="00AF7BFF" w:rsidRPr="00431050">
        <w:rPr>
          <w:rFonts w:cs="Times New Roman"/>
          <w:i/>
          <w:szCs w:val="24"/>
        </w:rPr>
        <w:t>Cosmetic Ideas</w:t>
      </w:r>
      <w:r w:rsidR="00AF7BFF" w:rsidRPr="0038150A">
        <w:rPr>
          <w:rFonts w:cs="Times New Roman"/>
          <w:szCs w:val="24"/>
        </w:rPr>
        <w:t>, 606 F.3d at 61</w:t>
      </w:r>
      <w:r w:rsidR="00AF7BFF">
        <w:rPr>
          <w:rFonts w:cs="Times New Roman"/>
          <w:szCs w:val="24"/>
        </w:rPr>
        <w:t>8</w:t>
      </w:r>
      <w:r w:rsidR="00AF7BFF" w:rsidRPr="0038150A">
        <w:rPr>
          <w:rFonts w:cs="Times New Roman"/>
          <w:szCs w:val="24"/>
        </w:rPr>
        <w:t>.</w:t>
      </w:r>
      <w:r w:rsidR="00AF7BFF">
        <w:rPr>
          <w:rFonts w:cs="Times New Roman"/>
          <w:szCs w:val="24"/>
        </w:rPr>
        <w:t xml:space="preserve"> </w:t>
      </w:r>
      <w:r>
        <w:t>The Ninth Circuit</w:t>
      </w:r>
      <w:r w:rsidR="00AF7BFF">
        <w:t xml:space="preserve"> </w:t>
      </w:r>
      <w:r>
        <w:t>argues that because</w:t>
      </w:r>
      <w:r w:rsidRPr="00906BCD">
        <w:rPr>
          <w:rFonts w:cs="Times New Roman"/>
          <w:szCs w:val="24"/>
        </w:rPr>
        <w:t xml:space="preserve"> registration for copyright </w:t>
      </w:r>
      <w:r>
        <w:rPr>
          <w:rFonts w:cs="Times New Roman"/>
          <w:szCs w:val="24"/>
        </w:rPr>
        <w:t xml:space="preserve">is </w:t>
      </w:r>
      <w:r w:rsidRPr="00906BCD">
        <w:rPr>
          <w:rFonts w:cs="Times New Roman"/>
          <w:szCs w:val="24"/>
        </w:rPr>
        <w:t>optional</w:t>
      </w:r>
      <w:r>
        <w:rPr>
          <w:rFonts w:cs="Times New Roman"/>
          <w:szCs w:val="24"/>
        </w:rPr>
        <w:t xml:space="preserve"> copyright</w:t>
      </w:r>
      <w:r w:rsidRPr="00906BCD">
        <w:rPr>
          <w:rFonts w:cs="Times New Roman"/>
          <w:szCs w:val="24"/>
        </w:rPr>
        <w:t xml:space="preserve"> holders often register specifically </w:t>
      </w:r>
      <w:r w:rsidR="00AF7BFF">
        <w:rPr>
          <w:rFonts w:cs="Times New Roman"/>
          <w:szCs w:val="24"/>
        </w:rPr>
        <w:t>to</w:t>
      </w:r>
      <w:r w:rsidRPr="00906BCD">
        <w:rPr>
          <w:rFonts w:cs="Times New Roman"/>
          <w:szCs w:val="24"/>
        </w:rPr>
        <w:t xml:space="preserve"> bring suit, and courts have found that the application approach better fulfills Congress’ purpose of providing broad copyright protection. </w:t>
      </w:r>
      <w:r w:rsidRPr="00D73FFC">
        <w:rPr>
          <w:rFonts w:cs="Times New Roman"/>
          <w:i/>
          <w:szCs w:val="24"/>
        </w:rPr>
        <w:t>Cosmetic Ideas</w:t>
      </w:r>
      <w:r w:rsidRPr="00D73FFC">
        <w:rPr>
          <w:rFonts w:cs="Times New Roman"/>
          <w:szCs w:val="24"/>
        </w:rPr>
        <w:t xml:space="preserve">, 606 F.3d </w:t>
      </w:r>
      <w:r w:rsidRPr="00906BCD">
        <w:rPr>
          <w:rFonts w:cs="Times New Roman"/>
          <w:szCs w:val="24"/>
        </w:rPr>
        <w:t>at 619.</w:t>
      </w:r>
      <w:r w:rsidRPr="004203D0">
        <w:rPr>
          <w:rFonts w:cs="Times New Roman"/>
          <w:szCs w:val="24"/>
        </w:rPr>
        <w:t xml:space="preserve"> </w:t>
      </w:r>
      <w:r w:rsidRPr="00906BCD">
        <w:rPr>
          <w:rFonts w:cs="Times New Roman"/>
          <w:szCs w:val="24"/>
        </w:rPr>
        <w:t xml:space="preserve">Congress </w:t>
      </w:r>
      <w:r w:rsidR="003D3967">
        <w:rPr>
          <w:rFonts w:cs="Times New Roman"/>
          <w:szCs w:val="24"/>
        </w:rPr>
        <w:t>intended</w:t>
      </w:r>
      <w:r w:rsidRPr="00906BCD">
        <w:rPr>
          <w:rFonts w:cs="Times New Roman"/>
          <w:szCs w:val="24"/>
        </w:rPr>
        <w:t xml:space="preserve"> to simplify the copyright process, and the needless formality of approval or rejection is what Congress sough</w:t>
      </w:r>
      <w:r>
        <w:rPr>
          <w:rFonts w:cs="Times New Roman"/>
          <w:szCs w:val="24"/>
        </w:rPr>
        <w:t>t</w:t>
      </w:r>
      <w:r w:rsidRPr="00906BCD">
        <w:rPr>
          <w:rFonts w:cs="Times New Roman"/>
          <w:szCs w:val="24"/>
        </w:rPr>
        <w:t xml:space="preserve"> to eliminate with the passing of the </w:t>
      </w:r>
      <w:r>
        <w:rPr>
          <w:rFonts w:cs="Times New Roman"/>
          <w:szCs w:val="24"/>
        </w:rPr>
        <w:t>Copyright A</w:t>
      </w:r>
      <w:r w:rsidRPr="00906BCD">
        <w:rPr>
          <w:rFonts w:cs="Times New Roman"/>
          <w:szCs w:val="24"/>
        </w:rPr>
        <w:t xml:space="preserve">ct. </w:t>
      </w:r>
      <w:r w:rsidRPr="00906BCD">
        <w:rPr>
          <w:rFonts w:cs="Times New Roman"/>
          <w:i/>
          <w:szCs w:val="24"/>
        </w:rPr>
        <w:t xml:space="preserve">Id. </w:t>
      </w:r>
      <w:r w:rsidRPr="00906BCD">
        <w:rPr>
          <w:rFonts w:cs="Times New Roman"/>
          <w:szCs w:val="24"/>
        </w:rPr>
        <w:t>at 619.</w:t>
      </w:r>
      <w:r>
        <w:rPr>
          <w:rFonts w:cs="Times New Roman"/>
          <w:szCs w:val="24"/>
        </w:rPr>
        <w:t xml:space="preserve"> Courts following the registration approach argue that </w:t>
      </w:r>
      <w:r w:rsidR="009E146E">
        <w:rPr>
          <w:rFonts w:cs="Times New Roman"/>
          <w:szCs w:val="24"/>
        </w:rPr>
        <w:t xml:space="preserve">Congressed intended </w:t>
      </w:r>
      <w:r w:rsidR="00556C96">
        <w:rPr>
          <w:rFonts w:cs="Times New Roman"/>
          <w:szCs w:val="24"/>
        </w:rPr>
        <w:t>the</w:t>
      </w:r>
      <w:r w:rsidR="009E146E">
        <w:rPr>
          <w:rFonts w:cs="Times New Roman"/>
          <w:szCs w:val="24"/>
        </w:rPr>
        <w:t xml:space="preserve"> formality</w:t>
      </w:r>
      <w:r w:rsidR="00556C96">
        <w:rPr>
          <w:rFonts w:cs="Times New Roman"/>
          <w:szCs w:val="24"/>
        </w:rPr>
        <w:t xml:space="preserve"> of registration</w:t>
      </w:r>
      <w:r>
        <w:rPr>
          <w:rFonts w:cs="Times New Roman"/>
          <w:szCs w:val="24"/>
        </w:rPr>
        <w:t xml:space="preserve">. </w:t>
      </w:r>
      <w:r>
        <w:rPr>
          <w:rFonts w:cs="Times New Roman"/>
          <w:i/>
          <w:szCs w:val="24"/>
        </w:rPr>
        <w:t xml:space="preserve">See </w:t>
      </w:r>
      <w:r w:rsidRPr="00906BCD">
        <w:rPr>
          <w:rFonts w:cs="Times New Roman"/>
          <w:i/>
          <w:iCs/>
          <w:szCs w:val="24"/>
        </w:rPr>
        <w:t>Asche &amp; Spencer Music, Inc. v. Principato-Young Entm't, Inc.</w:t>
      </w:r>
      <w:r w:rsidRPr="00906BCD">
        <w:rPr>
          <w:rFonts w:cs="Times New Roman"/>
          <w:szCs w:val="24"/>
        </w:rPr>
        <w:t>, 147 F. Supp. 3d 833, 837 (D. Minn. 2015)</w:t>
      </w:r>
      <w:r>
        <w:rPr>
          <w:rFonts w:cs="Times New Roman"/>
          <w:szCs w:val="24"/>
        </w:rPr>
        <w:t xml:space="preserve">. The </w:t>
      </w:r>
      <w:r w:rsidR="00D73FFC">
        <w:rPr>
          <w:rFonts w:cs="Times New Roman"/>
          <w:szCs w:val="24"/>
        </w:rPr>
        <w:t>S.D.N.Y.</w:t>
      </w:r>
      <w:r>
        <w:rPr>
          <w:rFonts w:cs="Times New Roman"/>
          <w:szCs w:val="24"/>
        </w:rPr>
        <w:t xml:space="preserve"> argues that </w:t>
      </w:r>
      <w:r w:rsidR="00D73FFC">
        <w:rPr>
          <w:rFonts w:cs="Times New Roman"/>
          <w:szCs w:val="24"/>
        </w:rPr>
        <w:t>C</w:t>
      </w:r>
      <w:r w:rsidRPr="00D028C5">
        <w:rPr>
          <w:rFonts w:cs="Times New Roman"/>
          <w:szCs w:val="24"/>
        </w:rPr>
        <w:t>ongress could have repealed § 411(a) in the proposed Copyright Reform Act of 1993, but did not enact the bill</w:t>
      </w:r>
      <w:r w:rsidR="009C6D31">
        <w:rPr>
          <w:rFonts w:cs="Times New Roman"/>
          <w:szCs w:val="24"/>
        </w:rPr>
        <w:t>, which</w:t>
      </w:r>
      <w:r w:rsidR="00D73FFC">
        <w:rPr>
          <w:rFonts w:cs="Times New Roman"/>
          <w:szCs w:val="24"/>
        </w:rPr>
        <w:t xml:space="preserve"> suggest</w:t>
      </w:r>
      <w:r w:rsidR="009C6D31">
        <w:rPr>
          <w:rFonts w:cs="Times New Roman"/>
          <w:szCs w:val="24"/>
        </w:rPr>
        <w:t>s</w:t>
      </w:r>
      <w:r w:rsidR="00D73FFC">
        <w:rPr>
          <w:rFonts w:cs="Times New Roman"/>
          <w:szCs w:val="24"/>
        </w:rPr>
        <w:t xml:space="preserve"> their approval of the registration approach.</w:t>
      </w:r>
      <w:r w:rsidRPr="00D028C5">
        <w:rPr>
          <w:rFonts w:cs="Times New Roman"/>
          <w:szCs w:val="24"/>
        </w:rPr>
        <w:t xml:space="preserve"> </w:t>
      </w:r>
      <w:r w:rsidRPr="00D028C5">
        <w:rPr>
          <w:rFonts w:cs="Times New Roman"/>
          <w:i/>
          <w:iCs/>
          <w:szCs w:val="24"/>
        </w:rPr>
        <w:t>Robinson v. Princeton Review, Inc.</w:t>
      </w:r>
      <w:r w:rsidRPr="00D028C5">
        <w:rPr>
          <w:rFonts w:cs="Times New Roman"/>
          <w:szCs w:val="24"/>
        </w:rPr>
        <w:t>, No. 96 Civ. 4850 (LAK), 1996 WL 663880, at *8 (S.D.N.Y. Nov. 15, 1996).</w:t>
      </w:r>
      <w:r>
        <w:rPr>
          <w:rFonts w:cs="Times New Roman"/>
          <w:szCs w:val="24"/>
        </w:rPr>
        <w:t xml:space="preserve"> </w:t>
      </w:r>
      <w:r w:rsidRPr="00906BCD">
        <w:rPr>
          <w:rFonts w:cs="Times New Roman"/>
          <w:iCs/>
          <w:szCs w:val="24"/>
        </w:rPr>
        <w:t xml:space="preserve">The Copyright Office finds the registration approach to be correct </w:t>
      </w:r>
      <w:r w:rsidR="004D5A9C">
        <w:rPr>
          <w:rFonts w:cs="Times New Roman"/>
          <w:iCs/>
          <w:szCs w:val="24"/>
        </w:rPr>
        <w:t xml:space="preserve">and what was </w:t>
      </w:r>
      <w:r w:rsidRPr="00906BCD">
        <w:rPr>
          <w:rFonts w:cs="Times New Roman"/>
          <w:iCs/>
          <w:szCs w:val="24"/>
        </w:rPr>
        <w:t>inten</w:t>
      </w:r>
      <w:r w:rsidR="003D3967">
        <w:rPr>
          <w:rFonts w:cs="Times New Roman"/>
          <w:iCs/>
          <w:szCs w:val="24"/>
        </w:rPr>
        <w:t>ded by</w:t>
      </w:r>
      <w:r w:rsidRPr="00906BCD">
        <w:rPr>
          <w:rFonts w:cs="Times New Roman"/>
          <w:iCs/>
          <w:szCs w:val="24"/>
        </w:rPr>
        <w:t xml:space="preserve"> Congress.</w:t>
      </w:r>
      <w:r w:rsidR="009640D5" w:rsidRPr="00906BCD">
        <w:rPr>
          <w:rFonts w:cs="Times New Roman"/>
          <w:iCs/>
          <w:szCs w:val="24"/>
        </w:rPr>
        <w:t xml:space="preserve"> </w:t>
      </w:r>
      <w:r w:rsidR="007276FB" w:rsidRPr="00906BCD">
        <w:rPr>
          <w:rFonts w:cs="Times New Roman"/>
          <w:i/>
          <w:color w:val="000000" w:themeColor="text1"/>
          <w:szCs w:val="24"/>
        </w:rPr>
        <w:t>Asche</w:t>
      </w:r>
      <w:r w:rsidR="007276FB" w:rsidRPr="00906BCD">
        <w:rPr>
          <w:rFonts w:cs="Times New Roman"/>
          <w:color w:val="000000" w:themeColor="text1"/>
          <w:szCs w:val="24"/>
        </w:rPr>
        <w:t>, 147 F. Supp. 3d at 83</w:t>
      </w:r>
      <w:r w:rsidR="007276FB">
        <w:rPr>
          <w:rFonts w:cs="Times New Roman"/>
          <w:color w:val="000000" w:themeColor="text1"/>
          <w:szCs w:val="24"/>
        </w:rPr>
        <w:t>6</w:t>
      </w:r>
      <w:r w:rsidR="007276FB">
        <w:rPr>
          <w:rStyle w:val="CommentReference"/>
          <w:rFonts w:cs="Times New Roman"/>
          <w:sz w:val="24"/>
          <w:szCs w:val="24"/>
        </w:rPr>
        <w:t>.</w:t>
      </w:r>
    </w:p>
    <w:p w14:paraId="267A40FB" w14:textId="403B8B0B" w:rsidR="003A4232" w:rsidRPr="00E824D3" w:rsidRDefault="003A4232" w:rsidP="00D86002">
      <w:pPr>
        <w:widowControl w:val="0"/>
        <w:ind w:firstLine="360"/>
        <w:rPr>
          <w:i/>
        </w:rPr>
      </w:pPr>
      <w:r>
        <w:t>Courts then turn to policy to de</w:t>
      </w:r>
      <w:r w:rsidRPr="00D73FFC">
        <w:t xml:space="preserve">termine which approach to apply. </w:t>
      </w:r>
      <w:r w:rsidR="00D73FFC" w:rsidRPr="00D73FFC">
        <w:rPr>
          <w:i/>
        </w:rPr>
        <w:t>See</w:t>
      </w:r>
      <w:r w:rsidR="00D73FFC" w:rsidRPr="00D73FFC">
        <w:t xml:space="preserve"> </w:t>
      </w:r>
      <w:r w:rsidR="00D73FFC" w:rsidRPr="00D73FFC">
        <w:rPr>
          <w:rFonts w:cs="Times New Roman"/>
          <w:i/>
          <w:szCs w:val="24"/>
        </w:rPr>
        <w:t>Cosmetic Ideas</w:t>
      </w:r>
      <w:r w:rsidR="00D73FFC" w:rsidRPr="00D73FFC">
        <w:rPr>
          <w:rFonts w:cs="Times New Roman"/>
          <w:szCs w:val="24"/>
        </w:rPr>
        <w:t xml:space="preserve">, 606 F.3d at 619. </w:t>
      </w:r>
      <w:r w:rsidRPr="00D73FFC">
        <w:t xml:space="preserve">The Ninth </w:t>
      </w:r>
      <w:r w:rsidR="009E146E">
        <w:t>C</w:t>
      </w:r>
      <w:r w:rsidRPr="00D73FFC">
        <w:t xml:space="preserve">ircuit uses the application approach because it minimalizes delay. </w:t>
      </w:r>
      <w:r w:rsidR="00D73FFC">
        <w:rPr>
          <w:rFonts w:cs="Times New Roman"/>
          <w:i/>
          <w:szCs w:val="24"/>
        </w:rPr>
        <w:t>Id.</w:t>
      </w:r>
      <w:r w:rsidRPr="00D73FFC">
        <w:rPr>
          <w:rFonts w:cs="Times New Roman"/>
          <w:szCs w:val="24"/>
        </w:rPr>
        <w:t xml:space="preserve"> at 619</w:t>
      </w:r>
      <w:r>
        <w:rPr>
          <w:rFonts w:cs="Times New Roman"/>
          <w:szCs w:val="24"/>
        </w:rPr>
        <w:t xml:space="preserve">. </w:t>
      </w:r>
      <w:r w:rsidRPr="00906BCD">
        <w:rPr>
          <w:rFonts w:cs="Times New Roman"/>
          <w:szCs w:val="24"/>
        </w:rPr>
        <w:t xml:space="preserve">The need for affirmative acceptance or rejection causes unnecessary delay which could permit an infringing party to continue to profit from wrongful acts or the copyright owner to </w:t>
      </w:r>
      <w:r w:rsidR="009E146E">
        <w:rPr>
          <w:rFonts w:cs="Times New Roman"/>
          <w:szCs w:val="24"/>
        </w:rPr>
        <w:t xml:space="preserve">be </w:t>
      </w:r>
      <w:r w:rsidRPr="00906BCD">
        <w:rPr>
          <w:rFonts w:cs="Times New Roman"/>
          <w:szCs w:val="24"/>
        </w:rPr>
        <w:t xml:space="preserve">unable to sue due to the statute of limitations. </w:t>
      </w:r>
      <w:r w:rsidRPr="00906BCD">
        <w:rPr>
          <w:rFonts w:cs="Times New Roman"/>
          <w:i/>
          <w:szCs w:val="24"/>
        </w:rPr>
        <w:t xml:space="preserve">Id. </w:t>
      </w:r>
      <w:r w:rsidRPr="00906BCD">
        <w:rPr>
          <w:rFonts w:cs="Times New Roman"/>
          <w:szCs w:val="24"/>
        </w:rPr>
        <w:t xml:space="preserve">at 620. The statute of limitations for infringement is three years and formal acceptance or rejection can take over a year. </w:t>
      </w:r>
      <w:r w:rsidRPr="00906BCD">
        <w:rPr>
          <w:rFonts w:cs="Times New Roman"/>
          <w:i/>
          <w:szCs w:val="24"/>
        </w:rPr>
        <w:t>Id.</w:t>
      </w:r>
      <w:r w:rsidRPr="00906BCD">
        <w:rPr>
          <w:rFonts w:cs="Times New Roman"/>
          <w:szCs w:val="24"/>
        </w:rPr>
        <w:t xml:space="preserve"> at 620. Additionally, the ability to sue whether the application is accepted or rejected suggests that the process is</w:t>
      </w:r>
      <w:r w:rsidR="00D73FFC">
        <w:rPr>
          <w:rFonts w:cs="Times New Roman"/>
          <w:szCs w:val="24"/>
        </w:rPr>
        <w:t xml:space="preserve"> </w:t>
      </w:r>
      <w:r w:rsidR="00307F63">
        <w:rPr>
          <w:rFonts w:cs="Times New Roman"/>
          <w:szCs w:val="24"/>
        </w:rPr>
        <w:t xml:space="preserve">a </w:t>
      </w:r>
      <w:r w:rsidRPr="00906BCD">
        <w:rPr>
          <w:rFonts w:cs="Times New Roman"/>
          <w:szCs w:val="24"/>
        </w:rPr>
        <w:t xml:space="preserve">needless formality. </w:t>
      </w:r>
      <w:r w:rsidRPr="00906BCD">
        <w:rPr>
          <w:rFonts w:cs="Times New Roman"/>
          <w:i/>
          <w:iCs/>
          <w:szCs w:val="24"/>
        </w:rPr>
        <w:t>Chevrestt v. Am. Media, Inc.</w:t>
      </w:r>
      <w:r w:rsidRPr="00906BCD">
        <w:rPr>
          <w:rFonts w:cs="Times New Roman"/>
          <w:szCs w:val="24"/>
        </w:rPr>
        <w:t xml:space="preserve">, 204 F. Supp. 3d 629 at 631 (S.D.N.Y. 2016). </w:t>
      </w:r>
      <w:r>
        <w:rPr>
          <w:rFonts w:cs="Times New Roman"/>
          <w:szCs w:val="24"/>
        </w:rPr>
        <w:t>However, the District of Minnesota finds that the registration approach does not cause delay because copyright owners may request special handling by the Copyright Office</w:t>
      </w:r>
      <w:r w:rsidR="009E146E">
        <w:rPr>
          <w:rFonts w:cs="Times New Roman"/>
          <w:szCs w:val="24"/>
        </w:rPr>
        <w:t xml:space="preserve"> which expedites the approval process</w:t>
      </w:r>
      <w:r>
        <w:rPr>
          <w:rFonts w:cs="Times New Roman"/>
          <w:szCs w:val="24"/>
        </w:rPr>
        <w:t xml:space="preserve">. </w:t>
      </w:r>
      <w:r w:rsidRPr="00906BCD">
        <w:rPr>
          <w:rFonts w:cs="Times New Roman"/>
          <w:i/>
          <w:color w:val="000000" w:themeColor="text1"/>
          <w:szCs w:val="24"/>
        </w:rPr>
        <w:t>Asche</w:t>
      </w:r>
      <w:r w:rsidRPr="00906BCD">
        <w:rPr>
          <w:rFonts w:cs="Times New Roman"/>
          <w:color w:val="000000" w:themeColor="text1"/>
          <w:szCs w:val="24"/>
        </w:rPr>
        <w:t>, 147 F. Supp. 3d at 838</w:t>
      </w:r>
      <w:r>
        <w:rPr>
          <w:rStyle w:val="CommentReference"/>
          <w:rFonts w:cs="Times New Roman"/>
          <w:szCs w:val="24"/>
        </w:rPr>
        <w:t>.</w:t>
      </w:r>
    </w:p>
    <w:p w14:paraId="316CC3DC" w14:textId="34122337" w:rsidR="00042BC8" w:rsidRPr="00906BCD" w:rsidRDefault="00D73FFC" w:rsidP="00D86002">
      <w:pPr>
        <w:widowControl w:val="0"/>
        <w:ind w:firstLine="360"/>
        <w:rPr>
          <w:rFonts w:cs="Times New Roman"/>
          <w:szCs w:val="24"/>
        </w:rPr>
      </w:pPr>
      <w:r>
        <w:rPr>
          <w:rFonts w:cs="Times New Roman"/>
          <w:iCs/>
          <w:color w:val="000000" w:themeColor="text1"/>
          <w:szCs w:val="24"/>
        </w:rPr>
        <w:t xml:space="preserve">The </w:t>
      </w:r>
      <w:r w:rsidR="00640036" w:rsidRPr="00906BCD">
        <w:rPr>
          <w:rFonts w:cs="Times New Roman"/>
          <w:iCs/>
          <w:color w:val="000000" w:themeColor="text1"/>
          <w:szCs w:val="24"/>
        </w:rPr>
        <w:t>Second Circuit abstains</w:t>
      </w:r>
      <w:r w:rsidR="00322793" w:rsidRPr="00906BCD">
        <w:rPr>
          <w:rFonts w:cs="Times New Roman"/>
          <w:iCs/>
          <w:color w:val="000000" w:themeColor="text1"/>
          <w:szCs w:val="24"/>
        </w:rPr>
        <w:t xml:space="preserve"> from joining the circuit split,</w:t>
      </w:r>
      <w:r w:rsidR="00640036" w:rsidRPr="00906BCD">
        <w:rPr>
          <w:rFonts w:cs="Times New Roman"/>
          <w:iCs/>
          <w:color w:val="000000" w:themeColor="text1"/>
          <w:szCs w:val="24"/>
        </w:rPr>
        <w:t xml:space="preserve"> </w:t>
      </w:r>
      <w:r w:rsidR="00640036" w:rsidRPr="00906BCD">
        <w:rPr>
          <w:rFonts w:cs="Times New Roman"/>
          <w:i/>
          <w:iCs/>
          <w:color w:val="000000" w:themeColor="text1"/>
          <w:szCs w:val="24"/>
        </w:rPr>
        <w:t>Psihoyos</w:t>
      </w:r>
      <w:r w:rsidR="00322793" w:rsidRPr="00906BCD">
        <w:rPr>
          <w:rFonts w:cs="Times New Roman"/>
          <w:iCs/>
          <w:color w:val="000000" w:themeColor="text1"/>
          <w:szCs w:val="24"/>
        </w:rPr>
        <w:t xml:space="preserve">, 748 F.3d at 125, however, it </w:t>
      </w:r>
      <w:r w:rsidR="004D5A9C">
        <w:rPr>
          <w:rFonts w:cs="Times New Roman"/>
          <w:iCs/>
          <w:color w:val="000000" w:themeColor="text1"/>
          <w:szCs w:val="24"/>
        </w:rPr>
        <w:t>will</w:t>
      </w:r>
      <w:r w:rsidR="00322793" w:rsidRPr="00906BCD">
        <w:rPr>
          <w:rFonts w:cs="Times New Roman"/>
          <w:iCs/>
          <w:color w:val="000000" w:themeColor="text1"/>
          <w:szCs w:val="24"/>
        </w:rPr>
        <w:t xml:space="preserve"> likely follow the registration approach because </w:t>
      </w:r>
      <w:r w:rsidR="004D5A9C">
        <w:rPr>
          <w:rFonts w:cs="Times New Roman"/>
          <w:iCs/>
          <w:color w:val="000000" w:themeColor="text1"/>
          <w:szCs w:val="24"/>
        </w:rPr>
        <w:t xml:space="preserve">almost all its </w:t>
      </w:r>
      <w:r w:rsidR="00322793" w:rsidRPr="00906BCD">
        <w:rPr>
          <w:rFonts w:cs="Times New Roman"/>
          <w:iCs/>
          <w:color w:val="000000" w:themeColor="text1"/>
          <w:szCs w:val="24"/>
        </w:rPr>
        <w:t>district</w:t>
      </w:r>
      <w:r w:rsidR="004D5A9C">
        <w:rPr>
          <w:rFonts w:cs="Times New Roman"/>
          <w:iCs/>
          <w:color w:val="000000" w:themeColor="text1"/>
          <w:szCs w:val="24"/>
        </w:rPr>
        <w:t xml:space="preserve"> courts</w:t>
      </w:r>
      <w:r w:rsidR="00322793" w:rsidRPr="00906BCD">
        <w:rPr>
          <w:rFonts w:cs="Times New Roman"/>
          <w:iCs/>
          <w:color w:val="000000" w:themeColor="text1"/>
          <w:szCs w:val="24"/>
        </w:rPr>
        <w:t xml:space="preserve"> </w:t>
      </w:r>
      <w:r w:rsidR="008C135B" w:rsidRPr="00906BCD">
        <w:rPr>
          <w:rFonts w:cs="Times New Roman"/>
          <w:iCs/>
          <w:color w:val="000000" w:themeColor="text1"/>
          <w:szCs w:val="24"/>
        </w:rPr>
        <w:t>hold</w:t>
      </w:r>
      <w:r w:rsidR="00807BCE" w:rsidRPr="00906BCD">
        <w:rPr>
          <w:rFonts w:cs="Times New Roman"/>
          <w:iCs/>
          <w:color w:val="000000" w:themeColor="text1"/>
          <w:szCs w:val="24"/>
        </w:rPr>
        <w:t xml:space="preserve"> that application for registration is </w:t>
      </w:r>
      <w:r w:rsidR="004D5A9C">
        <w:rPr>
          <w:rFonts w:cs="Times New Roman"/>
          <w:iCs/>
          <w:color w:val="000000" w:themeColor="text1"/>
          <w:szCs w:val="24"/>
        </w:rPr>
        <w:t>in</w:t>
      </w:r>
      <w:r w:rsidR="00380EF7" w:rsidRPr="00906BCD">
        <w:rPr>
          <w:rFonts w:cs="Times New Roman"/>
          <w:iCs/>
          <w:color w:val="000000" w:themeColor="text1"/>
          <w:szCs w:val="24"/>
        </w:rPr>
        <w:t>sufficient for bringing suit as required by § 411(a)</w:t>
      </w:r>
      <w:r w:rsidR="00807BCE" w:rsidRPr="00906BCD">
        <w:rPr>
          <w:rFonts w:cs="Times New Roman"/>
          <w:iCs/>
          <w:color w:val="000000" w:themeColor="text1"/>
          <w:szCs w:val="24"/>
        </w:rPr>
        <w:t xml:space="preserve">. </w:t>
      </w:r>
      <w:r w:rsidR="00551C4B">
        <w:rPr>
          <w:rFonts w:cs="Times New Roman"/>
          <w:iCs/>
          <w:color w:val="000000" w:themeColor="text1"/>
          <w:szCs w:val="24"/>
        </w:rPr>
        <w:t xml:space="preserve">17 U.S.C. § 411(a). </w:t>
      </w:r>
      <w:r w:rsidR="00835EB0">
        <w:rPr>
          <w:rFonts w:cs="Times New Roman"/>
          <w:iCs/>
          <w:color w:val="000000" w:themeColor="text1"/>
          <w:szCs w:val="24"/>
        </w:rPr>
        <w:t>T</w:t>
      </w:r>
      <w:r w:rsidR="008C135B" w:rsidRPr="00906BCD">
        <w:rPr>
          <w:rFonts w:cs="Times New Roman"/>
          <w:iCs/>
          <w:color w:val="000000" w:themeColor="text1"/>
          <w:szCs w:val="24"/>
        </w:rPr>
        <w:t xml:space="preserve">he Western, Eastern, Northern, and Southern Districts of New York apply the registration approach. </w:t>
      </w:r>
      <w:r w:rsidR="00807BCE" w:rsidRPr="00906BCD">
        <w:rPr>
          <w:rFonts w:cs="Times New Roman"/>
          <w:i/>
          <w:iCs/>
          <w:color w:val="000000" w:themeColor="text1"/>
          <w:szCs w:val="24"/>
        </w:rPr>
        <w:t>Lumetrics, Inc. v. Blalock</w:t>
      </w:r>
      <w:r w:rsidR="00807BCE" w:rsidRPr="00906BCD">
        <w:rPr>
          <w:rFonts w:cs="Times New Roman"/>
          <w:iCs/>
          <w:color w:val="000000" w:themeColor="text1"/>
          <w:szCs w:val="24"/>
        </w:rPr>
        <w:t>, 23 F. Supp.</w:t>
      </w:r>
      <w:r w:rsidR="009E146E">
        <w:rPr>
          <w:rFonts w:cs="Times New Roman"/>
          <w:iCs/>
          <w:color w:val="000000" w:themeColor="text1"/>
          <w:szCs w:val="24"/>
        </w:rPr>
        <w:t xml:space="preserve"> </w:t>
      </w:r>
      <w:r w:rsidR="00807BCE" w:rsidRPr="00906BCD">
        <w:rPr>
          <w:rFonts w:cs="Times New Roman"/>
          <w:iCs/>
          <w:color w:val="000000" w:themeColor="text1"/>
          <w:szCs w:val="24"/>
        </w:rPr>
        <w:t>3d 138 (W.D.N.Y. 2014);</w:t>
      </w:r>
      <w:r w:rsidR="00807BCE" w:rsidRPr="00906BCD">
        <w:rPr>
          <w:rFonts w:cs="Times New Roman"/>
          <w:i/>
          <w:iCs/>
          <w:color w:val="000000" w:themeColor="text1"/>
          <w:szCs w:val="24"/>
        </w:rPr>
        <w:t xml:space="preserve"> </w:t>
      </w:r>
      <w:r w:rsidR="00140A78" w:rsidRPr="00906BCD">
        <w:rPr>
          <w:rFonts w:cs="Times New Roman"/>
          <w:i/>
          <w:iCs/>
          <w:color w:val="000000" w:themeColor="text1"/>
          <w:szCs w:val="24"/>
        </w:rPr>
        <w:t xml:space="preserve">Capitol Records, Inc. v. </w:t>
      </w:r>
      <w:bookmarkStart w:id="2" w:name="_Hlk497569597"/>
      <w:r w:rsidR="00140A78" w:rsidRPr="00906BCD">
        <w:rPr>
          <w:rFonts w:cs="Times New Roman"/>
          <w:i/>
          <w:iCs/>
          <w:color w:val="000000" w:themeColor="text1"/>
          <w:szCs w:val="24"/>
        </w:rPr>
        <w:t xml:space="preserve">Wings </w:t>
      </w:r>
      <w:r w:rsidR="001776DF">
        <w:rPr>
          <w:rFonts w:cs="Times New Roman"/>
          <w:i/>
          <w:iCs/>
          <w:color w:val="000000" w:themeColor="text1"/>
          <w:szCs w:val="24"/>
        </w:rPr>
        <w:t>Dig.</w:t>
      </w:r>
      <w:r w:rsidR="00140A78" w:rsidRPr="00906BCD">
        <w:rPr>
          <w:rFonts w:cs="Times New Roman"/>
          <w:i/>
          <w:iCs/>
          <w:color w:val="000000" w:themeColor="text1"/>
          <w:szCs w:val="24"/>
        </w:rPr>
        <w:t xml:space="preserve"> Corp</w:t>
      </w:r>
      <w:r w:rsidR="00140A78" w:rsidRPr="00906BCD">
        <w:rPr>
          <w:rFonts w:cs="Times New Roman"/>
          <w:iCs/>
          <w:color w:val="000000" w:themeColor="text1"/>
          <w:szCs w:val="24"/>
        </w:rPr>
        <w:t>., 218 F.</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 xml:space="preserve">2d </w:t>
      </w:r>
      <w:bookmarkEnd w:id="2"/>
      <w:r w:rsidR="00EE2E77" w:rsidRPr="00906BCD">
        <w:rPr>
          <w:rFonts w:cs="Times New Roman"/>
          <w:iCs/>
          <w:color w:val="000000" w:themeColor="text1"/>
          <w:szCs w:val="24"/>
        </w:rPr>
        <w:t>280 (E.D.</w:t>
      </w:r>
      <w:r w:rsidR="00140A78" w:rsidRPr="00906BCD">
        <w:rPr>
          <w:rFonts w:cs="Times New Roman"/>
          <w:iCs/>
          <w:color w:val="000000" w:themeColor="text1"/>
          <w:szCs w:val="24"/>
        </w:rPr>
        <w:t>N.Y. 2002);</w:t>
      </w:r>
      <w:r w:rsidR="00906BCD" w:rsidRPr="00906BCD">
        <w:rPr>
          <w:rFonts w:cs="Times New Roman"/>
          <w:i/>
          <w:iCs/>
          <w:szCs w:val="24"/>
        </w:rPr>
        <w:t xml:space="preserve"> Rommel v. Laffey</w:t>
      </w:r>
      <w:r w:rsidR="00906BCD" w:rsidRPr="00906BCD">
        <w:rPr>
          <w:rFonts w:cs="Times New Roman"/>
          <w:szCs w:val="24"/>
        </w:rPr>
        <w:t>, 194 F.R.D. 441, at 443 (N.D.N.Y 2000);</w:t>
      </w:r>
      <w:r w:rsidR="00140A78" w:rsidRPr="00906BCD">
        <w:rPr>
          <w:rFonts w:cs="Times New Roman"/>
          <w:i/>
          <w:iCs/>
          <w:color w:val="000000" w:themeColor="text1"/>
          <w:szCs w:val="24"/>
        </w:rPr>
        <w:t xml:space="preserve"> </w:t>
      </w:r>
      <w:r w:rsidR="00807BCE" w:rsidRPr="00906BCD">
        <w:rPr>
          <w:rFonts w:cs="Times New Roman"/>
          <w:i/>
          <w:iCs/>
          <w:color w:val="000000" w:themeColor="text1"/>
          <w:szCs w:val="24"/>
        </w:rPr>
        <w:t>Silver v. Lavandeira</w:t>
      </w:r>
      <w:r w:rsidR="00807BCE" w:rsidRPr="00906BCD">
        <w:rPr>
          <w:rFonts w:cs="Times New Roman"/>
          <w:iCs/>
          <w:color w:val="000000" w:themeColor="text1"/>
          <w:szCs w:val="24"/>
        </w:rPr>
        <w:t xml:space="preserve">, No. 08 Civ. 6522 (JSF) (DF), 2009 WL 513031 (S.D.N.Y. Feb. 26, 2009); </w:t>
      </w:r>
      <w:r w:rsidR="00807BCE" w:rsidRPr="00906BCD">
        <w:rPr>
          <w:rFonts w:cs="Times New Roman"/>
          <w:i/>
          <w:iCs/>
          <w:color w:val="000000" w:themeColor="text1"/>
          <w:szCs w:val="24"/>
        </w:rPr>
        <w:t>Zuma Press, Inc. v. Getty Images (US), Inc.</w:t>
      </w:r>
      <w:r w:rsidR="00807BCE" w:rsidRPr="00906BCD">
        <w:rPr>
          <w:rFonts w:cs="Times New Roman"/>
          <w:iCs/>
          <w:color w:val="000000" w:themeColor="text1"/>
          <w:szCs w:val="24"/>
        </w:rPr>
        <w:t>, No. 16 Civ. 6110 (AKH), 2017 WL 28</w:t>
      </w:r>
      <w:r w:rsidR="00906BCD" w:rsidRPr="00906BCD">
        <w:rPr>
          <w:rFonts w:cs="Times New Roman"/>
          <w:iCs/>
          <w:color w:val="000000" w:themeColor="text1"/>
          <w:szCs w:val="24"/>
        </w:rPr>
        <w:t xml:space="preserve">29517 (S.D.N.Y. June 29, 2017); </w:t>
      </w:r>
      <w:r w:rsidR="00906BCD" w:rsidRPr="00906BCD">
        <w:rPr>
          <w:rFonts w:cs="Times New Roman"/>
          <w:i/>
          <w:iCs/>
          <w:color w:val="000000" w:themeColor="text1"/>
          <w:szCs w:val="24"/>
        </w:rPr>
        <w:t>but see</w:t>
      </w:r>
      <w:r w:rsidR="00906BCD" w:rsidRPr="00906BCD">
        <w:rPr>
          <w:rFonts w:cs="Times New Roman"/>
          <w:i/>
          <w:iCs/>
          <w:szCs w:val="24"/>
        </w:rPr>
        <w:t xml:space="preserve"> Well–Made Toy Mfg. Corp. v. Goffa Int'l Corp</w:t>
      </w:r>
      <w:r w:rsidR="00906BCD" w:rsidRPr="00906BCD">
        <w:rPr>
          <w:rFonts w:cs="Times New Roman"/>
          <w:iCs/>
          <w:szCs w:val="24"/>
        </w:rPr>
        <w:t>., 210 F.</w:t>
      </w:r>
      <w:r w:rsidR="009E146E">
        <w:rPr>
          <w:rFonts w:cs="Times New Roman"/>
          <w:iCs/>
          <w:szCs w:val="24"/>
        </w:rPr>
        <w:t xml:space="preserve"> </w:t>
      </w:r>
      <w:r w:rsidR="00906BCD" w:rsidRPr="00906BCD">
        <w:rPr>
          <w:rFonts w:cs="Times New Roman"/>
          <w:iCs/>
          <w:szCs w:val="24"/>
        </w:rPr>
        <w:t>Supp.</w:t>
      </w:r>
      <w:r w:rsidR="009E146E">
        <w:rPr>
          <w:rFonts w:cs="Times New Roman"/>
          <w:iCs/>
          <w:szCs w:val="24"/>
        </w:rPr>
        <w:t xml:space="preserve"> </w:t>
      </w:r>
      <w:r w:rsidR="00906BCD" w:rsidRPr="00906BCD">
        <w:rPr>
          <w:rFonts w:cs="Times New Roman"/>
          <w:iCs/>
          <w:szCs w:val="24"/>
        </w:rPr>
        <w:t>2d 147, 157 (E.D.N.Y.2002)</w:t>
      </w:r>
      <w:r w:rsidR="00906BCD" w:rsidRPr="00906BCD">
        <w:rPr>
          <w:rFonts w:cs="Times New Roman"/>
          <w:iCs/>
          <w:color w:val="000000" w:themeColor="text1"/>
          <w:szCs w:val="24"/>
        </w:rPr>
        <w:t xml:space="preserve">; </w:t>
      </w:r>
      <w:r w:rsidR="00906BCD" w:rsidRPr="00906BCD">
        <w:rPr>
          <w:rFonts w:cs="Times New Roman"/>
          <w:i/>
          <w:iCs/>
          <w:szCs w:val="24"/>
        </w:rPr>
        <w:t>Havens v. Time Warner, Inc.</w:t>
      </w:r>
      <w:r w:rsidR="00906BCD" w:rsidRPr="00906BCD">
        <w:rPr>
          <w:rFonts w:cs="Times New Roman"/>
          <w:szCs w:val="24"/>
        </w:rPr>
        <w:t>, 896 F.</w:t>
      </w:r>
      <w:r w:rsidR="009E146E">
        <w:rPr>
          <w:rFonts w:cs="Times New Roman"/>
          <w:szCs w:val="24"/>
        </w:rPr>
        <w:t xml:space="preserve"> </w:t>
      </w:r>
      <w:r w:rsidR="00906BCD" w:rsidRPr="00906BCD">
        <w:rPr>
          <w:rFonts w:cs="Times New Roman"/>
          <w:szCs w:val="24"/>
        </w:rPr>
        <w:t>Supp.</w:t>
      </w:r>
      <w:r w:rsidR="009E146E">
        <w:rPr>
          <w:rFonts w:cs="Times New Roman"/>
          <w:szCs w:val="24"/>
        </w:rPr>
        <w:t xml:space="preserve"> </w:t>
      </w:r>
      <w:r w:rsidR="00906BCD" w:rsidRPr="00906BCD">
        <w:rPr>
          <w:rFonts w:cs="Times New Roman"/>
          <w:szCs w:val="24"/>
        </w:rPr>
        <w:t>141 (S.D.N.Y 1995).</w:t>
      </w:r>
      <w:r w:rsidR="00906BCD" w:rsidRPr="00906BCD">
        <w:rPr>
          <w:rFonts w:cs="Times New Roman"/>
          <w:iCs/>
          <w:color w:val="000000" w:themeColor="text1"/>
          <w:szCs w:val="24"/>
        </w:rPr>
        <w:t xml:space="preserve"> </w:t>
      </w:r>
      <w:r w:rsidR="001840B3">
        <w:rPr>
          <w:rFonts w:cs="Times New Roman"/>
          <w:szCs w:val="24"/>
        </w:rPr>
        <w:t xml:space="preserve">The registration approach is more faithful to statutory construction because </w:t>
      </w:r>
      <w:r w:rsidR="00D45051">
        <w:rPr>
          <w:rFonts w:cs="Times New Roman"/>
          <w:szCs w:val="24"/>
        </w:rPr>
        <w:t>despite ambiguous</w:t>
      </w:r>
      <w:r w:rsidR="001840B3">
        <w:rPr>
          <w:rFonts w:cs="Times New Roman"/>
          <w:szCs w:val="24"/>
        </w:rPr>
        <w:t xml:space="preserve"> language in § 411(a), the statute clearly distinguishes between application and registration in other sections, and the Copyright Office itself </w:t>
      </w:r>
      <w:r w:rsidR="009E146E">
        <w:rPr>
          <w:rFonts w:cs="Times New Roman"/>
          <w:szCs w:val="24"/>
        </w:rPr>
        <w:t>believes the intent of Congress was to require affirmative action by the Copyright Office.</w:t>
      </w:r>
    </w:p>
    <w:p w14:paraId="2B58481C" w14:textId="5041DBD6" w:rsidR="00A80BF7" w:rsidRPr="00906BCD" w:rsidRDefault="00835EB0" w:rsidP="00D86002">
      <w:pPr>
        <w:widowControl w:val="0"/>
        <w:ind w:firstLine="360"/>
        <w:rPr>
          <w:rFonts w:cs="Times New Roman"/>
          <w:szCs w:val="24"/>
        </w:rPr>
      </w:pPr>
      <w:r>
        <w:rPr>
          <w:rFonts w:cs="Times New Roman"/>
          <w:szCs w:val="24"/>
        </w:rPr>
        <w:t>T</w:t>
      </w:r>
      <w:r w:rsidRPr="00906BCD">
        <w:rPr>
          <w:rFonts w:cs="Times New Roman"/>
          <w:szCs w:val="24"/>
        </w:rPr>
        <w:t xml:space="preserve">he </w:t>
      </w:r>
      <w:r w:rsidR="00D45051">
        <w:rPr>
          <w:rFonts w:cs="Times New Roman"/>
          <w:szCs w:val="24"/>
        </w:rPr>
        <w:t>S.D.N.Y</w:t>
      </w:r>
      <w:r w:rsidRPr="00906BCD">
        <w:rPr>
          <w:rFonts w:cs="Times New Roman"/>
          <w:szCs w:val="24"/>
        </w:rPr>
        <w:t xml:space="preserve"> </w:t>
      </w:r>
      <w:r>
        <w:rPr>
          <w:rFonts w:cs="Times New Roman"/>
          <w:szCs w:val="24"/>
        </w:rPr>
        <w:t xml:space="preserve">will rule </w:t>
      </w:r>
      <w:r w:rsidR="00A80BF7" w:rsidRPr="00906BCD">
        <w:rPr>
          <w:rFonts w:cs="Times New Roman"/>
          <w:szCs w:val="24"/>
        </w:rPr>
        <w:t xml:space="preserve">Janeway’s registration as insufficient because </w:t>
      </w:r>
      <w:r>
        <w:rPr>
          <w:rFonts w:cs="Times New Roman"/>
          <w:szCs w:val="24"/>
        </w:rPr>
        <w:t xml:space="preserve">it </w:t>
      </w:r>
      <w:r w:rsidR="00A80BF7" w:rsidRPr="00906BCD">
        <w:rPr>
          <w:rFonts w:cs="Times New Roman"/>
          <w:szCs w:val="24"/>
        </w:rPr>
        <w:t xml:space="preserve">will </w:t>
      </w:r>
      <w:r w:rsidR="00D45051">
        <w:rPr>
          <w:rFonts w:cs="Times New Roman"/>
          <w:szCs w:val="24"/>
        </w:rPr>
        <w:t>likely</w:t>
      </w:r>
      <w:r w:rsidR="00A80BF7" w:rsidRPr="00906BCD">
        <w:rPr>
          <w:rFonts w:cs="Times New Roman"/>
          <w:szCs w:val="24"/>
        </w:rPr>
        <w:t xml:space="preserve"> use the registration approach</w:t>
      </w:r>
      <w:r w:rsidR="00640036" w:rsidRPr="00906BCD">
        <w:rPr>
          <w:rFonts w:cs="Times New Roman"/>
          <w:szCs w:val="24"/>
        </w:rPr>
        <w:t xml:space="preserve">. </w:t>
      </w:r>
      <w:r>
        <w:rPr>
          <w:rFonts w:cs="Times New Roman"/>
          <w:szCs w:val="24"/>
        </w:rPr>
        <w:t>T</w:t>
      </w:r>
      <w:r w:rsidR="00A80BF7" w:rsidRPr="00906BCD">
        <w:rPr>
          <w:rFonts w:cs="Times New Roman"/>
          <w:szCs w:val="24"/>
        </w:rPr>
        <w:t xml:space="preserve">he </w:t>
      </w:r>
      <w:r w:rsidR="00D45051">
        <w:rPr>
          <w:rFonts w:cs="Times New Roman"/>
          <w:szCs w:val="24"/>
        </w:rPr>
        <w:t>S.D.N.Y.</w:t>
      </w:r>
      <w:r w:rsidR="00A80BF7" w:rsidRPr="00906BCD">
        <w:rPr>
          <w:rFonts w:cs="Times New Roman"/>
          <w:szCs w:val="24"/>
        </w:rPr>
        <w:t xml:space="preserve"> </w:t>
      </w:r>
      <w:r w:rsidR="00EE2E77" w:rsidRPr="00906BCD">
        <w:rPr>
          <w:rFonts w:cs="Times New Roman"/>
          <w:szCs w:val="24"/>
        </w:rPr>
        <w:t>has</w:t>
      </w:r>
      <w:r w:rsidR="00A80BF7" w:rsidRPr="00906BCD">
        <w:rPr>
          <w:rFonts w:cs="Times New Roman"/>
          <w:szCs w:val="24"/>
        </w:rPr>
        <w:t xml:space="preserve"> almost unanimously used the registration approach.</w:t>
      </w:r>
      <w:r w:rsidR="00EE2E77" w:rsidRPr="00906BCD">
        <w:rPr>
          <w:rFonts w:cs="Times New Roman"/>
          <w:szCs w:val="24"/>
        </w:rPr>
        <w:t xml:space="preserve"> </w:t>
      </w:r>
      <w:r w:rsidR="00A83C49" w:rsidRPr="00906BCD">
        <w:rPr>
          <w:rFonts w:cs="Times New Roman"/>
          <w:i/>
          <w:iCs/>
          <w:color w:val="000000" w:themeColor="text1"/>
          <w:szCs w:val="24"/>
        </w:rPr>
        <w:t>Silver</w:t>
      </w:r>
      <w:r w:rsidR="001A33E6" w:rsidRPr="00906BCD">
        <w:rPr>
          <w:rFonts w:cs="Times New Roman"/>
          <w:iCs/>
          <w:color w:val="000000" w:themeColor="text1"/>
          <w:szCs w:val="24"/>
        </w:rPr>
        <w:t>,</w:t>
      </w:r>
      <w:r w:rsidR="00A83C49" w:rsidRPr="00906BCD">
        <w:rPr>
          <w:rFonts w:cs="Times New Roman"/>
          <w:i/>
          <w:iCs/>
          <w:color w:val="000000" w:themeColor="text1"/>
          <w:szCs w:val="24"/>
        </w:rPr>
        <w:t xml:space="preserve"> </w:t>
      </w:r>
      <w:r w:rsidR="001A33E6" w:rsidRPr="00906BCD">
        <w:rPr>
          <w:rFonts w:cs="Times New Roman"/>
          <w:iCs/>
          <w:color w:val="000000" w:themeColor="text1"/>
          <w:szCs w:val="24"/>
        </w:rPr>
        <w:t>2009 WL 513031, at *5</w:t>
      </w:r>
      <w:r w:rsidR="00EB3875" w:rsidRPr="00906BCD">
        <w:rPr>
          <w:rFonts w:cs="Times New Roman"/>
          <w:szCs w:val="24"/>
        </w:rPr>
        <w:t>;</w:t>
      </w:r>
      <w:r w:rsidR="00A80BF7" w:rsidRPr="00906BCD">
        <w:rPr>
          <w:rFonts w:cs="Times New Roman"/>
          <w:i/>
          <w:szCs w:val="24"/>
        </w:rPr>
        <w:t xml:space="preserve"> but </w:t>
      </w:r>
      <w:r w:rsidR="001A33E6" w:rsidRPr="00906BCD">
        <w:rPr>
          <w:rFonts w:cs="Times New Roman"/>
          <w:i/>
          <w:szCs w:val="24"/>
        </w:rPr>
        <w:t xml:space="preserve">see </w:t>
      </w:r>
      <w:r w:rsidR="00A80BF7" w:rsidRPr="00906BCD">
        <w:rPr>
          <w:rFonts w:cs="Times New Roman"/>
          <w:i/>
          <w:szCs w:val="24"/>
        </w:rPr>
        <w:t>Chevrestt</w:t>
      </w:r>
      <w:r w:rsidR="00EB3875" w:rsidRPr="00906BCD">
        <w:rPr>
          <w:rFonts w:cs="Times New Roman"/>
          <w:szCs w:val="24"/>
        </w:rPr>
        <w:t>, 204 F.</w:t>
      </w:r>
      <w:r w:rsidR="007A6162" w:rsidRPr="00906BCD">
        <w:rPr>
          <w:rFonts w:cs="Times New Roman"/>
          <w:szCs w:val="24"/>
        </w:rPr>
        <w:t xml:space="preserve"> </w:t>
      </w:r>
      <w:r w:rsidR="00EB3875" w:rsidRPr="00906BCD">
        <w:rPr>
          <w:rFonts w:cs="Times New Roman"/>
          <w:szCs w:val="24"/>
        </w:rPr>
        <w:t>Supp.</w:t>
      </w:r>
      <w:r w:rsidR="007A6162" w:rsidRPr="00906BCD">
        <w:rPr>
          <w:rFonts w:cs="Times New Roman"/>
          <w:szCs w:val="24"/>
        </w:rPr>
        <w:t xml:space="preserve"> </w:t>
      </w:r>
      <w:r w:rsidR="00EB3875" w:rsidRPr="00906BCD">
        <w:rPr>
          <w:rFonts w:cs="Times New Roman"/>
          <w:szCs w:val="24"/>
        </w:rPr>
        <w:t xml:space="preserve">3d at </w:t>
      </w:r>
      <w:r w:rsidR="00140A78" w:rsidRPr="00906BCD">
        <w:rPr>
          <w:rFonts w:cs="Times New Roman"/>
          <w:szCs w:val="24"/>
        </w:rPr>
        <w:t>631</w:t>
      </w:r>
      <w:r w:rsidR="00A80BF7" w:rsidRPr="00906BCD">
        <w:rPr>
          <w:rFonts w:cs="Times New Roman"/>
          <w:i/>
          <w:szCs w:val="24"/>
        </w:rPr>
        <w:t>.</w:t>
      </w:r>
      <w:r w:rsidR="00807BCE" w:rsidRPr="00906BCD">
        <w:rPr>
          <w:rFonts w:cs="Times New Roman"/>
          <w:i/>
          <w:szCs w:val="24"/>
        </w:rPr>
        <w:t xml:space="preserve"> </w:t>
      </w:r>
      <w:r w:rsidR="00380EF7" w:rsidRPr="00906BCD">
        <w:rPr>
          <w:rFonts w:cs="Times New Roman"/>
          <w:szCs w:val="24"/>
        </w:rPr>
        <w:t xml:space="preserve">In </w:t>
      </w:r>
      <w:r w:rsidR="00380EF7" w:rsidRPr="00906BCD">
        <w:rPr>
          <w:rFonts w:cs="Times New Roman"/>
          <w:i/>
          <w:szCs w:val="24"/>
        </w:rPr>
        <w:t xml:space="preserve">Wings </w:t>
      </w:r>
      <w:r w:rsidR="001776DF">
        <w:rPr>
          <w:rFonts w:cs="Times New Roman"/>
          <w:i/>
          <w:szCs w:val="24"/>
        </w:rPr>
        <w:t>Dig.</w:t>
      </w:r>
      <w:r w:rsidR="00380EF7" w:rsidRPr="00906BCD">
        <w:rPr>
          <w:rFonts w:cs="Times New Roman"/>
          <w:szCs w:val="24"/>
        </w:rPr>
        <w:t xml:space="preserve">, plaintiff’s pending applications where deemed as insufficient registration under </w:t>
      </w:r>
      <w:r w:rsidR="00085BB9">
        <w:rPr>
          <w:rFonts w:cs="Times New Roman"/>
          <w:szCs w:val="24"/>
        </w:rPr>
        <w:t xml:space="preserve">17 U.S.C. </w:t>
      </w:r>
      <w:r w:rsidR="00380EF7" w:rsidRPr="00906BCD">
        <w:rPr>
          <w:rFonts w:cs="Times New Roman"/>
          <w:szCs w:val="24"/>
        </w:rPr>
        <w:t xml:space="preserve">§ 411(a) because they were not yet accepted or rejected by the Copyright Office, as such defendant’s </w:t>
      </w:r>
      <w:r w:rsidR="00D45051">
        <w:rPr>
          <w:rFonts w:cs="Times New Roman"/>
          <w:szCs w:val="24"/>
        </w:rPr>
        <w:t>Motion to Dismiss</w:t>
      </w:r>
      <w:r w:rsidR="00380EF7" w:rsidRPr="00906BCD">
        <w:rPr>
          <w:rFonts w:cs="Times New Roman"/>
          <w:szCs w:val="24"/>
        </w:rPr>
        <w:t xml:space="preserve"> regarding the infringement was granted.</w:t>
      </w:r>
      <w:r w:rsidR="00380EF7" w:rsidRPr="00906BCD">
        <w:rPr>
          <w:rFonts w:cs="Times New Roman"/>
          <w:iCs/>
          <w:szCs w:val="24"/>
        </w:rPr>
        <w:t xml:space="preserve"> </w:t>
      </w:r>
      <w:r w:rsidR="00296054" w:rsidRPr="00906BCD">
        <w:rPr>
          <w:rFonts w:cs="Times New Roman"/>
          <w:iCs/>
          <w:color w:val="000000" w:themeColor="text1"/>
          <w:szCs w:val="24"/>
        </w:rPr>
        <w:t xml:space="preserve">In </w:t>
      </w:r>
      <w:r w:rsidR="00296054" w:rsidRPr="00906BCD">
        <w:rPr>
          <w:rFonts w:cs="Times New Roman"/>
          <w:i/>
          <w:iCs/>
          <w:color w:val="000000" w:themeColor="text1"/>
          <w:szCs w:val="24"/>
        </w:rPr>
        <w:t>Zuma</w:t>
      </w:r>
      <w:r w:rsidR="00296054" w:rsidRPr="00906BCD">
        <w:rPr>
          <w:rFonts w:cs="Times New Roman"/>
          <w:iCs/>
          <w:color w:val="000000" w:themeColor="text1"/>
          <w:szCs w:val="24"/>
        </w:rPr>
        <w:t xml:space="preserve">, defendant’s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was granted in part </w:t>
      </w:r>
      <w:r w:rsidR="00E3233C">
        <w:rPr>
          <w:rFonts w:cs="Times New Roman"/>
          <w:iCs/>
          <w:color w:val="000000" w:themeColor="text1"/>
          <w:szCs w:val="24"/>
        </w:rPr>
        <w:t>with</w:t>
      </w:r>
      <w:r w:rsidR="00140A78" w:rsidRPr="00906BCD">
        <w:rPr>
          <w:rFonts w:cs="Times New Roman"/>
          <w:iCs/>
          <w:color w:val="000000" w:themeColor="text1"/>
          <w:szCs w:val="24"/>
        </w:rPr>
        <w:t xml:space="preserve"> respect to photographs that did not </w:t>
      </w:r>
      <w:r w:rsidR="00E3233C">
        <w:rPr>
          <w:rFonts w:cs="Times New Roman"/>
          <w:iCs/>
          <w:color w:val="000000" w:themeColor="text1"/>
          <w:szCs w:val="24"/>
        </w:rPr>
        <w:t>have</w:t>
      </w:r>
      <w:r w:rsidR="00140A78" w:rsidRPr="00906BCD">
        <w:rPr>
          <w:rFonts w:cs="Times New Roman"/>
          <w:iCs/>
          <w:color w:val="000000" w:themeColor="text1"/>
          <w:szCs w:val="24"/>
        </w:rPr>
        <w:t xml:space="preserve"> valid copyright registration, because</w:t>
      </w:r>
      <w:r w:rsidR="00E3233C">
        <w:rPr>
          <w:rFonts w:cs="Times New Roman"/>
          <w:iCs/>
          <w:color w:val="000000" w:themeColor="text1"/>
          <w:szCs w:val="24"/>
        </w:rPr>
        <w:t xml:space="preserve"> the applications</w:t>
      </w:r>
      <w:r w:rsidR="00140A78" w:rsidRPr="00906BCD">
        <w:rPr>
          <w:rFonts w:cs="Times New Roman"/>
          <w:iCs/>
          <w:color w:val="000000" w:themeColor="text1"/>
          <w:szCs w:val="24"/>
        </w:rPr>
        <w:t xml:space="preserve"> were still pending</w:t>
      </w:r>
      <w:r w:rsidR="00E3233C">
        <w:rPr>
          <w:rFonts w:cs="Times New Roman"/>
          <w:iCs/>
          <w:color w:val="000000" w:themeColor="text1"/>
          <w:szCs w:val="24"/>
        </w:rPr>
        <w:t xml:space="preserve"> approval from the Copyright Office</w:t>
      </w:r>
      <w:r w:rsidR="00140A78" w:rsidRPr="00906BCD">
        <w:rPr>
          <w:rFonts w:cs="Times New Roman"/>
          <w:iCs/>
          <w:color w:val="000000" w:themeColor="text1"/>
          <w:szCs w:val="24"/>
        </w:rPr>
        <w:t xml:space="preserve">. </w:t>
      </w:r>
      <w:r w:rsidR="008E4AC0">
        <w:rPr>
          <w:rFonts w:cs="Times New Roman"/>
          <w:iCs/>
          <w:color w:val="000000" w:themeColor="text1"/>
          <w:szCs w:val="24"/>
        </w:rPr>
        <w:t>H</w:t>
      </w:r>
      <w:r w:rsidR="00140A78" w:rsidRPr="00906BCD">
        <w:rPr>
          <w:rFonts w:cs="Times New Roman"/>
          <w:iCs/>
          <w:color w:val="000000" w:themeColor="text1"/>
          <w:szCs w:val="24"/>
        </w:rPr>
        <w:t xml:space="preserve">ere, Janeway’s application has not been </w:t>
      </w:r>
      <w:r w:rsidR="00E3233C">
        <w:rPr>
          <w:rFonts w:cs="Times New Roman"/>
          <w:iCs/>
          <w:color w:val="000000" w:themeColor="text1"/>
          <w:szCs w:val="24"/>
        </w:rPr>
        <w:t>accepted</w:t>
      </w:r>
      <w:r w:rsidR="00140A78" w:rsidRPr="00906BCD">
        <w:rPr>
          <w:rFonts w:cs="Times New Roman"/>
          <w:iCs/>
          <w:color w:val="000000" w:themeColor="text1"/>
          <w:szCs w:val="24"/>
        </w:rPr>
        <w:t xml:space="preserve"> or rejected by the Copyright </w:t>
      </w:r>
      <w:r w:rsidR="00BA5D06">
        <w:rPr>
          <w:rFonts w:cs="Times New Roman"/>
          <w:iCs/>
          <w:color w:val="000000" w:themeColor="text1"/>
          <w:szCs w:val="24"/>
        </w:rPr>
        <w:t>O</w:t>
      </w:r>
      <w:r w:rsidR="00140A78" w:rsidRPr="00906BCD">
        <w:rPr>
          <w:rFonts w:cs="Times New Roman"/>
          <w:iCs/>
          <w:color w:val="000000" w:themeColor="text1"/>
          <w:szCs w:val="24"/>
        </w:rPr>
        <w:t xml:space="preserve">ffice, </w:t>
      </w:r>
      <w:r w:rsidR="008E4AC0">
        <w:rPr>
          <w:rFonts w:cs="Times New Roman"/>
          <w:iCs/>
          <w:color w:val="000000" w:themeColor="text1"/>
          <w:szCs w:val="24"/>
        </w:rPr>
        <w:t>therefore</w:t>
      </w:r>
      <w:r w:rsidR="00140A78" w:rsidRPr="00906BCD">
        <w:rPr>
          <w:rFonts w:cs="Times New Roman"/>
          <w:iCs/>
          <w:color w:val="000000" w:themeColor="text1"/>
          <w:szCs w:val="24"/>
        </w:rPr>
        <w:t xml:space="preserve"> Archer’s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will likely be </w:t>
      </w:r>
      <w:r w:rsidR="008E4AC0">
        <w:rPr>
          <w:rFonts w:cs="Times New Roman"/>
          <w:iCs/>
          <w:color w:val="000000" w:themeColor="text1"/>
          <w:szCs w:val="24"/>
        </w:rPr>
        <w:t xml:space="preserve">granted as in </w:t>
      </w:r>
      <w:r w:rsidR="008E4AC0">
        <w:rPr>
          <w:rFonts w:cs="Times New Roman"/>
          <w:i/>
          <w:iCs/>
          <w:color w:val="000000" w:themeColor="text1"/>
          <w:szCs w:val="24"/>
        </w:rPr>
        <w:t xml:space="preserve">Wings </w:t>
      </w:r>
      <w:r w:rsidR="001776DF">
        <w:rPr>
          <w:rFonts w:cs="Times New Roman"/>
          <w:i/>
          <w:iCs/>
          <w:color w:val="000000" w:themeColor="text1"/>
          <w:szCs w:val="24"/>
        </w:rPr>
        <w:t>Dig.</w:t>
      </w:r>
      <w:r w:rsidR="008E4AC0">
        <w:rPr>
          <w:rFonts w:cs="Times New Roman"/>
          <w:i/>
          <w:iCs/>
          <w:color w:val="000000" w:themeColor="text1"/>
          <w:szCs w:val="24"/>
        </w:rPr>
        <w:t xml:space="preserve"> </w:t>
      </w:r>
      <w:r w:rsidR="008E4AC0">
        <w:rPr>
          <w:rFonts w:cs="Times New Roman"/>
          <w:iCs/>
          <w:color w:val="000000" w:themeColor="text1"/>
          <w:szCs w:val="24"/>
        </w:rPr>
        <w:t xml:space="preserve">and </w:t>
      </w:r>
      <w:r w:rsidR="008E4AC0">
        <w:rPr>
          <w:rFonts w:cs="Times New Roman"/>
          <w:i/>
          <w:iCs/>
          <w:color w:val="000000" w:themeColor="text1"/>
          <w:szCs w:val="24"/>
        </w:rPr>
        <w:t>Zuma</w:t>
      </w:r>
      <w:r w:rsidR="00140A78" w:rsidRPr="00906BCD">
        <w:rPr>
          <w:rFonts w:cs="Times New Roman"/>
          <w:iCs/>
          <w:color w:val="000000" w:themeColor="text1"/>
          <w:szCs w:val="24"/>
        </w:rPr>
        <w:t xml:space="preserve">. </w:t>
      </w:r>
      <w:r w:rsidR="008823D3" w:rsidRPr="00906BCD">
        <w:rPr>
          <w:rFonts w:cs="Times New Roman"/>
          <w:iCs/>
          <w:color w:val="000000" w:themeColor="text1"/>
          <w:szCs w:val="24"/>
        </w:rPr>
        <w:t xml:space="preserve">However, if the </w:t>
      </w:r>
      <w:r w:rsidR="008E4AC0">
        <w:rPr>
          <w:rFonts w:cs="Times New Roman"/>
          <w:iCs/>
          <w:color w:val="000000" w:themeColor="text1"/>
          <w:szCs w:val="24"/>
        </w:rPr>
        <w:t>S.D.N.Y.</w:t>
      </w:r>
      <w:r w:rsidR="008823D3" w:rsidRPr="00906BCD">
        <w:rPr>
          <w:rFonts w:cs="Times New Roman"/>
          <w:iCs/>
          <w:color w:val="000000" w:themeColor="text1"/>
          <w:szCs w:val="24"/>
        </w:rPr>
        <w:t xml:space="preserve"> used the application approach, the </w:t>
      </w:r>
      <w:r w:rsidR="008E4AC0">
        <w:rPr>
          <w:rFonts w:cs="Times New Roman"/>
          <w:iCs/>
          <w:color w:val="000000" w:themeColor="text1"/>
          <w:szCs w:val="24"/>
        </w:rPr>
        <w:t>M</w:t>
      </w:r>
      <w:r w:rsidR="008823D3" w:rsidRPr="00906BCD">
        <w:rPr>
          <w:rFonts w:cs="Times New Roman"/>
          <w:iCs/>
          <w:color w:val="000000" w:themeColor="text1"/>
          <w:szCs w:val="24"/>
        </w:rPr>
        <w:t xml:space="preserve">otion </w:t>
      </w:r>
      <w:r w:rsidR="008E4AC0">
        <w:rPr>
          <w:rFonts w:cs="Times New Roman"/>
          <w:iCs/>
          <w:color w:val="000000" w:themeColor="text1"/>
          <w:szCs w:val="24"/>
        </w:rPr>
        <w:t xml:space="preserve">to Dismiss </w:t>
      </w:r>
      <w:r w:rsidR="008823D3" w:rsidRPr="00906BCD">
        <w:rPr>
          <w:rFonts w:cs="Times New Roman"/>
          <w:iCs/>
          <w:color w:val="000000" w:themeColor="text1"/>
          <w:szCs w:val="24"/>
        </w:rPr>
        <w:t xml:space="preserve">would be denied. In </w:t>
      </w:r>
      <w:r w:rsidR="008823D3" w:rsidRPr="00906BCD">
        <w:rPr>
          <w:rFonts w:cs="Times New Roman"/>
          <w:i/>
          <w:iCs/>
          <w:color w:val="000000" w:themeColor="text1"/>
          <w:szCs w:val="24"/>
        </w:rPr>
        <w:t>Chevrestt</w:t>
      </w:r>
      <w:r w:rsidR="008823D3" w:rsidRPr="00906BCD">
        <w:rPr>
          <w:rFonts w:cs="Times New Roman"/>
          <w:iCs/>
          <w:color w:val="000000" w:themeColor="text1"/>
          <w:szCs w:val="24"/>
        </w:rPr>
        <w:t xml:space="preserve">, </w:t>
      </w:r>
      <w:r w:rsidR="00E3233C">
        <w:rPr>
          <w:rFonts w:cs="Times New Roman"/>
          <w:iCs/>
          <w:color w:val="000000" w:themeColor="text1"/>
          <w:szCs w:val="24"/>
        </w:rPr>
        <w:t xml:space="preserve">a </w:t>
      </w:r>
      <w:r w:rsidR="008823D3" w:rsidRPr="00906BCD">
        <w:rPr>
          <w:rFonts w:cs="Times New Roman"/>
          <w:iCs/>
          <w:color w:val="000000" w:themeColor="text1"/>
          <w:szCs w:val="24"/>
        </w:rPr>
        <w:t xml:space="preserve">copyright owner </w:t>
      </w:r>
      <w:r w:rsidR="00E3233C">
        <w:rPr>
          <w:rFonts w:cs="Times New Roman"/>
          <w:iCs/>
          <w:color w:val="000000" w:themeColor="text1"/>
          <w:szCs w:val="24"/>
        </w:rPr>
        <w:t>was allowed to</w:t>
      </w:r>
      <w:r w:rsidR="008823D3" w:rsidRPr="00906BCD">
        <w:rPr>
          <w:rFonts w:cs="Times New Roman"/>
          <w:iCs/>
          <w:color w:val="000000" w:themeColor="text1"/>
          <w:szCs w:val="24"/>
        </w:rPr>
        <w:t xml:space="preserve"> bring infringement action </w:t>
      </w:r>
      <w:r w:rsidR="008E4AC0">
        <w:rPr>
          <w:rFonts w:cs="Times New Roman"/>
          <w:iCs/>
          <w:color w:val="000000" w:themeColor="text1"/>
          <w:szCs w:val="24"/>
        </w:rPr>
        <w:t>when</w:t>
      </w:r>
      <w:r w:rsidR="008823D3" w:rsidRPr="00906BCD">
        <w:rPr>
          <w:rFonts w:cs="Times New Roman"/>
          <w:iCs/>
          <w:color w:val="000000" w:themeColor="text1"/>
          <w:szCs w:val="24"/>
        </w:rPr>
        <w:t xml:space="preserve"> his application had not yet been accepted or rejected. </w:t>
      </w:r>
      <w:r w:rsidR="00640036" w:rsidRPr="00906BCD">
        <w:rPr>
          <w:rFonts w:cs="Times New Roman"/>
          <w:iCs/>
          <w:color w:val="000000" w:themeColor="text1"/>
          <w:szCs w:val="24"/>
        </w:rPr>
        <w:t xml:space="preserve">Here, Janeway’s application has not been accepted or rejected, and if the application approach is used will be allowed to bring suit and </w:t>
      </w:r>
      <w:r w:rsidR="00E3233C">
        <w:rPr>
          <w:rFonts w:cs="Times New Roman"/>
          <w:iCs/>
          <w:color w:val="000000" w:themeColor="text1"/>
          <w:szCs w:val="24"/>
        </w:rPr>
        <w:t>Archer’s</w:t>
      </w:r>
      <w:r w:rsidR="00640036" w:rsidRPr="00906BCD">
        <w:rPr>
          <w:rFonts w:cs="Times New Roman"/>
          <w:iCs/>
          <w:color w:val="000000" w:themeColor="text1"/>
          <w:szCs w:val="24"/>
        </w:rPr>
        <w:t xml:space="preserve"> </w:t>
      </w:r>
      <w:r w:rsidR="00E3233C">
        <w:rPr>
          <w:rFonts w:cs="Times New Roman"/>
          <w:iCs/>
          <w:color w:val="000000" w:themeColor="text1"/>
          <w:szCs w:val="24"/>
        </w:rPr>
        <w:t>Motion to Dismiss</w:t>
      </w:r>
      <w:r w:rsidR="00640036" w:rsidRPr="00906BCD">
        <w:rPr>
          <w:rFonts w:cs="Times New Roman"/>
          <w:iCs/>
          <w:color w:val="000000" w:themeColor="text1"/>
          <w:szCs w:val="24"/>
        </w:rPr>
        <w:t xml:space="preserve"> will be denied. </w:t>
      </w:r>
    </w:p>
    <w:p w14:paraId="4F6F0560" w14:textId="4FC7816F" w:rsidR="00032293" w:rsidRPr="00906BCD" w:rsidRDefault="00032293" w:rsidP="00D86002">
      <w:pPr>
        <w:pStyle w:val="ListParagraph"/>
        <w:widowControl w:val="0"/>
        <w:numPr>
          <w:ilvl w:val="0"/>
          <w:numId w:val="3"/>
        </w:numPr>
        <w:spacing w:line="240" w:lineRule="auto"/>
        <w:ind w:left="720"/>
        <w:rPr>
          <w:rFonts w:cs="Times New Roman"/>
          <w:b/>
          <w:szCs w:val="24"/>
        </w:rPr>
      </w:pPr>
      <w:r w:rsidRPr="00906BCD">
        <w:rPr>
          <w:rFonts w:cs="Times New Roman"/>
          <w:b/>
          <w:szCs w:val="24"/>
        </w:rPr>
        <w:t xml:space="preserve">Janeway will not receive the lenient standard of registration granted for works of </w:t>
      </w:r>
      <w:r w:rsidR="00AC475B">
        <w:rPr>
          <w:rFonts w:cs="Times New Roman"/>
          <w:b/>
          <w:szCs w:val="24"/>
        </w:rPr>
        <w:t xml:space="preserve">visual </w:t>
      </w:r>
      <w:r w:rsidRPr="00906BCD">
        <w:rPr>
          <w:rFonts w:cs="Times New Roman"/>
          <w:b/>
          <w:szCs w:val="24"/>
        </w:rPr>
        <w:t xml:space="preserve">art protected by VARA </w:t>
      </w:r>
      <w:r w:rsidR="00AC475B">
        <w:rPr>
          <w:rFonts w:cs="Times New Roman"/>
          <w:b/>
          <w:szCs w:val="24"/>
        </w:rPr>
        <w:t xml:space="preserve">because </w:t>
      </w:r>
      <w:r w:rsidR="00AD1B04">
        <w:rPr>
          <w:rFonts w:cs="Times New Roman"/>
          <w:b/>
          <w:szCs w:val="24"/>
        </w:rPr>
        <w:t>her music video</w:t>
      </w:r>
      <w:r w:rsidRPr="00906BCD">
        <w:rPr>
          <w:rFonts w:cs="Times New Roman"/>
          <w:b/>
          <w:szCs w:val="24"/>
        </w:rPr>
        <w:t xml:space="preserve"> an audiovisual work and promotional in nature. </w:t>
      </w:r>
      <w:r w:rsidR="00C461F9" w:rsidRPr="00906BCD">
        <w:rPr>
          <w:rFonts w:cs="Times New Roman"/>
          <w:b/>
          <w:szCs w:val="24"/>
        </w:rPr>
        <w:br/>
      </w:r>
    </w:p>
    <w:p w14:paraId="752FDB65" w14:textId="3CBCD827" w:rsidR="007A58FC" w:rsidRPr="00906BCD" w:rsidRDefault="00042BC8" w:rsidP="00D86002">
      <w:pPr>
        <w:widowControl w:val="0"/>
        <w:ind w:firstLine="360"/>
        <w:rPr>
          <w:rFonts w:cs="Times New Roman"/>
          <w:color w:val="212121"/>
          <w:szCs w:val="24"/>
        </w:rPr>
      </w:pPr>
      <w:r w:rsidRPr="00906BCD">
        <w:rPr>
          <w:rFonts w:cs="Times New Roman"/>
          <w:szCs w:val="24"/>
        </w:rPr>
        <w:t>The Copyright Act</w:t>
      </w:r>
      <w:r w:rsidR="00AC475B">
        <w:rPr>
          <w:rFonts w:cs="Times New Roman"/>
          <w:szCs w:val="24"/>
        </w:rPr>
        <w:t xml:space="preserve"> </w:t>
      </w:r>
      <w:r w:rsidRPr="00906BCD">
        <w:rPr>
          <w:rFonts w:cs="Times New Roman"/>
          <w:szCs w:val="24"/>
        </w:rPr>
        <w:t>requires preregistration for civil action for infringement, “</w:t>
      </w:r>
      <w:r w:rsidR="00AD1B04">
        <w:rPr>
          <w:rFonts w:cs="Times New Roman"/>
          <w:szCs w:val="24"/>
        </w:rPr>
        <w:t>[e]</w:t>
      </w:r>
      <w:r w:rsidRPr="00906BCD">
        <w:rPr>
          <w:rFonts w:cs="Times New Roman"/>
          <w:szCs w:val="24"/>
        </w:rPr>
        <w:t>xcept for an action brought for a violation of the rights of the author under section 106A(a)</w:t>
      </w:r>
      <w:r w:rsidR="00E85ACC">
        <w:rPr>
          <w:rFonts w:cs="Times New Roman"/>
          <w:szCs w:val="24"/>
        </w:rPr>
        <w:t>[.]</w:t>
      </w:r>
      <w:r w:rsidRPr="00906BCD">
        <w:rPr>
          <w:rFonts w:cs="Times New Roman"/>
          <w:szCs w:val="24"/>
        </w:rPr>
        <w:t>”</w:t>
      </w:r>
      <w:r w:rsidR="00AC475B">
        <w:rPr>
          <w:rFonts w:cs="Times New Roman"/>
          <w:szCs w:val="24"/>
        </w:rPr>
        <w:t xml:space="preserve"> </w:t>
      </w:r>
      <w:r w:rsidR="00AC475B" w:rsidRPr="00906BCD">
        <w:rPr>
          <w:rFonts w:cs="Times New Roman"/>
          <w:szCs w:val="24"/>
        </w:rPr>
        <w:t>17 U.S.C. § 411(a)</w:t>
      </w:r>
      <w:r w:rsidR="00AC475B">
        <w:rPr>
          <w:rFonts w:cs="Times New Roman"/>
          <w:szCs w:val="24"/>
        </w:rPr>
        <w:t>.</w:t>
      </w:r>
      <w:r w:rsidRPr="00906BCD">
        <w:rPr>
          <w:rFonts w:cs="Times New Roman"/>
          <w:szCs w:val="24"/>
        </w:rPr>
        <w:t xml:space="preserve"> </w:t>
      </w:r>
      <w:r w:rsidR="00290A84">
        <w:rPr>
          <w:rFonts w:cs="Times New Roman"/>
          <w:szCs w:val="24"/>
        </w:rPr>
        <w:t xml:space="preserve">In addition to this lenient registration requirement, </w:t>
      </w:r>
      <w:r w:rsidRPr="00906BCD">
        <w:rPr>
          <w:rFonts w:cs="Times New Roman"/>
          <w:szCs w:val="24"/>
        </w:rPr>
        <w:t>VARA gives visual artists additional rights and control over their works</w:t>
      </w:r>
      <w:r w:rsidR="00112E4C" w:rsidRPr="00906BCD">
        <w:rPr>
          <w:rFonts w:cs="Times New Roman"/>
          <w:szCs w:val="24"/>
        </w:rPr>
        <w:t xml:space="preserve">. VARA only applies to “visual art” which as defined in 17 U.S.C. § 101 </w:t>
      </w:r>
      <w:r w:rsidR="00AC475B">
        <w:rPr>
          <w:rFonts w:cs="Times New Roman"/>
          <w:szCs w:val="24"/>
        </w:rPr>
        <w:t xml:space="preserve">is </w:t>
      </w:r>
      <w:r w:rsidR="00112E4C" w:rsidRPr="00906BCD">
        <w:rPr>
          <w:rFonts w:cs="Times New Roman"/>
          <w:szCs w:val="24"/>
        </w:rPr>
        <w:t>“</w:t>
      </w:r>
      <w:r w:rsidR="00112E4C" w:rsidRPr="00906BCD">
        <w:rPr>
          <w:rFonts w:cs="Times New Roman"/>
          <w:color w:val="212121"/>
          <w:szCs w:val="24"/>
        </w:rPr>
        <w:t xml:space="preserve">a painting, drawing, print, or sculpture, existing in a single copy, in a limited edition of 200 copies or fewer that are signed and consecutively numbered by the </w:t>
      </w:r>
      <w:r w:rsidR="00112E4C" w:rsidRPr="00906BCD">
        <w:rPr>
          <w:rFonts w:cs="Times New Roman"/>
          <w:szCs w:val="24"/>
        </w:rPr>
        <w:t xml:space="preserve">author.” </w:t>
      </w:r>
      <w:r w:rsidR="00347D23" w:rsidRPr="00906BCD">
        <w:rPr>
          <w:rFonts w:cs="Times New Roman"/>
          <w:szCs w:val="24"/>
        </w:rPr>
        <w:t xml:space="preserve">VARA’s protection is limited to works intended for </w:t>
      </w:r>
      <w:r w:rsidR="00347D23" w:rsidRPr="006063F0">
        <w:rPr>
          <w:rFonts w:cs="Times New Roman"/>
          <w:szCs w:val="24"/>
        </w:rPr>
        <w:t xml:space="preserve">exhibition use only. </w:t>
      </w:r>
      <w:r w:rsidR="00EC62EA" w:rsidRPr="006063F0">
        <w:rPr>
          <w:rFonts w:cs="Times New Roman"/>
          <w:i/>
          <w:szCs w:val="24"/>
        </w:rPr>
        <w:t>Pollara v. Seymour</w:t>
      </w:r>
      <w:r w:rsidR="00EC62EA" w:rsidRPr="006063F0">
        <w:rPr>
          <w:rFonts w:cs="Times New Roman"/>
          <w:szCs w:val="24"/>
        </w:rPr>
        <w:t xml:space="preserve">, 344 F.3d 265, 270 (2d Cir.2003). </w:t>
      </w:r>
      <w:r w:rsidR="00AC475B" w:rsidRPr="006063F0">
        <w:rPr>
          <w:rFonts w:cs="Times New Roman"/>
          <w:szCs w:val="24"/>
        </w:rPr>
        <w:t xml:space="preserve">Visual works of art </w:t>
      </w:r>
      <w:r w:rsidR="00112E4C" w:rsidRPr="006063F0">
        <w:rPr>
          <w:rFonts w:cs="Times New Roman"/>
          <w:szCs w:val="24"/>
        </w:rPr>
        <w:t xml:space="preserve">specifically </w:t>
      </w:r>
      <w:r w:rsidR="00982EF8" w:rsidRPr="006063F0">
        <w:rPr>
          <w:rFonts w:cs="Times New Roman"/>
          <w:szCs w:val="24"/>
        </w:rPr>
        <w:t>exclude</w:t>
      </w:r>
      <w:r w:rsidR="00112E4C" w:rsidRPr="006063F0">
        <w:rPr>
          <w:rFonts w:cs="Times New Roman"/>
          <w:szCs w:val="24"/>
        </w:rPr>
        <w:t xml:space="preserve"> audiovisual works and items of a promotional nature. </w:t>
      </w:r>
      <w:r w:rsidR="00AC475B" w:rsidRPr="006063F0">
        <w:rPr>
          <w:rFonts w:cs="Times New Roman"/>
          <w:szCs w:val="24"/>
        </w:rPr>
        <w:t>17 U.S.C. § 101</w:t>
      </w:r>
      <w:r w:rsidR="006063F0">
        <w:rPr>
          <w:rFonts w:cs="Times New Roman"/>
          <w:szCs w:val="24"/>
        </w:rPr>
        <w:t>;</w:t>
      </w:r>
      <w:r w:rsidR="006063F0" w:rsidRPr="006063F0">
        <w:rPr>
          <w:rFonts w:cs="Times New Roman"/>
          <w:szCs w:val="24"/>
        </w:rPr>
        <w:t xml:space="preserve"> </w:t>
      </w:r>
      <w:r w:rsidR="006063F0" w:rsidRPr="00906BCD">
        <w:rPr>
          <w:rFonts w:cs="Times New Roman"/>
          <w:i/>
          <w:szCs w:val="24"/>
        </w:rPr>
        <w:t>Scott v. Carlson,</w:t>
      </w:r>
      <w:r w:rsidR="006063F0" w:rsidRPr="00906BCD">
        <w:rPr>
          <w:rFonts w:cs="Times New Roman"/>
          <w:szCs w:val="24"/>
        </w:rPr>
        <w:t xml:space="preserve"> No. 2:17-CV-10011, 2017 WL 3599249, at *2 (W.D.</w:t>
      </w:r>
      <w:r w:rsidR="006063F0">
        <w:rPr>
          <w:rFonts w:cs="Times New Roman"/>
          <w:szCs w:val="24"/>
        </w:rPr>
        <w:t xml:space="preserve"> </w:t>
      </w:r>
      <w:r w:rsidR="006063F0" w:rsidRPr="00906BCD">
        <w:rPr>
          <w:rFonts w:cs="Times New Roman"/>
          <w:szCs w:val="24"/>
        </w:rPr>
        <w:t>Va. Aug. 21, 2017)</w:t>
      </w:r>
      <w:r w:rsidR="006063F0" w:rsidRPr="00906BCD">
        <w:rPr>
          <w:rFonts w:cs="Times New Roman"/>
          <w:i/>
          <w:szCs w:val="24"/>
        </w:rPr>
        <w:t xml:space="preserve"> </w:t>
      </w:r>
      <w:r w:rsidR="006063F0" w:rsidRPr="00906BCD">
        <w:rPr>
          <w:rFonts w:cs="Times New Roman"/>
          <w:szCs w:val="24"/>
        </w:rPr>
        <w:t>(hold</w:t>
      </w:r>
      <w:r w:rsidR="006063F0" w:rsidRPr="00906BCD">
        <w:rPr>
          <w:rFonts w:cs="Times New Roman"/>
          <w:color w:val="212121"/>
          <w:szCs w:val="24"/>
        </w:rPr>
        <w:t>ing that neither audiovisual material nor promotional logos are visual art, and that their creators do not afford the special rights unde</w:t>
      </w:r>
      <w:r w:rsidR="006063F0" w:rsidRPr="00906BCD">
        <w:rPr>
          <w:rFonts w:cs="Times New Roman"/>
          <w:szCs w:val="24"/>
        </w:rPr>
        <w:t>r § 106(A) because the subsection excludes audiovisual work)</w:t>
      </w:r>
      <w:r w:rsidR="006063F0">
        <w:rPr>
          <w:rFonts w:cs="Times New Roman"/>
          <w:szCs w:val="24"/>
        </w:rPr>
        <w:t>.</w:t>
      </w:r>
      <w:r w:rsidR="006063F0" w:rsidRPr="00906BCD">
        <w:rPr>
          <w:rFonts w:cs="Times New Roman"/>
          <w:szCs w:val="24"/>
        </w:rPr>
        <w:t xml:space="preserve"> </w:t>
      </w:r>
      <w:r w:rsidR="00AD1B04" w:rsidRPr="006063F0">
        <w:rPr>
          <w:rFonts w:cs="Times New Roman"/>
          <w:szCs w:val="24"/>
        </w:rPr>
        <w:t>Promotional works</w:t>
      </w:r>
      <w:r w:rsidR="001F5F4D" w:rsidRPr="006063F0">
        <w:rPr>
          <w:rFonts w:cs="Times New Roman"/>
          <w:szCs w:val="24"/>
        </w:rPr>
        <w:t xml:space="preserve"> include any merchandising, advertising, or promotional items. </w:t>
      </w:r>
      <w:r w:rsidR="00FA60D7">
        <w:rPr>
          <w:rFonts w:cs="Times New Roman"/>
          <w:i/>
          <w:szCs w:val="24"/>
        </w:rPr>
        <w:t xml:space="preserve">See </w:t>
      </w:r>
      <w:r w:rsidR="001F5F4D" w:rsidRPr="006063F0">
        <w:rPr>
          <w:rFonts w:cs="Times New Roman"/>
          <w:i/>
          <w:szCs w:val="24"/>
        </w:rPr>
        <w:t>Wilson</w:t>
      </w:r>
      <w:r w:rsidR="001F5F4D" w:rsidRPr="006063F0">
        <w:rPr>
          <w:rFonts w:cs="Times New Roman"/>
          <w:szCs w:val="24"/>
        </w:rPr>
        <w:t xml:space="preserve"> </w:t>
      </w:r>
      <w:r w:rsidR="001F5F4D" w:rsidRPr="006063F0">
        <w:rPr>
          <w:rFonts w:cs="Times New Roman"/>
          <w:i/>
          <w:szCs w:val="24"/>
        </w:rPr>
        <w:t>v. New Place Casino, L.L.C.</w:t>
      </w:r>
      <w:r w:rsidR="001F5F4D" w:rsidRPr="006063F0">
        <w:rPr>
          <w:rFonts w:cs="Times New Roman"/>
          <w:szCs w:val="24"/>
        </w:rPr>
        <w:t>, No. 1:11C</w:t>
      </w:r>
      <w:r w:rsidR="006063F0" w:rsidRPr="006063F0">
        <w:rPr>
          <w:rFonts w:cs="Times New Roman"/>
          <w:szCs w:val="24"/>
        </w:rPr>
        <w:t>V</w:t>
      </w:r>
      <w:r w:rsidR="001F5F4D" w:rsidRPr="006063F0">
        <w:rPr>
          <w:rFonts w:cs="Times New Roman"/>
          <w:szCs w:val="24"/>
        </w:rPr>
        <w:t>447-HSO-JMR, 2013 WL 870350, at *7 (S.D. Miss.</w:t>
      </w:r>
      <w:r w:rsidR="006063F0" w:rsidRPr="006063F0">
        <w:rPr>
          <w:rFonts w:cs="Times New Roman"/>
          <w:szCs w:val="24"/>
        </w:rPr>
        <w:t xml:space="preserve"> Mar. 7, 2013</w:t>
      </w:r>
      <w:r w:rsidR="006063F0">
        <w:rPr>
          <w:rFonts w:cs="Times New Roman"/>
          <w:szCs w:val="24"/>
        </w:rPr>
        <w:t xml:space="preserve">); </w:t>
      </w:r>
      <w:r w:rsidR="00982EF8" w:rsidRPr="00906BCD">
        <w:rPr>
          <w:rFonts w:cs="Times New Roman"/>
          <w:i/>
          <w:szCs w:val="24"/>
        </w:rPr>
        <w:t>Kleinman v. City of San Marcos</w:t>
      </w:r>
      <w:r w:rsidR="00982EF8" w:rsidRPr="00906BCD">
        <w:rPr>
          <w:rFonts w:cs="Times New Roman"/>
          <w:szCs w:val="24"/>
        </w:rPr>
        <w:t>, 597 F.3d 323</w:t>
      </w:r>
      <w:r w:rsidR="00FA60D7">
        <w:rPr>
          <w:rFonts w:cs="Times New Roman"/>
          <w:szCs w:val="24"/>
        </w:rPr>
        <w:t>, 329</w:t>
      </w:r>
      <w:r w:rsidR="00982EF8" w:rsidRPr="00906BCD">
        <w:rPr>
          <w:rFonts w:cs="Times New Roman"/>
          <w:szCs w:val="24"/>
        </w:rPr>
        <w:t xml:space="preserve"> (5th Cir. 2010)</w:t>
      </w:r>
      <w:r w:rsidR="00982EF8" w:rsidRPr="00906BCD">
        <w:rPr>
          <w:rFonts w:cs="Times New Roman"/>
          <w:i/>
          <w:szCs w:val="24"/>
        </w:rPr>
        <w:t xml:space="preserve"> </w:t>
      </w:r>
      <w:r w:rsidR="00112E4C" w:rsidRPr="00906BCD">
        <w:rPr>
          <w:rFonts w:cs="Times New Roman"/>
          <w:szCs w:val="24"/>
        </w:rPr>
        <w:t xml:space="preserve">(finding </w:t>
      </w:r>
      <w:r w:rsidR="00112E4C" w:rsidRPr="00906BCD">
        <w:rPr>
          <w:rFonts w:cs="Times New Roman"/>
          <w:color w:val="212121"/>
          <w:szCs w:val="24"/>
        </w:rPr>
        <w:t>that an item which was a distinctive symbol of the owner's business did not qualify as a work of visual art</w:t>
      </w:r>
      <w:r w:rsidR="00BA363F" w:rsidRPr="00906BCD">
        <w:rPr>
          <w:rFonts w:cs="Times New Roman"/>
          <w:color w:val="212121"/>
          <w:szCs w:val="24"/>
        </w:rPr>
        <w:t xml:space="preserve"> because</w:t>
      </w:r>
      <w:r w:rsidR="00090D16" w:rsidRPr="00906BCD">
        <w:rPr>
          <w:rFonts w:cs="Times New Roman"/>
          <w:color w:val="212121"/>
          <w:szCs w:val="24"/>
        </w:rPr>
        <w:t xml:space="preserve"> promotional works are excluded by the statute as works of visual art</w:t>
      </w:r>
      <w:r w:rsidR="00112E4C" w:rsidRPr="00906BCD">
        <w:rPr>
          <w:rFonts w:cs="Times New Roman"/>
          <w:color w:val="212121"/>
          <w:szCs w:val="24"/>
        </w:rPr>
        <w:t>).</w:t>
      </w:r>
      <w:r w:rsidR="00C461F9" w:rsidRPr="00906BCD">
        <w:rPr>
          <w:rFonts w:cs="Times New Roman"/>
          <w:color w:val="212121"/>
          <w:szCs w:val="24"/>
        </w:rPr>
        <w:t xml:space="preserve"> </w:t>
      </w:r>
    </w:p>
    <w:p w14:paraId="5057E5CD" w14:textId="72522C52" w:rsidR="00042BC8" w:rsidRPr="00906BCD" w:rsidRDefault="009640D5" w:rsidP="00D86002">
      <w:pPr>
        <w:widowControl w:val="0"/>
        <w:ind w:firstLine="360"/>
        <w:rPr>
          <w:rFonts w:cs="Times New Roman"/>
          <w:color w:val="212121"/>
          <w:szCs w:val="24"/>
        </w:rPr>
      </w:pPr>
      <w:r>
        <w:rPr>
          <w:rFonts w:cs="Times New Roman"/>
          <w:color w:val="212121"/>
          <w:szCs w:val="24"/>
        </w:rPr>
        <w:t xml:space="preserve">Janeway cannot make a claim under VARA because her music video is not a work of visual art. </w:t>
      </w:r>
      <w:r w:rsidR="00C461F9" w:rsidRPr="00906BCD">
        <w:rPr>
          <w:rFonts w:cs="Times New Roman"/>
          <w:color w:val="212121"/>
          <w:szCs w:val="24"/>
        </w:rPr>
        <w:t>Janeway’s use of VARA would allow her to file suit despite not having her registration accepted</w:t>
      </w:r>
      <w:r>
        <w:rPr>
          <w:rFonts w:cs="Times New Roman"/>
          <w:color w:val="212121"/>
          <w:szCs w:val="24"/>
        </w:rPr>
        <w:t xml:space="preserve"> or rejected by the Copyright Office and give her work additional protections. </w:t>
      </w:r>
      <w:r w:rsidR="00FA60D7">
        <w:rPr>
          <w:rFonts w:cs="Times New Roman"/>
          <w:color w:val="212121"/>
          <w:szCs w:val="24"/>
        </w:rPr>
        <w:t xml:space="preserve">In </w:t>
      </w:r>
      <w:r w:rsidR="00FA60D7" w:rsidRPr="00906BCD">
        <w:rPr>
          <w:rFonts w:cs="Times New Roman"/>
          <w:i/>
          <w:color w:val="212121"/>
          <w:szCs w:val="24"/>
        </w:rPr>
        <w:t>Kleinman</w:t>
      </w:r>
      <w:r w:rsidR="00FA60D7" w:rsidRPr="00906BCD">
        <w:rPr>
          <w:rFonts w:cs="Times New Roman"/>
          <w:color w:val="212121"/>
          <w:szCs w:val="24"/>
        </w:rPr>
        <w:t xml:space="preserve">, </w:t>
      </w:r>
      <w:r w:rsidR="00FA60D7">
        <w:rPr>
          <w:rFonts w:cs="Times New Roman"/>
          <w:color w:val="212121"/>
          <w:szCs w:val="24"/>
        </w:rPr>
        <w:t xml:space="preserve">a distinctive symbol of a business was determined to not be a visual work of art and was not granted protection under VARA. Here, Janeway’s </w:t>
      </w:r>
      <w:r w:rsidR="00FA60D7" w:rsidRPr="00906BCD">
        <w:rPr>
          <w:rFonts w:cs="Times New Roman"/>
          <w:color w:val="212121"/>
          <w:szCs w:val="24"/>
        </w:rPr>
        <w:t>music video begins with a five second still shot of her personal logo</w:t>
      </w:r>
      <w:r w:rsidR="00FA60D7">
        <w:rPr>
          <w:rFonts w:cs="Times New Roman"/>
          <w:color w:val="212121"/>
          <w:szCs w:val="24"/>
        </w:rPr>
        <w:t xml:space="preserve">. Like in </w:t>
      </w:r>
      <w:r w:rsidR="00FA60D7">
        <w:rPr>
          <w:rFonts w:cs="Times New Roman"/>
          <w:i/>
          <w:color w:val="212121"/>
          <w:szCs w:val="24"/>
        </w:rPr>
        <w:t xml:space="preserve">Kleinman, </w:t>
      </w:r>
      <w:r w:rsidR="00FA60D7">
        <w:rPr>
          <w:rFonts w:cs="Times New Roman"/>
          <w:color w:val="212121"/>
          <w:szCs w:val="24"/>
        </w:rPr>
        <w:t>Janeway’s logo is a distinctive symbol of her business, and</w:t>
      </w:r>
      <w:r w:rsidR="00A45280">
        <w:rPr>
          <w:rFonts w:cs="Times New Roman"/>
          <w:color w:val="212121"/>
          <w:szCs w:val="24"/>
        </w:rPr>
        <w:t xml:space="preserve"> thus will not be protected by VARA because it is promotional.</w:t>
      </w:r>
      <w:r w:rsidR="00FA60D7">
        <w:rPr>
          <w:rFonts w:cs="Times New Roman"/>
          <w:color w:val="212121"/>
          <w:szCs w:val="24"/>
        </w:rPr>
        <w:t xml:space="preserve"> </w:t>
      </w:r>
      <w:r>
        <w:rPr>
          <w:rFonts w:cs="Times New Roman"/>
          <w:color w:val="212121"/>
          <w:szCs w:val="24"/>
        </w:rPr>
        <w:t>I</w:t>
      </w:r>
      <w:r w:rsidR="00C461F9" w:rsidRPr="00906BCD">
        <w:rPr>
          <w:rFonts w:cs="Times New Roman"/>
          <w:color w:val="212121"/>
          <w:szCs w:val="24"/>
        </w:rPr>
        <w:t xml:space="preserve">n </w:t>
      </w:r>
      <w:r w:rsidR="00C461F9" w:rsidRPr="00906BCD">
        <w:rPr>
          <w:rFonts w:cs="Times New Roman"/>
          <w:i/>
          <w:color w:val="212121"/>
          <w:szCs w:val="24"/>
        </w:rPr>
        <w:t>Scott,</w:t>
      </w:r>
      <w:r w:rsidR="00C461F9" w:rsidRPr="00906BCD">
        <w:rPr>
          <w:rFonts w:cs="Times New Roman"/>
          <w:color w:val="212121"/>
          <w:szCs w:val="24"/>
        </w:rPr>
        <w:t xml:space="preserve"> </w:t>
      </w:r>
      <w:r w:rsidR="00A6613D">
        <w:rPr>
          <w:rFonts w:cs="Times New Roman"/>
          <w:szCs w:val="24"/>
        </w:rPr>
        <w:t xml:space="preserve">it was ruled that a music video that began with a promotional logo </w:t>
      </w:r>
      <w:r w:rsidR="00FA60D7">
        <w:rPr>
          <w:rFonts w:cs="Times New Roman"/>
          <w:szCs w:val="24"/>
        </w:rPr>
        <w:t>was</w:t>
      </w:r>
      <w:r w:rsidR="00A6613D">
        <w:rPr>
          <w:rFonts w:cs="Times New Roman"/>
          <w:szCs w:val="24"/>
        </w:rPr>
        <w:t xml:space="preserve"> not a work of visual art </w:t>
      </w:r>
      <w:r w:rsidR="00FA60D7">
        <w:rPr>
          <w:rFonts w:cs="Times New Roman"/>
          <w:szCs w:val="24"/>
        </w:rPr>
        <w:t xml:space="preserve">because it was an audiovisual work and promotional in nature, </w:t>
      </w:r>
      <w:r w:rsidR="00C461F9" w:rsidRPr="00906BCD">
        <w:rPr>
          <w:rFonts w:cs="Times New Roman"/>
          <w:color w:val="212121"/>
          <w:szCs w:val="24"/>
        </w:rPr>
        <w:t xml:space="preserve">and </w:t>
      </w:r>
      <w:r w:rsidR="00A6613D">
        <w:rPr>
          <w:rFonts w:cs="Times New Roman"/>
          <w:color w:val="212121"/>
          <w:szCs w:val="24"/>
        </w:rPr>
        <w:t xml:space="preserve">so a </w:t>
      </w:r>
      <w:r w:rsidR="00D45051">
        <w:rPr>
          <w:rFonts w:cs="Times New Roman"/>
          <w:color w:val="212121"/>
          <w:szCs w:val="24"/>
        </w:rPr>
        <w:t>Motion to Dismiss</w:t>
      </w:r>
      <w:r w:rsidR="00A6613D">
        <w:rPr>
          <w:rFonts w:cs="Times New Roman"/>
          <w:color w:val="212121"/>
          <w:szCs w:val="24"/>
        </w:rPr>
        <w:t xml:space="preserve"> was granted. Here, Janeway also is seeks protection for a music video that begins with a promotional logo and so Archer’s </w:t>
      </w:r>
      <w:r w:rsidR="00D45051">
        <w:rPr>
          <w:rFonts w:cs="Times New Roman"/>
          <w:color w:val="212121"/>
          <w:szCs w:val="24"/>
        </w:rPr>
        <w:t>Motion to Dismiss</w:t>
      </w:r>
      <w:r w:rsidR="00A6613D">
        <w:rPr>
          <w:rFonts w:cs="Times New Roman"/>
          <w:color w:val="212121"/>
          <w:szCs w:val="24"/>
        </w:rPr>
        <w:t xml:space="preserve"> should be granted. </w:t>
      </w:r>
    </w:p>
    <w:p w14:paraId="2F19EA2D" w14:textId="0933759F" w:rsidR="00977F01" w:rsidRPr="00906BCD" w:rsidRDefault="00977F01" w:rsidP="00D86002">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 xml:space="preserve">Archer may be eligible for </w:t>
      </w:r>
      <w:r w:rsidR="00A82E82">
        <w:rPr>
          <w:rFonts w:cs="Times New Roman"/>
          <w:b/>
          <w:szCs w:val="24"/>
        </w:rPr>
        <w:t>a s</w:t>
      </w:r>
      <w:r w:rsidRPr="00906BCD">
        <w:rPr>
          <w:rFonts w:cs="Times New Roman"/>
          <w:b/>
          <w:szCs w:val="24"/>
        </w:rPr>
        <w:t xml:space="preserve">afe </w:t>
      </w:r>
      <w:r w:rsidR="00A82E82">
        <w:rPr>
          <w:rFonts w:cs="Times New Roman"/>
          <w:b/>
          <w:szCs w:val="24"/>
        </w:rPr>
        <w:t>h</w:t>
      </w:r>
      <w:r w:rsidRPr="00906BCD">
        <w:rPr>
          <w:rFonts w:cs="Times New Roman"/>
          <w:b/>
          <w:szCs w:val="24"/>
        </w:rPr>
        <w:t xml:space="preserve">arbor defense because they are a service provider, ban repeat infringers, and </w:t>
      </w:r>
      <w:r w:rsidR="00A82E82">
        <w:rPr>
          <w:rFonts w:cs="Times New Roman"/>
          <w:b/>
          <w:szCs w:val="24"/>
        </w:rPr>
        <w:t>accommodate</w:t>
      </w:r>
      <w:r w:rsidRPr="00906BCD">
        <w:rPr>
          <w:rFonts w:cs="Times New Roman"/>
          <w:b/>
          <w:szCs w:val="24"/>
        </w:rPr>
        <w:t xml:space="preserve"> standard technical measures as required in the three prongs of the safe harbor </w:t>
      </w:r>
      <w:r w:rsidR="002E7F31">
        <w:rPr>
          <w:rFonts w:cs="Times New Roman"/>
          <w:b/>
          <w:szCs w:val="24"/>
        </w:rPr>
        <w:t xml:space="preserve">defense </w:t>
      </w:r>
      <w:r w:rsidRPr="00906BCD">
        <w:rPr>
          <w:rFonts w:cs="Times New Roman"/>
          <w:b/>
          <w:szCs w:val="24"/>
        </w:rPr>
        <w:t xml:space="preserve">threshold. </w:t>
      </w:r>
      <w:r w:rsidR="0048320B" w:rsidRPr="00906BCD">
        <w:rPr>
          <w:rFonts w:cs="Times New Roman"/>
          <w:b/>
          <w:szCs w:val="24"/>
        </w:rPr>
        <w:br/>
      </w:r>
    </w:p>
    <w:p w14:paraId="010635EE" w14:textId="4FACDAFD" w:rsidR="003D6AFD" w:rsidRPr="00906BCD" w:rsidRDefault="00AD1B04" w:rsidP="00D86002">
      <w:pPr>
        <w:widowControl w:val="0"/>
        <w:ind w:firstLine="360"/>
        <w:rPr>
          <w:rFonts w:cs="Times New Roman"/>
          <w:i/>
          <w:szCs w:val="24"/>
        </w:rPr>
      </w:pPr>
      <w:r>
        <w:rPr>
          <w:rFonts w:cs="Times New Roman"/>
          <w:szCs w:val="24"/>
        </w:rPr>
        <w:t>The Copyright Act</w:t>
      </w:r>
      <w:r w:rsidR="00114558">
        <w:rPr>
          <w:rFonts w:cs="Times New Roman"/>
          <w:szCs w:val="24"/>
        </w:rPr>
        <w:t xml:space="preserve"> </w:t>
      </w:r>
      <w:r w:rsidR="00CB51F8">
        <w:rPr>
          <w:rFonts w:cs="Times New Roman"/>
          <w:szCs w:val="24"/>
        </w:rPr>
        <w:t xml:space="preserve">protects a </w:t>
      </w:r>
      <w:r w:rsidR="00114558">
        <w:rPr>
          <w:rFonts w:cs="Times New Roman"/>
          <w:szCs w:val="24"/>
        </w:rPr>
        <w:t xml:space="preserve">service provider </w:t>
      </w:r>
      <w:r w:rsidR="00A82E82">
        <w:rPr>
          <w:rFonts w:cs="Times New Roman"/>
          <w:szCs w:val="24"/>
        </w:rPr>
        <w:t>from liability</w:t>
      </w:r>
      <w:r w:rsidR="009640D5">
        <w:rPr>
          <w:rFonts w:cs="Times New Roman"/>
          <w:szCs w:val="24"/>
        </w:rPr>
        <w:t xml:space="preserve"> </w:t>
      </w:r>
      <w:r w:rsidR="00114558">
        <w:rPr>
          <w:rFonts w:cs="Times New Roman"/>
          <w:szCs w:val="24"/>
        </w:rPr>
        <w:t xml:space="preserve">only if they have reasonably implemented </w:t>
      </w:r>
      <w:r w:rsidR="002E7F31">
        <w:rPr>
          <w:rFonts w:cs="Times New Roman"/>
          <w:szCs w:val="24"/>
        </w:rPr>
        <w:t xml:space="preserve">a </w:t>
      </w:r>
      <w:r w:rsidR="00114558">
        <w:rPr>
          <w:rFonts w:cs="Times New Roman"/>
          <w:szCs w:val="24"/>
        </w:rPr>
        <w:t>repeat infringer policy and accommodate standard technical measures.</w:t>
      </w:r>
      <w:r>
        <w:rPr>
          <w:rFonts w:cs="Times New Roman"/>
          <w:szCs w:val="24"/>
        </w:rPr>
        <w:t xml:space="preserve"> 17 U.S.C. § 512(i)(1).</w:t>
      </w:r>
      <w:r w:rsidR="00114558">
        <w:rPr>
          <w:rFonts w:cs="Times New Roman"/>
          <w:szCs w:val="24"/>
        </w:rPr>
        <w:t xml:space="preserve"> </w:t>
      </w:r>
      <w:r w:rsidR="0048320B" w:rsidRPr="00906BCD">
        <w:rPr>
          <w:rFonts w:cs="Times New Roman"/>
          <w:szCs w:val="24"/>
        </w:rPr>
        <w:t>To qualify for</w:t>
      </w:r>
      <w:r w:rsidR="002E7F31">
        <w:rPr>
          <w:rFonts w:cs="Times New Roman"/>
          <w:szCs w:val="24"/>
        </w:rPr>
        <w:t xml:space="preserve"> a</w:t>
      </w:r>
      <w:r w:rsidR="0048320B" w:rsidRPr="00906BCD">
        <w:rPr>
          <w:rFonts w:cs="Times New Roman"/>
          <w:szCs w:val="24"/>
        </w:rPr>
        <w:t xml:space="preserve"> safe harbor defense from a copyright infringement suit, a party must meet a threshold of three criteria: (1) the party must be a service provider; (2) satisfy conditions of eligibility, including implementation of a repeat infringer policy; and (3) </w:t>
      </w:r>
      <w:r w:rsidR="00A82E82">
        <w:rPr>
          <w:rFonts w:cs="Times New Roman"/>
          <w:szCs w:val="24"/>
        </w:rPr>
        <w:t>accommodate</w:t>
      </w:r>
      <w:r w:rsidR="0048320B" w:rsidRPr="00906BCD">
        <w:rPr>
          <w:rFonts w:cs="Times New Roman"/>
          <w:szCs w:val="24"/>
        </w:rPr>
        <w:t xml:space="preserve"> standard technical measures. </w:t>
      </w:r>
      <w:r w:rsidR="0048320B" w:rsidRPr="00906BCD">
        <w:rPr>
          <w:rFonts w:cs="Times New Roman"/>
          <w:i/>
          <w:szCs w:val="24"/>
        </w:rPr>
        <w:t>Viacom Intern., Inc. v. YouTube, Inc.</w:t>
      </w:r>
      <w:r w:rsidR="0048320B" w:rsidRPr="00906BCD">
        <w:rPr>
          <w:rFonts w:cs="Times New Roman"/>
          <w:szCs w:val="24"/>
        </w:rPr>
        <w:t xml:space="preserve">, 676 F.3d 19, 27 (2d Cir. 2016). </w:t>
      </w:r>
      <w:r w:rsidR="001D24C5" w:rsidRPr="00906BCD">
        <w:rPr>
          <w:rFonts w:cs="Times New Roman"/>
          <w:szCs w:val="24"/>
        </w:rPr>
        <w:t xml:space="preserve">For </w:t>
      </w:r>
      <w:r w:rsidR="002051A3">
        <w:rPr>
          <w:rFonts w:cs="Times New Roman"/>
          <w:szCs w:val="24"/>
        </w:rPr>
        <w:t xml:space="preserve">a </w:t>
      </w:r>
      <w:r w:rsidR="001D24C5" w:rsidRPr="00906BCD">
        <w:rPr>
          <w:rFonts w:cs="Times New Roman"/>
          <w:szCs w:val="24"/>
        </w:rPr>
        <w:t>safe harbor</w:t>
      </w:r>
      <w:r w:rsidR="002051A3">
        <w:rPr>
          <w:rFonts w:cs="Times New Roman"/>
          <w:szCs w:val="24"/>
        </w:rPr>
        <w:t xml:space="preserve"> defense</w:t>
      </w:r>
      <w:r w:rsidR="001D24C5" w:rsidRPr="00906BCD">
        <w:rPr>
          <w:rFonts w:cs="Times New Roman"/>
          <w:szCs w:val="24"/>
        </w:rPr>
        <w:t>, a</w:t>
      </w:r>
      <w:r w:rsidR="0048320B" w:rsidRPr="00906BCD">
        <w:rPr>
          <w:rFonts w:cs="Times New Roman"/>
          <w:szCs w:val="24"/>
        </w:rPr>
        <w:t xml:space="preserve"> service provider is </w:t>
      </w:r>
      <w:r w:rsidR="00CD5AD5" w:rsidRPr="00906BCD">
        <w:rPr>
          <w:rFonts w:cs="Times New Roman"/>
          <w:szCs w:val="24"/>
        </w:rPr>
        <w:t>defined as “a provider of online services or network access</w:t>
      </w:r>
      <w:r w:rsidR="00E3233C">
        <w:rPr>
          <w:rFonts w:cs="Times New Roman"/>
          <w:szCs w:val="24"/>
        </w:rPr>
        <w:t>[.]</w:t>
      </w:r>
      <w:r w:rsidR="00CD5AD5" w:rsidRPr="00906BCD">
        <w:rPr>
          <w:rFonts w:cs="Times New Roman"/>
          <w:szCs w:val="24"/>
        </w:rPr>
        <w:t>” 17 U.S.C. § 512(k)(1)(B).</w:t>
      </w:r>
      <w:r w:rsidR="001D24C5" w:rsidRPr="00906BCD">
        <w:rPr>
          <w:rFonts w:cs="Times New Roman"/>
          <w:szCs w:val="24"/>
        </w:rPr>
        <w:t xml:space="preserve"> </w:t>
      </w:r>
      <w:r w:rsidR="00FF0922">
        <w:rPr>
          <w:rFonts w:cs="Times New Roman"/>
          <w:szCs w:val="24"/>
        </w:rPr>
        <w:t>This</w:t>
      </w:r>
      <w:r w:rsidR="00B800D5" w:rsidRPr="00906BCD">
        <w:rPr>
          <w:rFonts w:cs="Times New Roman"/>
          <w:szCs w:val="24"/>
        </w:rPr>
        <w:t xml:space="preserve"> definition </w:t>
      </w:r>
      <w:r w:rsidR="002E7F31">
        <w:rPr>
          <w:rFonts w:cs="Times New Roman"/>
          <w:szCs w:val="24"/>
        </w:rPr>
        <w:t>encompasses</w:t>
      </w:r>
      <w:r w:rsidR="00B800D5" w:rsidRPr="00906BCD">
        <w:rPr>
          <w:rFonts w:cs="Times New Roman"/>
          <w:szCs w:val="24"/>
        </w:rPr>
        <w:t xml:space="preserve"> virtually all internet services</w:t>
      </w:r>
      <w:r w:rsidR="002E7F31">
        <w:rPr>
          <w:rFonts w:cs="Times New Roman"/>
          <w:szCs w:val="24"/>
        </w:rPr>
        <w:t>, including video sharing sites</w:t>
      </w:r>
      <w:r w:rsidR="00B800D5" w:rsidRPr="00906BCD">
        <w:rPr>
          <w:rFonts w:cs="Times New Roman"/>
          <w:szCs w:val="24"/>
        </w:rPr>
        <w:t>.</w:t>
      </w:r>
      <w:r w:rsidR="00FF0922" w:rsidRPr="00906BCD">
        <w:rPr>
          <w:rFonts w:cs="Times New Roman"/>
          <w:szCs w:val="24"/>
        </w:rPr>
        <w:t xml:space="preserve"> </w:t>
      </w:r>
      <w:r w:rsidR="00FF0922" w:rsidRPr="00906BCD">
        <w:rPr>
          <w:rFonts w:cs="Times New Roman"/>
          <w:i/>
          <w:iCs/>
          <w:szCs w:val="24"/>
        </w:rPr>
        <w:t>In re Aimster Copyright Litig.</w:t>
      </w:r>
      <w:r w:rsidR="00FF0922" w:rsidRPr="00906BCD">
        <w:rPr>
          <w:rFonts w:cs="Times New Roman"/>
          <w:szCs w:val="24"/>
        </w:rPr>
        <w:t>, 252 F. Supp. 2d 634, 658 (N.D.</w:t>
      </w:r>
      <w:r w:rsidR="00FF0922">
        <w:rPr>
          <w:rFonts w:cs="Times New Roman"/>
          <w:szCs w:val="24"/>
        </w:rPr>
        <w:t xml:space="preserve"> </w:t>
      </w:r>
      <w:r w:rsidR="00FF0922" w:rsidRPr="00906BCD">
        <w:rPr>
          <w:rFonts w:cs="Times New Roman"/>
          <w:szCs w:val="24"/>
        </w:rPr>
        <w:t>Ill 2002)</w:t>
      </w:r>
      <w:r w:rsidR="00420614">
        <w:rPr>
          <w:rFonts w:cs="Times New Roman"/>
          <w:szCs w:val="24"/>
        </w:rPr>
        <w:t>;</w:t>
      </w:r>
      <w:r w:rsidR="00A5277A" w:rsidRPr="00906BCD">
        <w:rPr>
          <w:rFonts w:cs="Times New Roman"/>
          <w:i/>
          <w:szCs w:val="24"/>
        </w:rPr>
        <w:t xml:space="preserve"> </w:t>
      </w:r>
      <w:r w:rsidR="00A5277A" w:rsidRPr="00906BCD">
        <w:rPr>
          <w:rFonts w:cs="Times New Roman"/>
          <w:i/>
          <w:iCs/>
          <w:szCs w:val="24"/>
        </w:rPr>
        <w:t>Capitol Records, LLC v. Vimeo, LLC</w:t>
      </w:r>
      <w:r w:rsidR="00A17C0C" w:rsidRPr="00906BCD">
        <w:rPr>
          <w:rFonts w:cs="Times New Roman"/>
          <w:szCs w:val="24"/>
        </w:rPr>
        <w:t>, 826 F.3d 78 (2d Cir. 2016)</w:t>
      </w:r>
      <w:r w:rsidR="00420614">
        <w:rPr>
          <w:rFonts w:cs="Times New Roman"/>
          <w:szCs w:val="24"/>
        </w:rPr>
        <w:t xml:space="preserve">; </w:t>
      </w:r>
      <w:r w:rsidR="00420614" w:rsidRPr="00906BCD">
        <w:rPr>
          <w:rFonts w:cs="Times New Roman"/>
          <w:i/>
          <w:iCs/>
          <w:color w:val="000000" w:themeColor="text1"/>
          <w:szCs w:val="24"/>
        </w:rPr>
        <w:t xml:space="preserve">Viacom </w:t>
      </w:r>
      <w:r w:rsidR="0039626E">
        <w:rPr>
          <w:rFonts w:cs="Times New Roman"/>
          <w:i/>
          <w:iCs/>
          <w:color w:val="000000" w:themeColor="text1"/>
          <w:szCs w:val="24"/>
        </w:rPr>
        <w:t xml:space="preserve">Intern. Inc. </w:t>
      </w:r>
      <w:r w:rsidR="00420614" w:rsidRPr="00906BCD">
        <w:rPr>
          <w:rFonts w:cs="Times New Roman"/>
          <w:i/>
          <w:iCs/>
          <w:color w:val="000000" w:themeColor="text1"/>
          <w:szCs w:val="24"/>
        </w:rPr>
        <w:t>v. YouTube</w:t>
      </w:r>
      <w:r w:rsidR="00E256F2">
        <w:rPr>
          <w:rFonts w:cs="Times New Roman"/>
          <w:i/>
          <w:iCs/>
          <w:color w:val="000000" w:themeColor="text1"/>
          <w:szCs w:val="24"/>
        </w:rPr>
        <w:t>, Inc.</w:t>
      </w:r>
      <w:r w:rsidR="00420614" w:rsidRPr="00906BCD">
        <w:rPr>
          <w:rFonts w:cs="Times New Roman"/>
          <w:iCs/>
          <w:color w:val="000000" w:themeColor="text1"/>
          <w:szCs w:val="24"/>
        </w:rPr>
        <w:t>, 718 F.</w:t>
      </w:r>
      <w:r w:rsidR="00420614">
        <w:rPr>
          <w:rFonts w:cs="Times New Roman"/>
          <w:iCs/>
          <w:color w:val="000000" w:themeColor="text1"/>
          <w:szCs w:val="24"/>
        </w:rPr>
        <w:t xml:space="preserve"> </w:t>
      </w:r>
      <w:r w:rsidR="00420614" w:rsidRPr="00906BCD">
        <w:rPr>
          <w:rFonts w:cs="Times New Roman"/>
          <w:iCs/>
          <w:color w:val="000000" w:themeColor="text1"/>
          <w:szCs w:val="24"/>
        </w:rPr>
        <w:t>Supp.</w:t>
      </w:r>
      <w:r w:rsidR="00420614">
        <w:rPr>
          <w:rFonts w:cs="Times New Roman"/>
          <w:iCs/>
          <w:color w:val="000000" w:themeColor="text1"/>
          <w:szCs w:val="24"/>
        </w:rPr>
        <w:t xml:space="preserve"> </w:t>
      </w:r>
      <w:r w:rsidR="00420614" w:rsidRPr="00906BCD">
        <w:rPr>
          <w:rFonts w:cs="Times New Roman"/>
          <w:iCs/>
          <w:color w:val="000000" w:themeColor="text1"/>
          <w:szCs w:val="24"/>
        </w:rPr>
        <w:t>2d 514, 528–29 (S.D.N.Y.</w:t>
      </w:r>
      <w:r w:rsidR="00420614">
        <w:rPr>
          <w:rFonts w:cs="Times New Roman"/>
          <w:iCs/>
          <w:color w:val="000000" w:themeColor="text1"/>
          <w:szCs w:val="24"/>
        </w:rPr>
        <w:t xml:space="preserve"> </w:t>
      </w:r>
      <w:r w:rsidR="00420614" w:rsidRPr="00906BCD">
        <w:rPr>
          <w:rFonts w:cs="Times New Roman"/>
          <w:iCs/>
          <w:color w:val="000000" w:themeColor="text1"/>
          <w:szCs w:val="24"/>
        </w:rPr>
        <w:t>2010)</w:t>
      </w:r>
      <w:r w:rsidR="00420614">
        <w:rPr>
          <w:rFonts w:cs="Times New Roman"/>
          <w:iCs/>
          <w:color w:val="000000" w:themeColor="text1"/>
          <w:szCs w:val="24"/>
        </w:rPr>
        <w:t>.</w:t>
      </w:r>
    </w:p>
    <w:p w14:paraId="33EA4A7A" w14:textId="3D41D46A" w:rsidR="00AD1B04" w:rsidRPr="00AD1B04" w:rsidRDefault="003D6AFD" w:rsidP="00D86002">
      <w:pPr>
        <w:widowControl w:val="0"/>
        <w:ind w:firstLine="360"/>
        <w:rPr>
          <w:rFonts w:cs="Times New Roman"/>
          <w:szCs w:val="24"/>
        </w:rPr>
      </w:pPr>
      <w:r w:rsidRPr="00906BCD">
        <w:rPr>
          <w:rFonts w:cs="Times New Roman"/>
          <w:szCs w:val="24"/>
        </w:rPr>
        <w:t>The second threshold for</w:t>
      </w:r>
      <w:r w:rsidR="00FF0922">
        <w:rPr>
          <w:rFonts w:cs="Times New Roman"/>
          <w:szCs w:val="24"/>
        </w:rPr>
        <w:t xml:space="preserve"> a</w:t>
      </w:r>
      <w:r w:rsidRPr="00906BCD">
        <w:rPr>
          <w:rFonts w:cs="Times New Roman"/>
          <w:szCs w:val="24"/>
        </w:rPr>
        <w:t xml:space="preserve"> safe harbor</w:t>
      </w:r>
      <w:r w:rsidR="00FF0922">
        <w:rPr>
          <w:rFonts w:cs="Times New Roman"/>
          <w:szCs w:val="24"/>
        </w:rPr>
        <w:t xml:space="preserve"> defense</w:t>
      </w:r>
      <w:r w:rsidRPr="00906BCD">
        <w:rPr>
          <w:rFonts w:cs="Times New Roman"/>
          <w:szCs w:val="24"/>
        </w:rPr>
        <w:t xml:space="preserve"> under t</w:t>
      </w:r>
      <w:r w:rsidR="004F0350" w:rsidRPr="00906BCD">
        <w:rPr>
          <w:rFonts w:cs="Times New Roman"/>
          <w:szCs w:val="24"/>
        </w:rPr>
        <w:t>he Copyright Act req</w:t>
      </w:r>
      <w:r w:rsidR="00D006C5" w:rsidRPr="00906BCD">
        <w:rPr>
          <w:rFonts w:cs="Times New Roman"/>
          <w:szCs w:val="24"/>
        </w:rPr>
        <w:t xml:space="preserve">uires service providers to have “adopted and reasonably implemented ... a policy that provides for the termination in appropriate circumstances of subscribers and account holders </w:t>
      </w:r>
      <w:r w:rsidR="00420614">
        <w:rPr>
          <w:rFonts w:cs="Times New Roman"/>
          <w:szCs w:val="24"/>
        </w:rPr>
        <w:t>…</w:t>
      </w:r>
      <w:r w:rsidR="00D006C5" w:rsidRPr="00906BCD">
        <w:rPr>
          <w:rFonts w:cs="Times New Roman"/>
          <w:szCs w:val="24"/>
        </w:rPr>
        <w:t xml:space="preserve"> who are repeat infringers.” 17 U.S.C. § 512(i)(1)(A). A repeat infringer </w:t>
      </w:r>
      <w:r w:rsidR="00350656" w:rsidRPr="00906BCD">
        <w:rPr>
          <w:rFonts w:cs="Times New Roman"/>
          <w:szCs w:val="24"/>
        </w:rPr>
        <w:t xml:space="preserve">is one who repeatedly interferes with the exclusive rights of a copyright. </w:t>
      </w:r>
      <w:r w:rsidR="00350656" w:rsidRPr="00906BCD">
        <w:rPr>
          <w:rFonts w:cs="Times New Roman"/>
          <w:i/>
          <w:iCs/>
          <w:szCs w:val="24"/>
        </w:rPr>
        <w:t>EMI Christian Music Group, Inc. v. MP3tunes, LLC</w:t>
      </w:r>
      <w:r w:rsidR="00350656" w:rsidRPr="00906BCD">
        <w:rPr>
          <w:rFonts w:cs="Times New Roman"/>
          <w:szCs w:val="24"/>
        </w:rPr>
        <w:t>, 844 F.3d 79</w:t>
      </w:r>
      <w:r w:rsidR="00AE395E">
        <w:rPr>
          <w:rFonts w:cs="Times New Roman"/>
          <w:szCs w:val="24"/>
        </w:rPr>
        <w:t>,</w:t>
      </w:r>
      <w:r w:rsidR="00350656" w:rsidRPr="00906BCD">
        <w:rPr>
          <w:rFonts w:cs="Times New Roman"/>
          <w:szCs w:val="24"/>
        </w:rPr>
        <w:t xml:space="preserve"> 89 (2d Cir. 2016). Copyright infringement is a strict liability offense, and infringers need not be culpable. </w:t>
      </w:r>
      <w:r w:rsidR="00350656" w:rsidRPr="00906BCD">
        <w:rPr>
          <w:rFonts w:cs="Times New Roman"/>
          <w:i/>
          <w:szCs w:val="24"/>
        </w:rPr>
        <w:t xml:space="preserve">Id. </w:t>
      </w:r>
      <w:r w:rsidR="00350656" w:rsidRPr="00906BCD">
        <w:rPr>
          <w:rFonts w:cs="Times New Roman"/>
          <w:szCs w:val="24"/>
        </w:rPr>
        <w:t xml:space="preserve">at 89. </w:t>
      </w:r>
      <w:r w:rsidR="00A0509F">
        <w:rPr>
          <w:rFonts w:cs="Times New Roman"/>
          <w:szCs w:val="24"/>
        </w:rPr>
        <w:t xml:space="preserve">For appropriate circumstances to exist </w:t>
      </w:r>
      <w:r w:rsidR="00DB0817">
        <w:rPr>
          <w:rFonts w:cs="Times New Roman"/>
          <w:szCs w:val="24"/>
        </w:rPr>
        <w:t>a</w:t>
      </w:r>
      <w:r w:rsidR="00A0509F">
        <w:rPr>
          <w:rFonts w:cs="Times New Roman"/>
          <w:szCs w:val="24"/>
        </w:rPr>
        <w:t xml:space="preserve"> service provider must have actual knowledge of a user’s repeat infringement. </w:t>
      </w:r>
      <w:r w:rsidR="00A0509F" w:rsidRPr="00906BCD">
        <w:rPr>
          <w:rFonts w:cs="Times New Roman"/>
          <w:i/>
          <w:iCs/>
          <w:szCs w:val="24"/>
        </w:rPr>
        <w:t>Capitol Records, Inc. v. MP3tunes, LLC</w:t>
      </w:r>
      <w:r w:rsidR="00A0509F" w:rsidRPr="00906BCD">
        <w:rPr>
          <w:rFonts w:cs="Times New Roman"/>
          <w:szCs w:val="24"/>
        </w:rPr>
        <w:t>, 821 F. Supp. 2d 627</w:t>
      </w:r>
      <w:r w:rsidR="00A0509F">
        <w:rPr>
          <w:rFonts w:cs="Times New Roman"/>
          <w:szCs w:val="24"/>
        </w:rPr>
        <w:t>, 638</w:t>
      </w:r>
      <w:r w:rsidR="00A0509F" w:rsidRPr="00906BCD">
        <w:rPr>
          <w:rFonts w:cs="Times New Roman"/>
          <w:szCs w:val="24"/>
        </w:rPr>
        <w:t xml:space="preserve"> (S.D.N.Y. 2011).</w:t>
      </w:r>
      <w:r w:rsidR="00A0509F">
        <w:rPr>
          <w:rFonts w:cs="Times New Roman"/>
          <w:szCs w:val="24"/>
        </w:rPr>
        <w:t xml:space="preserve"> </w:t>
      </w:r>
      <w:r w:rsidR="00A0509F" w:rsidRPr="00906BCD">
        <w:rPr>
          <w:rFonts w:cs="Times New Roman"/>
          <w:szCs w:val="24"/>
        </w:rPr>
        <w:t>A reasonably implemented repeat infringer policy: (1) has a system for responding to takedown notices; (2) does not interfere with copyright owners</w:t>
      </w:r>
      <w:r w:rsidR="00AE395E">
        <w:rPr>
          <w:rFonts w:cs="Times New Roman"/>
          <w:szCs w:val="24"/>
        </w:rPr>
        <w:t>’</w:t>
      </w:r>
      <w:r w:rsidR="00A0509F" w:rsidRPr="00906BCD">
        <w:rPr>
          <w:rFonts w:cs="Times New Roman"/>
          <w:szCs w:val="24"/>
        </w:rPr>
        <w:t xml:space="preserve"> ability to issue notices; and (3) terminates users who are repeat infringers. </w:t>
      </w:r>
      <w:r w:rsidR="00B06E41" w:rsidRPr="00D31BCC">
        <w:rPr>
          <w:rFonts w:cs="Times New Roman"/>
          <w:i/>
          <w:iCs/>
          <w:szCs w:val="24"/>
        </w:rPr>
        <w:t>Perfect 10, Inc. v. CCBill LLC</w:t>
      </w:r>
      <w:r w:rsidR="00B06E41" w:rsidRPr="00D31BCC">
        <w:rPr>
          <w:rFonts w:cs="Times New Roman"/>
          <w:szCs w:val="24"/>
        </w:rPr>
        <w:t>, 488 F.3d 1102, 1009 (9th Cir. 2007)</w:t>
      </w:r>
      <w:r w:rsidR="00AC263F">
        <w:rPr>
          <w:rFonts w:cs="Times New Roman"/>
          <w:szCs w:val="24"/>
        </w:rPr>
        <w:t xml:space="preserve"> </w:t>
      </w:r>
      <w:r w:rsidR="00AC263F">
        <w:rPr>
          <w:rFonts w:cs="Times New Roman"/>
          <w:iCs/>
          <w:szCs w:val="24"/>
        </w:rPr>
        <w:t xml:space="preserve">(holding that blocking </w:t>
      </w:r>
      <w:r w:rsidR="00AE395E">
        <w:rPr>
          <w:rFonts w:cs="Times New Roman"/>
          <w:iCs/>
          <w:szCs w:val="24"/>
        </w:rPr>
        <w:t xml:space="preserve">site </w:t>
      </w:r>
      <w:r w:rsidR="00AC263F">
        <w:rPr>
          <w:rFonts w:cs="Times New Roman"/>
          <w:iCs/>
          <w:szCs w:val="24"/>
        </w:rPr>
        <w:t xml:space="preserve">data collection precluded a safe harbor defense because it </w:t>
      </w:r>
      <w:r w:rsidR="00AC263F" w:rsidRPr="00906BCD">
        <w:rPr>
          <w:rFonts w:cs="Times New Roman"/>
          <w:szCs w:val="24"/>
        </w:rPr>
        <w:t>interfere</w:t>
      </w:r>
      <w:r w:rsidR="00AC263F">
        <w:rPr>
          <w:rFonts w:cs="Times New Roman"/>
          <w:szCs w:val="24"/>
        </w:rPr>
        <w:t>d</w:t>
      </w:r>
      <w:r w:rsidR="00AC263F" w:rsidRPr="00906BCD">
        <w:rPr>
          <w:rFonts w:cs="Times New Roman"/>
          <w:szCs w:val="24"/>
        </w:rPr>
        <w:t xml:space="preserve"> </w:t>
      </w:r>
      <w:r w:rsidR="00AC263F">
        <w:rPr>
          <w:rFonts w:cs="Times New Roman"/>
          <w:szCs w:val="24"/>
        </w:rPr>
        <w:t xml:space="preserve">with </w:t>
      </w:r>
      <w:r w:rsidR="00AC263F">
        <w:rPr>
          <w:rFonts w:cs="Times New Roman"/>
          <w:iCs/>
          <w:szCs w:val="24"/>
        </w:rPr>
        <w:t>copyright owners’ ability to issue infringement notices)</w:t>
      </w:r>
      <w:r w:rsidR="002C0911">
        <w:rPr>
          <w:rFonts w:cs="Times New Roman"/>
          <w:szCs w:val="24"/>
        </w:rPr>
        <w:t xml:space="preserve">; </w:t>
      </w:r>
      <w:r w:rsidR="00A0509F" w:rsidRPr="00906BCD">
        <w:rPr>
          <w:rFonts w:cs="Times New Roman"/>
          <w:i/>
          <w:iCs/>
          <w:szCs w:val="24"/>
        </w:rPr>
        <w:t>Capitol Records, Inc. v. MP3tunes</w:t>
      </w:r>
      <w:r w:rsidR="00A0509F">
        <w:rPr>
          <w:rFonts w:cs="Times New Roman"/>
          <w:iCs/>
          <w:szCs w:val="24"/>
        </w:rPr>
        <w:t xml:space="preserve">, </w:t>
      </w:r>
      <w:r w:rsidR="00A0509F" w:rsidRPr="00906BCD">
        <w:rPr>
          <w:rFonts w:cs="Times New Roman"/>
          <w:szCs w:val="24"/>
        </w:rPr>
        <w:t xml:space="preserve">821 F. Supp. 2d </w:t>
      </w:r>
      <w:r w:rsidR="00A0509F">
        <w:rPr>
          <w:rFonts w:cs="Times New Roman"/>
          <w:szCs w:val="24"/>
        </w:rPr>
        <w:t xml:space="preserve">at </w:t>
      </w:r>
      <w:r w:rsidR="00A0509F">
        <w:rPr>
          <w:rFonts w:cs="Times New Roman"/>
          <w:iCs/>
          <w:szCs w:val="24"/>
        </w:rPr>
        <w:t>637</w:t>
      </w:r>
      <w:r w:rsidR="00AC263F">
        <w:rPr>
          <w:rFonts w:cs="Times New Roman"/>
          <w:iCs/>
          <w:szCs w:val="24"/>
        </w:rPr>
        <w:t>.</w:t>
      </w:r>
    </w:p>
    <w:p w14:paraId="4B52BA18" w14:textId="350CA99F" w:rsidR="009C075E" w:rsidRDefault="003D6AFD" w:rsidP="00D86002">
      <w:pPr>
        <w:widowControl w:val="0"/>
        <w:ind w:firstLine="360"/>
        <w:rPr>
          <w:rFonts w:cs="Times New Roman"/>
          <w:iCs/>
          <w:color w:val="FF0000"/>
          <w:szCs w:val="24"/>
        </w:rPr>
      </w:pPr>
      <w:r w:rsidRPr="00906BCD">
        <w:rPr>
          <w:rFonts w:cs="Times New Roman"/>
          <w:szCs w:val="24"/>
        </w:rPr>
        <w:t xml:space="preserve">The last threshold for </w:t>
      </w:r>
      <w:r w:rsidR="00FF0922">
        <w:rPr>
          <w:rFonts w:cs="Times New Roman"/>
          <w:szCs w:val="24"/>
        </w:rPr>
        <w:t xml:space="preserve">a </w:t>
      </w:r>
      <w:r w:rsidRPr="00906BCD">
        <w:rPr>
          <w:rFonts w:cs="Times New Roman"/>
          <w:szCs w:val="24"/>
        </w:rPr>
        <w:t xml:space="preserve">safe harbor </w:t>
      </w:r>
      <w:r w:rsidR="00FF0922">
        <w:rPr>
          <w:rFonts w:cs="Times New Roman"/>
          <w:szCs w:val="24"/>
        </w:rPr>
        <w:t xml:space="preserve">defense </w:t>
      </w:r>
      <w:r w:rsidR="00796D9F">
        <w:rPr>
          <w:rFonts w:cs="Times New Roman"/>
          <w:szCs w:val="24"/>
        </w:rPr>
        <w:t xml:space="preserve">requires service providers to </w:t>
      </w:r>
      <w:r w:rsidR="00D86002">
        <w:rPr>
          <w:rFonts w:cs="Times New Roman"/>
          <w:szCs w:val="24"/>
        </w:rPr>
        <w:t>accommodate</w:t>
      </w:r>
      <w:r w:rsidR="00F251C7" w:rsidRPr="00906BCD">
        <w:rPr>
          <w:rFonts w:cs="Times New Roman"/>
          <w:szCs w:val="24"/>
        </w:rPr>
        <w:t xml:space="preserve"> “standard technical measures”. 17 U.S.C. § 512(i)(1)(B). These standard technical measures are used by copyright owners to identify or protect copyright works. 17 U.S.C. § 512(i)(2). They have been developed by consensus of copyright owners in a multi-industry process, must be available to any person, and must not impose substantial costs on service providers or their networks. 17 U.S.C. §§ 512(i)(2)(A), (B), and (C).</w:t>
      </w:r>
      <w:r w:rsidR="002114B7" w:rsidRPr="00906BCD">
        <w:rPr>
          <w:rFonts w:cs="Times New Roman"/>
          <w:szCs w:val="24"/>
        </w:rPr>
        <w:t xml:space="preserve"> </w:t>
      </w:r>
      <w:r w:rsidR="002D658A" w:rsidRPr="00906BCD">
        <w:rPr>
          <w:rFonts w:cs="Times New Roman"/>
          <w:szCs w:val="24"/>
        </w:rPr>
        <w:t xml:space="preserve">Interfering with </w:t>
      </w:r>
      <w:bookmarkStart w:id="3" w:name="_GoBack"/>
      <w:bookmarkEnd w:id="3"/>
      <w:r w:rsidR="002D658A" w:rsidRPr="00906BCD">
        <w:rPr>
          <w:rFonts w:cs="Times New Roman"/>
          <w:szCs w:val="24"/>
        </w:rPr>
        <w:t>standard technical measure</w:t>
      </w:r>
      <w:r w:rsidR="00E256F2">
        <w:rPr>
          <w:rFonts w:cs="Times New Roman"/>
          <w:szCs w:val="24"/>
        </w:rPr>
        <w:t>s</w:t>
      </w:r>
      <w:r w:rsidR="002D658A" w:rsidRPr="00906BCD">
        <w:rPr>
          <w:rFonts w:cs="Times New Roman"/>
          <w:szCs w:val="24"/>
        </w:rPr>
        <w:t xml:space="preserve"> exposes a service provider to liability. </w:t>
      </w:r>
      <w:r w:rsidR="002D658A" w:rsidRPr="00906BCD">
        <w:rPr>
          <w:rStyle w:val="cohl"/>
          <w:rFonts w:cs="Times New Roman"/>
          <w:i/>
          <w:iCs/>
          <w:color w:val="212121"/>
          <w:szCs w:val="24"/>
        </w:rPr>
        <w:t>Viacom,</w:t>
      </w:r>
      <w:r w:rsidR="002D658A" w:rsidRPr="00906BCD">
        <w:rPr>
          <w:rStyle w:val="cohl"/>
          <w:rFonts w:cs="Times New Roman"/>
          <w:color w:val="212121"/>
          <w:szCs w:val="24"/>
        </w:rPr>
        <w:t xml:space="preserve"> 676 F.3d at 41. Plaintiffs must specifically allege that the service provider is blocking a standard technical measure. </w:t>
      </w:r>
      <w:r w:rsidR="00700592" w:rsidRPr="00906BCD">
        <w:rPr>
          <w:rStyle w:val="cohl"/>
          <w:rFonts w:cs="Times New Roman"/>
          <w:i/>
          <w:color w:val="212121"/>
          <w:szCs w:val="24"/>
        </w:rPr>
        <w:t xml:space="preserve">Id. </w:t>
      </w:r>
      <w:r w:rsidR="00700592" w:rsidRPr="00906BCD">
        <w:rPr>
          <w:rStyle w:val="cohl"/>
          <w:rFonts w:cs="Times New Roman"/>
          <w:color w:val="212121"/>
          <w:szCs w:val="24"/>
        </w:rPr>
        <w:t>at 41.</w:t>
      </w:r>
      <w:bookmarkStart w:id="4" w:name="_Hlk497852236"/>
      <w:r w:rsidR="004E4EE2" w:rsidRPr="00906BCD">
        <w:rPr>
          <w:rFonts w:cs="Times New Roman"/>
          <w:iCs/>
          <w:color w:val="FF0000"/>
          <w:szCs w:val="24"/>
        </w:rPr>
        <w:t xml:space="preserve"> </w:t>
      </w:r>
    </w:p>
    <w:p w14:paraId="19642E58" w14:textId="7C018FEC" w:rsidR="00AD1B04" w:rsidRDefault="00AD1B04" w:rsidP="00D86002">
      <w:pPr>
        <w:widowControl w:val="0"/>
        <w:ind w:firstLine="360"/>
        <w:rPr>
          <w:rFonts w:cs="Times New Roman"/>
          <w:szCs w:val="24"/>
        </w:rPr>
      </w:pPr>
      <w:r w:rsidRPr="00906BCD">
        <w:rPr>
          <w:rFonts w:cs="Times New Roman"/>
          <w:iCs/>
          <w:color w:val="000000" w:themeColor="text1"/>
          <w:szCs w:val="24"/>
        </w:rPr>
        <w:t>Archer meets the first threshold for a safe harbor defense: they are a service provider</w:t>
      </w:r>
      <w:r>
        <w:rPr>
          <w:rFonts w:cs="Times New Roman"/>
          <w:iCs/>
          <w:color w:val="000000" w:themeColor="text1"/>
          <w:szCs w:val="24"/>
        </w:rPr>
        <w:t xml:space="preserve"> as evidenced by the fact that t</w:t>
      </w:r>
      <w:r w:rsidRPr="00906BCD">
        <w:rPr>
          <w:rFonts w:cs="Times New Roman"/>
          <w:iCs/>
          <w:color w:val="000000" w:themeColor="text1"/>
          <w:szCs w:val="24"/>
        </w:rPr>
        <w:t xml:space="preserve">hey provide online services and network access as described in 17 U.S.C. </w:t>
      </w:r>
      <w:r w:rsidRPr="00906BCD">
        <w:rPr>
          <w:rFonts w:cs="Times New Roman"/>
          <w:color w:val="000000" w:themeColor="text1"/>
          <w:szCs w:val="24"/>
        </w:rPr>
        <w:t xml:space="preserve">§ 512(k)(1)(B). </w:t>
      </w:r>
      <w:r w:rsidR="00D86002">
        <w:rPr>
          <w:rFonts w:cs="Times New Roman"/>
          <w:color w:val="000000" w:themeColor="text1"/>
          <w:szCs w:val="24"/>
        </w:rPr>
        <w:t xml:space="preserve">In </w:t>
      </w:r>
      <w:r w:rsidR="00D86002">
        <w:rPr>
          <w:rFonts w:cs="Times New Roman"/>
          <w:i/>
          <w:color w:val="000000" w:themeColor="text1"/>
          <w:szCs w:val="24"/>
        </w:rPr>
        <w:t xml:space="preserve">Viacom, </w:t>
      </w:r>
      <w:r w:rsidRPr="00906BCD">
        <w:rPr>
          <w:rFonts w:cs="Times New Roman"/>
          <w:color w:val="000000" w:themeColor="text1"/>
          <w:szCs w:val="24"/>
        </w:rPr>
        <w:t>YouTube</w:t>
      </w:r>
      <w:r w:rsidR="00AE395E">
        <w:rPr>
          <w:rFonts w:cs="Times New Roman"/>
          <w:color w:val="000000" w:themeColor="text1"/>
          <w:szCs w:val="24"/>
        </w:rPr>
        <w:t xml:space="preserve">, </w:t>
      </w:r>
      <w:r w:rsidR="00D86002">
        <w:rPr>
          <w:rFonts w:cs="Times New Roman"/>
          <w:color w:val="000000" w:themeColor="text1"/>
          <w:szCs w:val="24"/>
        </w:rPr>
        <w:t xml:space="preserve">an </w:t>
      </w:r>
      <w:r w:rsidRPr="00906BCD">
        <w:rPr>
          <w:rFonts w:cs="Times New Roman"/>
          <w:color w:val="000000" w:themeColor="text1"/>
          <w:szCs w:val="24"/>
        </w:rPr>
        <w:t xml:space="preserve">internet site </w:t>
      </w:r>
      <w:r w:rsidR="00FF0922">
        <w:rPr>
          <w:rFonts w:cs="Times New Roman"/>
          <w:color w:val="000000" w:themeColor="text1"/>
          <w:szCs w:val="24"/>
        </w:rPr>
        <w:t>that</w:t>
      </w:r>
      <w:r w:rsidRPr="00906BCD">
        <w:rPr>
          <w:rFonts w:cs="Times New Roman"/>
          <w:color w:val="000000" w:themeColor="text1"/>
          <w:szCs w:val="24"/>
        </w:rPr>
        <w:t xml:space="preserve"> allow</w:t>
      </w:r>
      <w:r w:rsidR="00D86002">
        <w:rPr>
          <w:rFonts w:cs="Times New Roman"/>
          <w:color w:val="000000" w:themeColor="text1"/>
          <w:szCs w:val="24"/>
        </w:rPr>
        <w:t>s</w:t>
      </w:r>
      <w:r w:rsidRPr="00906BCD">
        <w:rPr>
          <w:rFonts w:cs="Times New Roman"/>
          <w:color w:val="000000" w:themeColor="text1"/>
          <w:szCs w:val="24"/>
        </w:rPr>
        <w:t xml:space="preserve"> users to upload and watch videos, </w:t>
      </w:r>
      <w:r w:rsidR="00D86002">
        <w:rPr>
          <w:rFonts w:cs="Times New Roman"/>
          <w:color w:val="000000" w:themeColor="text1"/>
          <w:szCs w:val="24"/>
        </w:rPr>
        <w:t>was</w:t>
      </w:r>
      <w:r w:rsidR="00FF0922">
        <w:rPr>
          <w:rFonts w:cs="Times New Roman"/>
          <w:color w:val="000000" w:themeColor="text1"/>
          <w:szCs w:val="24"/>
        </w:rPr>
        <w:t xml:space="preserve"> ruled as</w:t>
      </w:r>
      <w:r w:rsidRPr="00906BCD">
        <w:rPr>
          <w:rFonts w:cs="Times New Roman"/>
          <w:color w:val="000000" w:themeColor="text1"/>
          <w:szCs w:val="24"/>
        </w:rPr>
        <w:t xml:space="preserve"> </w:t>
      </w:r>
      <w:r w:rsidR="00D86002">
        <w:rPr>
          <w:rFonts w:cs="Times New Roman"/>
          <w:color w:val="000000" w:themeColor="text1"/>
          <w:szCs w:val="24"/>
        </w:rPr>
        <w:t xml:space="preserve">a </w:t>
      </w:r>
      <w:r w:rsidRPr="00906BCD">
        <w:rPr>
          <w:rFonts w:cs="Times New Roman"/>
          <w:color w:val="000000" w:themeColor="text1"/>
          <w:szCs w:val="24"/>
        </w:rPr>
        <w:t>service provider</w:t>
      </w:r>
      <w:r w:rsidR="00D86002">
        <w:rPr>
          <w:rStyle w:val="cohl"/>
          <w:rFonts w:cs="Times New Roman"/>
          <w:color w:val="212121"/>
          <w:szCs w:val="24"/>
        </w:rPr>
        <w:t xml:space="preserve">. In </w:t>
      </w:r>
      <w:r w:rsidR="00D86002">
        <w:rPr>
          <w:rStyle w:val="cohl"/>
          <w:rFonts w:cs="Times New Roman"/>
          <w:i/>
          <w:color w:val="212121"/>
          <w:szCs w:val="24"/>
        </w:rPr>
        <w:t>Vimeo</w:t>
      </w:r>
      <w:r w:rsidR="00D86002">
        <w:rPr>
          <w:rStyle w:val="cohl"/>
          <w:rFonts w:cs="Times New Roman"/>
          <w:color w:val="212121"/>
          <w:szCs w:val="24"/>
        </w:rPr>
        <w:t>, a similar video sharing site was rule</w:t>
      </w:r>
      <w:r w:rsidR="003B5517">
        <w:rPr>
          <w:rStyle w:val="cohl"/>
          <w:rFonts w:cs="Times New Roman"/>
          <w:color w:val="212121"/>
          <w:szCs w:val="24"/>
        </w:rPr>
        <w:t>d</w:t>
      </w:r>
      <w:r w:rsidR="00D86002">
        <w:rPr>
          <w:rStyle w:val="cohl"/>
          <w:rFonts w:cs="Times New Roman"/>
          <w:color w:val="212121"/>
          <w:szCs w:val="24"/>
        </w:rPr>
        <w:t xml:space="preserve"> as a service provider</w:t>
      </w:r>
      <w:r w:rsidRPr="00906BCD">
        <w:rPr>
          <w:rStyle w:val="cohl"/>
          <w:rFonts w:cs="Times New Roman"/>
          <w:color w:val="212121"/>
          <w:szCs w:val="24"/>
        </w:rPr>
        <w:t xml:space="preserve">. </w:t>
      </w:r>
      <w:r w:rsidR="00D86002">
        <w:rPr>
          <w:rStyle w:val="cohl"/>
          <w:rFonts w:cs="Times New Roman"/>
          <w:color w:val="212121"/>
          <w:szCs w:val="24"/>
        </w:rPr>
        <w:t xml:space="preserve">Here, </w:t>
      </w:r>
      <w:r w:rsidRPr="00906BCD">
        <w:rPr>
          <w:rFonts w:cs="Times New Roman"/>
          <w:szCs w:val="24"/>
        </w:rPr>
        <w:t>Archer</w:t>
      </w:r>
      <w:r w:rsidR="00FF0922">
        <w:rPr>
          <w:rFonts w:cs="Times New Roman"/>
          <w:szCs w:val="24"/>
        </w:rPr>
        <w:t>’s Holodeck is an internet site</w:t>
      </w:r>
      <w:r w:rsidR="00AE395E">
        <w:rPr>
          <w:rFonts w:cs="Times New Roman"/>
          <w:szCs w:val="24"/>
        </w:rPr>
        <w:t xml:space="preserve"> </w:t>
      </w:r>
      <w:r w:rsidR="00A64B7F">
        <w:rPr>
          <w:rFonts w:cs="Times New Roman"/>
          <w:szCs w:val="24"/>
        </w:rPr>
        <w:t>like</w:t>
      </w:r>
      <w:r w:rsidR="00AE395E">
        <w:rPr>
          <w:rFonts w:cs="Times New Roman"/>
          <w:szCs w:val="24"/>
        </w:rPr>
        <w:t xml:space="preserve"> YouTube and Vimeo</w:t>
      </w:r>
      <w:r w:rsidR="00FF0922">
        <w:rPr>
          <w:rFonts w:cs="Times New Roman"/>
          <w:szCs w:val="24"/>
        </w:rPr>
        <w:t xml:space="preserve"> that</w:t>
      </w:r>
      <w:r w:rsidRPr="00906BCD">
        <w:rPr>
          <w:rFonts w:cs="Times New Roman"/>
          <w:szCs w:val="24"/>
        </w:rPr>
        <w:t xml:space="preserve"> allows users to upload and watch videos,</w:t>
      </w:r>
      <w:r w:rsidR="00FF0922">
        <w:rPr>
          <w:rFonts w:cs="Times New Roman"/>
          <w:szCs w:val="24"/>
        </w:rPr>
        <w:t xml:space="preserve"> </w:t>
      </w:r>
      <w:r w:rsidR="00AE395E">
        <w:rPr>
          <w:rFonts w:cs="Times New Roman"/>
          <w:szCs w:val="24"/>
        </w:rPr>
        <w:t xml:space="preserve">and </w:t>
      </w:r>
      <w:r w:rsidR="00FF0922">
        <w:rPr>
          <w:rFonts w:cs="Times New Roman"/>
          <w:szCs w:val="24"/>
        </w:rPr>
        <w:t xml:space="preserve">therefore </w:t>
      </w:r>
      <w:r w:rsidR="00D86002">
        <w:rPr>
          <w:rFonts w:cs="Times New Roman"/>
          <w:szCs w:val="24"/>
        </w:rPr>
        <w:t xml:space="preserve">should be ruled as </w:t>
      </w:r>
      <w:r w:rsidR="00FF0922">
        <w:rPr>
          <w:rFonts w:cs="Times New Roman"/>
          <w:szCs w:val="24"/>
        </w:rPr>
        <w:t xml:space="preserve">a service provider. </w:t>
      </w:r>
    </w:p>
    <w:p w14:paraId="7DF051F8" w14:textId="445A78CB" w:rsidR="00AD1B04" w:rsidRPr="002C0911" w:rsidRDefault="00AD1B04" w:rsidP="00D86002">
      <w:pPr>
        <w:widowControl w:val="0"/>
        <w:ind w:firstLine="360"/>
        <w:rPr>
          <w:rFonts w:cs="Times New Roman"/>
          <w:iCs/>
          <w:color w:val="000000" w:themeColor="text1"/>
          <w:szCs w:val="24"/>
        </w:rPr>
      </w:pPr>
      <w:r w:rsidRPr="00906BCD">
        <w:rPr>
          <w:rFonts w:cs="Times New Roman"/>
          <w:iCs/>
          <w:color w:val="000000" w:themeColor="text1"/>
          <w:szCs w:val="24"/>
        </w:rPr>
        <w:t xml:space="preserve">Archer has adopted a repeat infringer policy, meeting the second threshold requirement for a safe harbor defense. In </w:t>
      </w:r>
      <w:r w:rsidRPr="00701D21">
        <w:rPr>
          <w:rFonts w:cs="Times New Roman"/>
          <w:i/>
          <w:iCs/>
          <w:color w:val="000000" w:themeColor="text1"/>
          <w:szCs w:val="24"/>
        </w:rPr>
        <w:t xml:space="preserve">Capitol Records v. </w:t>
      </w:r>
      <w:r w:rsidR="00E74433">
        <w:rPr>
          <w:rFonts w:cs="Times New Roman"/>
          <w:i/>
          <w:iCs/>
          <w:color w:val="000000" w:themeColor="text1"/>
          <w:szCs w:val="24"/>
        </w:rPr>
        <w:t>MP3tunes</w:t>
      </w:r>
      <w:r w:rsidRPr="00906BCD">
        <w:rPr>
          <w:rFonts w:cs="Times New Roman"/>
          <w:iCs/>
          <w:color w:val="000000" w:themeColor="text1"/>
          <w:szCs w:val="24"/>
        </w:rPr>
        <w:t>, it was required that a reasonably implemented repeat infringer policy must have a system to respond to infringement notices, and terminate repeat infringers. Here, Archer has employees who monitor infringement notices,</w:t>
      </w:r>
      <w:r w:rsidR="00AE395E">
        <w:rPr>
          <w:rFonts w:cs="Times New Roman"/>
          <w:iCs/>
          <w:color w:val="000000" w:themeColor="text1"/>
          <w:szCs w:val="24"/>
        </w:rPr>
        <w:t xml:space="preserve"> </w:t>
      </w:r>
      <w:r w:rsidRPr="00906BCD">
        <w:rPr>
          <w:rFonts w:cs="Times New Roman"/>
          <w:iCs/>
          <w:color w:val="000000" w:themeColor="text1"/>
          <w:szCs w:val="24"/>
        </w:rPr>
        <w:t>determine when take down is appropriate</w:t>
      </w:r>
      <w:r w:rsidR="00AE395E">
        <w:rPr>
          <w:rFonts w:cs="Times New Roman"/>
          <w:iCs/>
          <w:color w:val="000000" w:themeColor="text1"/>
          <w:szCs w:val="24"/>
        </w:rPr>
        <w:t>,</w:t>
      </w:r>
      <w:r w:rsidRPr="00906BCD">
        <w:rPr>
          <w:rFonts w:cs="Times New Roman"/>
          <w:iCs/>
          <w:color w:val="000000" w:themeColor="text1"/>
          <w:szCs w:val="24"/>
        </w:rPr>
        <w:t xml:space="preserve"> </w:t>
      </w:r>
      <w:r w:rsidR="00AE395E">
        <w:rPr>
          <w:rFonts w:cs="Times New Roman"/>
          <w:iCs/>
          <w:color w:val="000000" w:themeColor="text1"/>
          <w:szCs w:val="24"/>
        </w:rPr>
        <w:t>and</w:t>
      </w:r>
      <w:r w:rsidRPr="00906BCD">
        <w:rPr>
          <w:rFonts w:cs="Times New Roman"/>
          <w:iCs/>
          <w:color w:val="000000" w:themeColor="text1"/>
          <w:szCs w:val="24"/>
        </w:rPr>
        <w:t xml:space="preserve"> terminate user accounts with three or more valid takedown notices</w:t>
      </w:r>
      <w:r>
        <w:rPr>
          <w:rFonts w:cs="Times New Roman"/>
          <w:iCs/>
          <w:color w:val="000000" w:themeColor="text1"/>
          <w:szCs w:val="24"/>
        </w:rPr>
        <w:t>, therefore</w:t>
      </w:r>
      <w:r w:rsidR="00A23D50">
        <w:rPr>
          <w:rFonts w:cs="Times New Roman"/>
          <w:iCs/>
          <w:color w:val="000000" w:themeColor="text1"/>
          <w:szCs w:val="24"/>
        </w:rPr>
        <w:t xml:space="preserve">, like </w:t>
      </w:r>
      <w:r w:rsidR="00A23D50" w:rsidRPr="00701D21">
        <w:rPr>
          <w:rFonts w:cs="Times New Roman"/>
          <w:i/>
          <w:iCs/>
          <w:color w:val="000000" w:themeColor="text1"/>
          <w:szCs w:val="24"/>
        </w:rPr>
        <w:t xml:space="preserve">Capitol Records v. </w:t>
      </w:r>
      <w:r w:rsidR="00E74433">
        <w:rPr>
          <w:rFonts w:cs="Times New Roman"/>
          <w:i/>
          <w:iCs/>
          <w:color w:val="000000" w:themeColor="text1"/>
          <w:szCs w:val="24"/>
        </w:rPr>
        <w:t>MP3tunes</w:t>
      </w:r>
      <w:r w:rsidR="00A23D50">
        <w:rPr>
          <w:rFonts w:cs="Times New Roman"/>
          <w:iCs/>
          <w:color w:val="000000" w:themeColor="text1"/>
          <w:szCs w:val="24"/>
        </w:rPr>
        <w:t xml:space="preserve">, they implement a repeat infringer policy. </w:t>
      </w:r>
      <w:r w:rsidR="002C0911">
        <w:rPr>
          <w:rFonts w:cs="Times New Roman"/>
          <w:iCs/>
          <w:color w:val="000000" w:themeColor="text1"/>
          <w:szCs w:val="24"/>
        </w:rPr>
        <w:t xml:space="preserve">In </w:t>
      </w:r>
      <w:r w:rsidR="002C0911">
        <w:rPr>
          <w:rFonts w:cs="Times New Roman"/>
          <w:i/>
          <w:iCs/>
          <w:color w:val="000000" w:themeColor="text1"/>
          <w:szCs w:val="24"/>
        </w:rPr>
        <w:t>Aimster</w:t>
      </w:r>
      <w:r w:rsidR="002C0911">
        <w:rPr>
          <w:rFonts w:cs="Times New Roman"/>
          <w:iCs/>
          <w:color w:val="000000" w:themeColor="text1"/>
          <w:szCs w:val="24"/>
        </w:rPr>
        <w:t xml:space="preserve">, Aimster encrypted its </w:t>
      </w:r>
      <w:r w:rsidR="00A23D50">
        <w:rPr>
          <w:rFonts w:cs="Times New Roman"/>
          <w:iCs/>
          <w:color w:val="000000" w:themeColor="text1"/>
          <w:szCs w:val="24"/>
        </w:rPr>
        <w:t xml:space="preserve">user </w:t>
      </w:r>
      <w:r w:rsidR="002C0911">
        <w:rPr>
          <w:rFonts w:cs="Times New Roman"/>
          <w:iCs/>
          <w:color w:val="000000" w:themeColor="text1"/>
          <w:szCs w:val="24"/>
        </w:rPr>
        <w:t>data, making it impossible to issue infringement notices</w:t>
      </w:r>
      <w:r w:rsidR="00A23D50">
        <w:rPr>
          <w:rFonts w:cs="Times New Roman"/>
          <w:iCs/>
          <w:color w:val="000000" w:themeColor="text1"/>
          <w:szCs w:val="24"/>
        </w:rPr>
        <w:t>, and so were prevented from using a safe harbor defense</w:t>
      </w:r>
      <w:r w:rsidR="002C0911">
        <w:rPr>
          <w:rFonts w:cs="Times New Roman"/>
          <w:iCs/>
          <w:color w:val="000000" w:themeColor="text1"/>
          <w:szCs w:val="24"/>
        </w:rPr>
        <w:t xml:space="preserve">. Here, Archer has not encrypted its data, and there is no indication </w:t>
      </w:r>
      <w:r w:rsidR="00A23D50">
        <w:rPr>
          <w:rFonts w:cs="Times New Roman"/>
          <w:iCs/>
          <w:color w:val="000000" w:themeColor="text1"/>
          <w:szCs w:val="24"/>
        </w:rPr>
        <w:t>of</w:t>
      </w:r>
      <w:r w:rsidR="002C0911">
        <w:rPr>
          <w:rFonts w:cs="Times New Roman"/>
          <w:iCs/>
          <w:color w:val="000000" w:themeColor="text1"/>
          <w:szCs w:val="24"/>
        </w:rPr>
        <w:t xml:space="preserve"> interfere</w:t>
      </w:r>
      <w:r w:rsidR="00A23D50">
        <w:rPr>
          <w:rFonts w:cs="Times New Roman"/>
          <w:iCs/>
          <w:color w:val="000000" w:themeColor="text1"/>
          <w:szCs w:val="24"/>
        </w:rPr>
        <w:t>nce</w:t>
      </w:r>
      <w:r w:rsidR="002C0911">
        <w:rPr>
          <w:rFonts w:cs="Times New Roman"/>
          <w:iCs/>
          <w:color w:val="000000" w:themeColor="text1"/>
          <w:szCs w:val="24"/>
        </w:rPr>
        <w:t xml:space="preserve"> with data collection, which would prevent copyright owners from issuing infringement notices</w:t>
      </w:r>
      <w:r w:rsidR="002F603C">
        <w:rPr>
          <w:rFonts w:cs="Times New Roman"/>
          <w:iCs/>
          <w:color w:val="000000" w:themeColor="text1"/>
          <w:szCs w:val="24"/>
        </w:rPr>
        <w:t xml:space="preserve">, so </w:t>
      </w:r>
      <w:r w:rsidR="009F1BCD">
        <w:rPr>
          <w:rFonts w:cs="Times New Roman"/>
          <w:iCs/>
          <w:color w:val="000000" w:themeColor="text1"/>
          <w:szCs w:val="24"/>
        </w:rPr>
        <w:t>Archer</w:t>
      </w:r>
      <w:r w:rsidR="00C55258">
        <w:rPr>
          <w:rFonts w:cs="Times New Roman"/>
          <w:iCs/>
          <w:color w:val="000000" w:themeColor="text1"/>
          <w:szCs w:val="24"/>
        </w:rPr>
        <w:t xml:space="preserve"> meet</w:t>
      </w:r>
      <w:r w:rsidR="009F1BCD">
        <w:rPr>
          <w:rFonts w:cs="Times New Roman"/>
          <w:iCs/>
          <w:color w:val="000000" w:themeColor="text1"/>
          <w:szCs w:val="24"/>
        </w:rPr>
        <w:t>s</w:t>
      </w:r>
      <w:r w:rsidR="00C55258">
        <w:rPr>
          <w:rFonts w:cs="Times New Roman"/>
          <w:iCs/>
          <w:color w:val="000000" w:themeColor="text1"/>
          <w:szCs w:val="24"/>
        </w:rPr>
        <w:t xml:space="preserve"> the requirements for a repeat infringer policy for a safe harbor defense</w:t>
      </w:r>
      <w:r w:rsidR="002C0911">
        <w:rPr>
          <w:rFonts w:cs="Times New Roman"/>
          <w:iCs/>
          <w:color w:val="000000" w:themeColor="text1"/>
          <w:szCs w:val="24"/>
        </w:rPr>
        <w:t xml:space="preserve">. </w:t>
      </w:r>
      <w:r w:rsidR="00A23D50">
        <w:rPr>
          <w:rFonts w:cs="Times New Roman"/>
          <w:iCs/>
          <w:color w:val="000000" w:themeColor="text1"/>
          <w:szCs w:val="24"/>
        </w:rPr>
        <w:t xml:space="preserve">Archer’s sufficient repeat infringer policy is reaffirmed by the </w:t>
      </w:r>
      <w:r w:rsidR="00644E96">
        <w:rPr>
          <w:rFonts w:cs="Times New Roman"/>
          <w:iCs/>
          <w:color w:val="000000" w:themeColor="text1"/>
          <w:szCs w:val="24"/>
        </w:rPr>
        <w:t xml:space="preserve">S.D.N.Y.’s </w:t>
      </w:r>
      <w:r w:rsidR="00A23D50">
        <w:rPr>
          <w:rFonts w:cs="Times New Roman"/>
          <w:iCs/>
          <w:color w:val="000000" w:themeColor="text1"/>
          <w:szCs w:val="24"/>
        </w:rPr>
        <w:t>determination i</w:t>
      </w:r>
      <w:r w:rsidR="00A23D50" w:rsidRPr="00906BCD">
        <w:rPr>
          <w:rFonts w:cs="Times New Roman"/>
          <w:iCs/>
          <w:color w:val="000000" w:themeColor="text1"/>
          <w:szCs w:val="24"/>
        </w:rPr>
        <w:t xml:space="preserve">n </w:t>
      </w:r>
      <w:r w:rsidR="00A23D50" w:rsidRPr="00906BCD">
        <w:rPr>
          <w:rFonts w:cs="Times New Roman"/>
          <w:i/>
          <w:iCs/>
          <w:color w:val="000000" w:themeColor="text1"/>
          <w:szCs w:val="24"/>
        </w:rPr>
        <w:t>Viacom</w:t>
      </w:r>
      <w:r w:rsidR="00A23D50" w:rsidRPr="00906BCD">
        <w:rPr>
          <w:rFonts w:cs="Times New Roman"/>
          <w:iCs/>
          <w:color w:val="000000" w:themeColor="text1"/>
          <w:szCs w:val="24"/>
        </w:rPr>
        <w:t xml:space="preserve">, </w:t>
      </w:r>
      <w:r w:rsidR="00A23D50">
        <w:rPr>
          <w:rFonts w:cs="Times New Roman"/>
          <w:iCs/>
          <w:color w:val="000000" w:themeColor="text1"/>
          <w:szCs w:val="24"/>
        </w:rPr>
        <w:t xml:space="preserve">which found that </w:t>
      </w:r>
      <w:r w:rsidR="00A23D50" w:rsidRPr="00906BCD">
        <w:rPr>
          <w:rFonts w:cs="Times New Roman"/>
          <w:iCs/>
          <w:color w:val="000000" w:themeColor="text1"/>
          <w:szCs w:val="24"/>
        </w:rPr>
        <w:t>a reasonable policy only required the termination of repeat infringers.</w:t>
      </w:r>
    </w:p>
    <w:p w14:paraId="03293F78" w14:textId="63B03684" w:rsidR="003D6AFD" w:rsidRPr="00644E96" w:rsidRDefault="00211341" w:rsidP="00D86002">
      <w:pPr>
        <w:widowControl w:val="0"/>
        <w:ind w:firstLine="360"/>
        <w:rPr>
          <w:rFonts w:cs="Times New Roman"/>
          <w:szCs w:val="24"/>
        </w:rPr>
      </w:pPr>
      <w:r w:rsidRPr="00644E96">
        <w:rPr>
          <w:rFonts w:cs="Times New Roman"/>
          <w:szCs w:val="24"/>
        </w:rPr>
        <w:t>Archer may meet the third threshold</w:t>
      </w:r>
      <w:r w:rsidR="00701D21" w:rsidRPr="00644E96">
        <w:rPr>
          <w:rFonts w:cs="Times New Roman"/>
          <w:szCs w:val="24"/>
        </w:rPr>
        <w:t>:</w:t>
      </w:r>
      <w:r w:rsidRPr="00644E96">
        <w:rPr>
          <w:rFonts w:cs="Times New Roman"/>
          <w:szCs w:val="24"/>
        </w:rPr>
        <w:t xml:space="preserve"> accommodating standard technical measures</w:t>
      </w:r>
      <w:r w:rsidR="0010172E" w:rsidRPr="00644E96">
        <w:rPr>
          <w:rFonts w:cs="Times New Roman"/>
          <w:szCs w:val="24"/>
        </w:rPr>
        <w:t xml:space="preserve">. In </w:t>
      </w:r>
      <w:r w:rsidR="0010172E" w:rsidRPr="00644E96">
        <w:rPr>
          <w:rFonts w:cs="Times New Roman"/>
          <w:i/>
          <w:szCs w:val="24"/>
        </w:rPr>
        <w:t xml:space="preserve">Viacom, </w:t>
      </w:r>
      <w:r w:rsidR="0010172E" w:rsidRPr="00644E96">
        <w:rPr>
          <w:rFonts w:cs="Times New Roman"/>
          <w:szCs w:val="24"/>
        </w:rPr>
        <w:t xml:space="preserve">YouTube implemented digital fingerprinting which automatically blocked submissions </w:t>
      </w:r>
      <w:r w:rsidR="00715E1E" w:rsidRPr="00644E96">
        <w:rPr>
          <w:rFonts w:cs="Times New Roman"/>
          <w:szCs w:val="24"/>
        </w:rPr>
        <w:t>that</w:t>
      </w:r>
      <w:r w:rsidR="0010172E" w:rsidRPr="00644E96">
        <w:rPr>
          <w:rFonts w:cs="Times New Roman"/>
          <w:szCs w:val="24"/>
        </w:rPr>
        <w:t xml:space="preserve"> </w:t>
      </w:r>
      <w:r w:rsidR="00715E1E" w:rsidRPr="00644E96">
        <w:rPr>
          <w:rFonts w:cs="Times New Roman"/>
          <w:szCs w:val="24"/>
        </w:rPr>
        <w:t>matched</w:t>
      </w:r>
      <w:r w:rsidR="0010172E" w:rsidRPr="00644E96">
        <w:rPr>
          <w:rFonts w:cs="Times New Roman"/>
          <w:szCs w:val="24"/>
        </w:rPr>
        <w:t xml:space="preserve"> </w:t>
      </w:r>
      <w:r w:rsidR="00715E1E" w:rsidRPr="00644E96">
        <w:rPr>
          <w:rFonts w:cs="Times New Roman"/>
          <w:szCs w:val="24"/>
        </w:rPr>
        <w:t xml:space="preserve">previously reported </w:t>
      </w:r>
      <w:r w:rsidR="0010172E" w:rsidRPr="00644E96">
        <w:rPr>
          <w:rFonts w:cs="Times New Roman"/>
          <w:szCs w:val="24"/>
        </w:rPr>
        <w:t>infringing material</w:t>
      </w:r>
      <w:r w:rsidR="008B5E46" w:rsidRPr="00644E96">
        <w:rPr>
          <w:rFonts w:cs="Times New Roman"/>
          <w:szCs w:val="24"/>
        </w:rPr>
        <w:t>, and was granted use of a safe harbor</w:t>
      </w:r>
      <w:r w:rsidR="00715E1E" w:rsidRPr="00644E96">
        <w:rPr>
          <w:rFonts w:cs="Times New Roman"/>
          <w:szCs w:val="24"/>
        </w:rPr>
        <w:t xml:space="preserve"> defense</w:t>
      </w:r>
      <w:r w:rsidR="0010172E" w:rsidRPr="00644E96">
        <w:rPr>
          <w:rFonts w:cs="Times New Roman"/>
          <w:szCs w:val="24"/>
        </w:rPr>
        <w:t xml:space="preserve">. </w:t>
      </w:r>
      <w:r w:rsidRPr="00644E96">
        <w:rPr>
          <w:rFonts w:cs="Times New Roman"/>
          <w:szCs w:val="24"/>
        </w:rPr>
        <w:t xml:space="preserve">Here, Archer has the </w:t>
      </w:r>
      <w:r w:rsidR="008B5E46" w:rsidRPr="00644E96">
        <w:rPr>
          <w:rFonts w:cs="Times New Roman"/>
          <w:szCs w:val="24"/>
        </w:rPr>
        <w:t xml:space="preserve">technical </w:t>
      </w:r>
      <w:r w:rsidRPr="00644E96">
        <w:rPr>
          <w:rFonts w:cs="Times New Roman"/>
          <w:szCs w:val="24"/>
        </w:rPr>
        <w:t>means of preventing the re-upload of infringing material</w:t>
      </w:r>
      <w:r w:rsidR="008B5E46" w:rsidRPr="00644E96">
        <w:rPr>
          <w:rFonts w:cs="Times New Roman"/>
          <w:szCs w:val="24"/>
        </w:rPr>
        <w:t>, and therefore accommodates standard technical measures</w:t>
      </w:r>
      <w:r w:rsidRPr="00644E96">
        <w:rPr>
          <w:rFonts w:cs="Times New Roman"/>
          <w:szCs w:val="24"/>
        </w:rPr>
        <w:t xml:space="preserve">. </w:t>
      </w:r>
      <w:r w:rsidR="00715E1E" w:rsidRPr="00644E96">
        <w:rPr>
          <w:rFonts w:cs="Times New Roman"/>
          <w:szCs w:val="24"/>
        </w:rPr>
        <w:t xml:space="preserve">However, standard technical measures have not been defined in detail by courts, and </w:t>
      </w:r>
      <w:r w:rsidR="00644E96" w:rsidRPr="00644E96">
        <w:rPr>
          <w:rFonts w:cs="Times New Roman"/>
          <w:szCs w:val="24"/>
        </w:rPr>
        <w:t>therefore</w:t>
      </w:r>
      <w:r w:rsidR="00715E1E" w:rsidRPr="00644E96">
        <w:rPr>
          <w:rFonts w:cs="Times New Roman"/>
          <w:szCs w:val="24"/>
        </w:rPr>
        <w:t xml:space="preserve"> more facts </w:t>
      </w:r>
      <w:r w:rsidR="0077516E" w:rsidRPr="00644E96">
        <w:rPr>
          <w:rFonts w:cs="Times New Roman"/>
          <w:szCs w:val="24"/>
        </w:rPr>
        <w:t xml:space="preserve">regarding Archer’s technical measures are required for a more definite analysis. </w:t>
      </w:r>
    </w:p>
    <w:p w14:paraId="5C518E9E" w14:textId="3F3CE894" w:rsidR="00064521" w:rsidRPr="00906BCD" w:rsidRDefault="00192141" w:rsidP="00D86002">
      <w:pPr>
        <w:widowControl w:val="0"/>
        <w:ind w:firstLine="360"/>
        <w:contextualSpacing/>
        <w:rPr>
          <w:rFonts w:cs="Times New Roman"/>
          <w:szCs w:val="24"/>
        </w:rPr>
      </w:pPr>
      <w:r w:rsidRPr="00906BCD">
        <w:rPr>
          <w:rFonts w:cs="Times New Roman"/>
          <w:szCs w:val="24"/>
        </w:rPr>
        <w:t xml:space="preserve">Archer’s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will likely be granted </w:t>
      </w:r>
      <w:r w:rsidR="00306CA4">
        <w:rPr>
          <w:rFonts w:cs="Times New Roman"/>
          <w:szCs w:val="24"/>
        </w:rPr>
        <w:t>due to</w:t>
      </w:r>
      <w:r w:rsidR="008845F4">
        <w:rPr>
          <w:rFonts w:cs="Times New Roman"/>
          <w:szCs w:val="24"/>
        </w:rPr>
        <w:t xml:space="preserve"> the </w:t>
      </w:r>
      <w:r w:rsidR="00644E96">
        <w:rPr>
          <w:rFonts w:cs="Times New Roman"/>
          <w:szCs w:val="24"/>
        </w:rPr>
        <w:t>S.D.N.Y.’s</w:t>
      </w:r>
      <w:r w:rsidR="008845F4">
        <w:rPr>
          <w:rFonts w:cs="Times New Roman"/>
          <w:szCs w:val="24"/>
        </w:rPr>
        <w:t xml:space="preserve"> likely subscription to the registration approach </w:t>
      </w:r>
      <w:r w:rsidRPr="00906BCD">
        <w:rPr>
          <w:rFonts w:cs="Times New Roman"/>
          <w:szCs w:val="24"/>
        </w:rPr>
        <w:t xml:space="preserve">because Janeway applied for copyright registration on the same day she filed </w:t>
      </w:r>
      <w:r w:rsidR="008845F4">
        <w:rPr>
          <w:rFonts w:cs="Times New Roman"/>
          <w:szCs w:val="24"/>
        </w:rPr>
        <w:t xml:space="preserve">an </w:t>
      </w:r>
      <w:r w:rsidRPr="00906BCD">
        <w:rPr>
          <w:rFonts w:cs="Times New Roman"/>
          <w:szCs w:val="24"/>
        </w:rPr>
        <w:t>infringement</w:t>
      </w:r>
      <w:r w:rsidR="008845F4">
        <w:rPr>
          <w:rFonts w:cs="Times New Roman"/>
          <w:szCs w:val="24"/>
        </w:rPr>
        <w:t xml:space="preserve"> suit</w:t>
      </w:r>
      <w:r w:rsidRPr="00906BCD">
        <w:rPr>
          <w:rFonts w:cs="Times New Roman"/>
          <w:szCs w:val="24"/>
        </w:rPr>
        <w:t xml:space="preserve">, which is insufficient as her application has not been accepted or rejected by the </w:t>
      </w:r>
      <w:r w:rsidR="00644E96">
        <w:rPr>
          <w:rFonts w:cs="Times New Roman"/>
          <w:szCs w:val="24"/>
        </w:rPr>
        <w:t>C</w:t>
      </w:r>
      <w:r w:rsidRPr="00906BCD">
        <w:rPr>
          <w:rFonts w:cs="Times New Roman"/>
          <w:szCs w:val="24"/>
        </w:rPr>
        <w:t xml:space="preserve">opyright </w:t>
      </w:r>
      <w:r w:rsidR="00644E96">
        <w:rPr>
          <w:rFonts w:cs="Times New Roman"/>
          <w:szCs w:val="24"/>
        </w:rPr>
        <w:t>O</w:t>
      </w:r>
      <w:r w:rsidRPr="00906BCD">
        <w:rPr>
          <w:rFonts w:cs="Times New Roman"/>
          <w:szCs w:val="24"/>
        </w:rPr>
        <w:t xml:space="preserve">ffice. Further, Archer may also be eligible for </w:t>
      </w:r>
      <w:r w:rsidR="008845F4">
        <w:rPr>
          <w:rFonts w:cs="Times New Roman"/>
          <w:szCs w:val="24"/>
        </w:rPr>
        <w:t xml:space="preserve">a </w:t>
      </w:r>
      <w:r w:rsidRPr="00906BCD">
        <w:rPr>
          <w:rFonts w:cs="Times New Roman"/>
          <w:szCs w:val="24"/>
        </w:rPr>
        <w:t xml:space="preserve">safe harbor </w:t>
      </w:r>
      <w:r w:rsidR="008845F4">
        <w:rPr>
          <w:rFonts w:cs="Times New Roman"/>
          <w:szCs w:val="24"/>
        </w:rPr>
        <w:t xml:space="preserve">defense </w:t>
      </w:r>
      <w:r w:rsidRPr="00906BCD">
        <w:rPr>
          <w:rFonts w:cs="Times New Roman"/>
          <w:szCs w:val="24"/>
        </w:rPr>
        <w:t xml:space="preserve">because they are a service provider, terminate repeat infringers, </w:t>
      </w:r>
      <w:r w:rsidR="008845F4">
        <w:rPr>
          <w:rFonts w:cs="Times New Roman"/>
          <w:szCs w:val="24"/>
        </w:rPr>
        <w:t>accommodate</w:t>
      </w:r>
      <w:r w:rsidRPr="00906BCD">
        <w:rPr>
          <w:rFonts w:cs="Times New Roman"/>
          <w:szCs w:val="24"/>
        </w:rPr>
        <w:t xml:space="preserve"> standard technical measures. The Second Circuit and </w:t>
      </w:r>
      <w:r w:rsidR="008845F4">
        <w:rPr>
          <w:rFonts w:cs="Times New Roman"/>
          <w:szCs w:val="24"/>
        </w:rPr>
        <w:t>S.D.N.Y</w:t>
      </w:r>
      <w:r w:rsidRPr="00906BCD">
        <w:rPr>
          <w:rFonts w:cs="Times New Roman"/>
          <w:szCs w:val="24"/>
        </w:rPr>
        <w:t xml:space="preserve"> </w:t>
      </w:r>
      <w:r w:rsidR="0094766E">
        <w:rPr>
          <w:rFonts w:cs="Times New Roman"/>
          <w:szCs w:val="24"/>
        </w:rPr>
        <w:t>are</w:t>
      </w:r>
      <w:r w:rsidRPr="00906BCD">
        <w:rPr>
          <w:rFonts w:cs="Times New Roman"/>
          <w:szCs w:val="24"/>
        </w:rPr>
        <w:t xml:space="preserve"> likely to use the registration approach of interpreting 17 U.S.C. § 411(a), </w:t>
      </w:r>
      <w:r w:rsidR="00644E96">
        <w:rPr>
          <w:rFonts w:cs="Times New Roman"/>
          <w:szCs w:val="24"/>
        </w:rPr>
        <w:t>requiring</w:t>
      </w:r>
      <w:r w:rsidRPr="00906BCD">
        <w:rPr>
          <w:rFonts w:cs="Times New Roman"/>
          <w:szCs w:val="24"/>
        </w:rPr>
        <w:t xml:space="preserve"> applications to be accepted or rejected by the Copyright Office. Janeway’s claim under </w:t>
      </w:r>
      <w:r w:rsidR="008845F4">
        <w:rPr>
          <w:rFonts w:cs="Times New Roman"/>
          <w:szCs w:val="24"/>
        </w:rPr>
        <w:t>VARA</w:t>
      </w:r>
      <w:r w:rsidRPr="00906BCD">
        <w:rPr>
          <w:rFonts w:cs="Times New Roman"/>
          <w:szCs w:val="24"/>
        </w:rPr>
        <w:t xml:space="preserve"> will be dismissed because the music video is not a work of visual art</w:t>
      </w:r>
      <w:r w:rsidR="008845F4">
        <w:rPr>
          <w:rFonts w:cs="Times New Roman"/>
          <w:szCs w:val="24"/>
        </w:rPr>
        <w:t xml:space="preserve"> according to § 101</w:t>
      </w:r>
      <w:r w:rsidRPr="00906BCD">
        <w:rPr>
          <w:rFonts w:cs="Times New Roman"/>
          <w:szCs w:val="24"/>
        </w:rPr>
        <w:t>, and it is</w:t>
      </w:r>
      <w:r w:rsidR="008845F4">
        <w:rPr>
          <w:rFonts w:cs="Times New Roman"/>
          <w:szCs w:val="24"/>
        </w:rPr>
        <w:t xml:space="preserve"> </w:t>
      </w:r>
      <w:r w:rsidRPr="00906BCD">
        <w:rPr>
          <w:rFonts w:cs="Times New Roman"/>
          <w:szCs w:val="24"/>
        </w:rPr>
        <w:t>promotional</w:t>
      </w:r>
      <w:r w:rsidR="008845F4">
        <w:rPr>
          <w:rFonts w:cs="Times New Roman"/>
          <w:szCs w:val="24"/>
        </w:rPr>
        <w:t xml:space="preserve"> in purpose</w:t>
      </w:r>
      <w:r w:rsidRPr="00906BCD">
        <w:rPr>
          <w:rFonts w:cs="Times New Roman"/>
          <w:szCs w:val="24"/>
        </w:rPr>
        <w:t xml:space="preserve">. </w:t>
      </w:r>
      <w:r w:rsidR="00C70A7C">
        <w:rPr>
          <w:rFonts w:cs="Times New Roman"/>
          <w:szCs w:val="24"/>
        </w:rPr>
        <w:t xml:space="preserve">17 U.S.C. § 101. </w:t>
      </w:r>
      <w:r w:rsidRPr="00906BCD">
        <w:rPr>
          <w:rFonts w:cs="Times New Roman"/>
          <w:szCs w:val="24"/>
        </w:rPr>
        <w:t xml:space="preserve">If the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is denied, Archer may be able to use a safe harbor defense. However, from the facts presented it is unclear if Archer meets the safe harbor threshold </w:t>
      </w:r>
      <w:r w:rsidR="00644E96">
        <w:rPr>
          <w:rFonts w:cs="Times New Roman"/>
          <w:szCs w:val="24"/>
        </w:rPr>
        <w:t xml:space="preserve">of </w:t>
      </w:r>
      <w:r w:rsidR="00190248">
        <w:rPr>
          <w:rFonts w:cs="Times New Roman"/>
          <w:szCs w:val="24"/>
        </w:rPr>
        <w:t>accommodating</w:t>
      </w:r>
      <w:r w:rsidRPr="00906BCD">
        <w:rPr>
          <w:rFonts w:cs="Times New Roman"/>
          <w:szCs w:val="24"/>
        </w:rPr>
        <w:t xml:space="preserve"> standard technical measures. </w:t>
      </w:r>
      <w:bookmarkEnd w:id="4"/>
    </w:p>
    <w:sectPr w:rsidR="00064521" w:rsidRPr="00906BCD" w:rsidSect="00D86002">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E3233C" w:rsidRDefault="00E3233C" w:rsidP="00CF012A">
      <w:pPr>
        <w:spacing w:line="240" w:lineRule="auto"/>
      </w:pPr>
      <w:r>
        <w:separator/>
      </w:r>
    </w:p>
  </w:endnote>
  <w:endnote w:type="continuationSeparator" w:id="0">
    <w:p w14:paraId="2A942585" w14:textId="77777777" w:rsidR="00E3233C" w:rsidRDefault="00E3233C"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215089"/>
      <w:docPartObj>
        <w:docPartGallery w:val="Page Numbers (Bottom of Page)"/>
        <w:docPartUnique/>
      </w:docPartObj>
    </w:sdtPr>
    <w:sdtEndPr>
      <w:rPr>
        <w:noProof/>
      </w:rPr>
    </w:sdtEndPr>
    <w:sdtContent>
      <w:p w14:paraId="517F3A2A" w14:textId="20FE528E" w:rsidR="00E3233C" w:rsidRDefault="00E3233C">
        <w:pPr>
          <w:pStyle w:val="Footer"/>
          <w:jc w:val="center"/>
        </w:pPr>
        <w:r>
          <w:fldChar w:fldCharType="begin"/>
        </w:r>
        <w:r>
          <w:instrText xml:space="preserve"> PAGE   \* MERGEFORMAT </w:instrText>
        </w:r>
        <w:r>
          <w:fldChar w:fldCharType="separate"/>
        </w:r>
        <w:r w:rsidR="00266171">
          <w:rPr>
            <w:noProof/>
          </w:rPr>
          <w:t>12</w:t>
        </w:r>
        <w:r>
          <w:rPr>
            <w:noProof/>
          </w:rPr>
          <w:fldChar w:fldCharType="end"/>
        </w:r>
      </w:p>
    </w:sdtContent>
  </w:sdt>
  <w:p w14:paraId="79B03EAB" w14:textId="77777777" w:rsidR="00E3233C" w:rsidRDefault="00E32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E3233C" w:rsidRDefault="00E3233C" w:rsidP="00CF012A">
      <w:pPr>
        <w:spacing w:line="240" w:lineRule="auto"/>
      </w:pPr>
      <w:r>
        <w:separator/>
      </w:r>
    </w:p>
  </w:footnote>
  <w:footnote w:type="continuationSeparator" w:id="0">
    <w:p w14:paraId="472D0223" w14:textId="77777777" w:rsidR="00E3233C" w:rsidRDefault="00E3233C"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0A1B"/>
    <w:rsid w:val="00015CD5"/>
    <w:rsid w:val="000317A7"/>
    <w:rsid w:val="00032293"/>
    <w:rsid w:val="00040D86"/>
    <w:rsid w:val="00042BC8"/>
    <w:rsid w:val="000569DE"/>
    <w:rsid w:val="00064521"/>
    <w:rsid w:val="00085BB9"/>
    <w:rsid w:val="00090D16"/>
    <w:rsid w:val="0009385D"/>
    <w:rsid w:val="00097F92"/>
    <w:rsid w:val="000B1818"/>
    <w:rsid w:val="000B6FAB"/>
    <w:rsid w:val="000C1606"/>
    <w:rsid w:val="000D2534"/>
    <w:rsid w:val="000D3BD2"/>
    <w:rsid w:val="000E1C36"/>
    <w:rsid w:val="000E2947"/>
    <w:rsid w:val="000F44BE"/>
    <w:rsid w:val="000F6A2A"/>
    <w:rsid w:val="00100D73"/>
    <w:rsid w:val="00100E80"/>
    <w:rsid w:val="0010172E"/>
    <w:rsid w:val="00112E4C"/>
    <w:rsid w:val="00114558"/>
    <w:rsid w:val="00123E38"/>
    <w:rsid w:val="0012481B"/>
    <w:rsid w:val="00134A32"/>
    <w:rsid w:val="00135DD4"/>
    <w:rsid w:val="00136B3A"/>
    <w:rsid w:val="00137204"/>
    <w:rsid w:val="00140A78"/>
    <w:rsid w:val="00145515"/>
    <w:rsid w:val="00161981"/>
    <w:rsid w:val="001628AB"/>
    <w:rsid w:val="001717CE"/>
    <w:rsid w:val="001753E2"/>
    <w:rsid w:val="001776DF"/>
    <w:rsid w:val="001840B3"/>
    <w:rsid w:val="00187532"/>
    <w:rsid w:val="00187586"/>
    <w:rsid w:val="00190248"/>
    <w:rsid w:val="00190FA1"/>
    <w:rsid w:val="00192141"/>
    <w:rsid w:val="001A33E6"/>
    <w:rsid w:val="001B13E3"/>
    <w:rsid w:val="001D24C5"/>
    <w:rsid w:val="001E6888"/>
    <w:rsid w:val="001F2BE3"/>
    <w:rsid w:val="001F53A3"/>
    <w:rsid w:val="001F5F4D"/>
    <w:rsid w:val="001F60C6"/>
    <w:rsid w:val="002051A3"/>
    <w:rsid w:val="00206479"/>
    <w:rsid w:val="00211341"/>
    <w:rsid w:val="002114B7"/>
    <w:rsid w:val="00237B72"/>
    <w:rsid w:val="00240750"/>
    <w:rsid w:val="00254BF0"/>
    <w:rsid w:val="0025779C"/>
    <w:rsid w:val="002579DB"/>
    <w:rsid w:val="00261946"/>
    <w:rsid w:val="00266171"/>
    <w:rsid w:val="00290A66"/>
    <w:rsid w:val="00290A84"/>
    <w:rsid w:val="00296054"/>
    <w:rsid w:val="002A3D00"/>
    <w:rsid w:val="002A73DC"/>
    <w:rsid w:val="002B546E"/>
    <w:rsid w:val="002C0911"/>
    <w:rsid w:val="002C152B"/>
    <w:rsid w:val="002D658A"/>
    <w:rsid w:val="002E2C35"/>
    <w:rsid w:val="002E7F31"/>
    <w:rsid w:val="002F3D90"/>
    <w:rsid w:val="002F603C"/>
    <w:rsid w:val="00305E4D"/>
    <w:rsid w:val="00306703"/>
    <w:rsid w:val="00306CA4"/>
    <w:rsid w:val="00307F63"/>
    <w:rsid w:val="00322793"/>
    <w:rsid w:val="00327C0F"/>
    <w:rsid w:val="00343643"/>
    <w:rsid w:val="00347D23"/>
    <w:rsid w:val="00350656"/>
    <w:rsid w:val="00380EF7"/>
    <w:rsid w:val="003950C3"/>
    <w:rsid w:val="0039626E"/>
    <w:rsid w:val="003A2C5C"/>
    <w:rsid w:val="003A4232"/>
    <w:rsid w:val="003B5517"/>
    <w:rsid w:val="003B6BFA"/>
    <w:rsid w:val="003B7B73"/>
    <w:rsid w:val="003D26B8"/>
    <w:rsid w:val="003D3399"/>
    <w:rsid w:val="003D393A"/>
    <w:rsid w:val="003D3967"/>
    <w:rsid w:val="003D4264"/>
    <w:rsid w:val="003D500E"/>
    <w:rsid w:val="003D6AFD"/>
    <w:rsid w:val="003E358E"/>
    <w:rsid w:val="003E4335"/>
    <w:rsid w:val="00420614"/>
    <w:rsid w:val="0043043C"/>
    <w:rsid w:val="00460540"/>
    <w:rsid w:val="0046441F"/>
    <w:rsid w:val="00477985"/>
    <w:rsid w:val="0048320B"/>
    <w:rsid w:val="004928F3"/>
    <w:rsid w:val="00497283"/>
    <w:rsid w:val="004A57C0"/>
    <w:rsid w:val="004C2FF1"/>
    <w:rsid w:val="004C4538"/>
    <w:rsid w:val="004D094B"/>
    <w:rsid w:val="004D40C5"/>
    <w:rsid w:val="004D5A9C"/>
    <w:rsid w:val="004E4EE2"/>
    <w:rsid w:val="004E73B5"/>
    <w:rsid w:val="004F0350"/>
    <w:rsid w:val="004F0ECC"/>
    <w:rsid w:val="004F4700"/>
    <w:rsid w:val="004F5915"/>
    <w:rsid w:val="004F70C6"/>
    <w:rsid w:val="004F76C5"/>
    <w:rsid w:val="00502D3B"/>
    <w:rsid w:val="00503736"/>
    <w:rsid w:val="00521B85"/>
    <w:rsid w:val="00521E6A"/>
    <w:rsid w:val="00522F26"/>
    <w:rsid w:val="0052469A"/>
    <w:rsid w:val="005342AC"/>
    <w:rsid w:val="00535C4E"/>
    <w:rsid w:val="00551C4B"/>
    <w:rsid w:val="00556C96"/>
    <w:rsid w:val="005571CA"/>
    <w:rsid w:val="0056142C"/>
    <w:rsid w:val="0056487A"/>
    <w:rsid w:val="0059280E"/>
    <w:rsid w:val="005952D3"/>
    <w:rsid w:val="005976DD"/>
    <w:rsid w:val="005A054E"/>
    <w:rsid w:val="005A1FFA"/>
    <w:rsid w:val="005B3EE5"/>
    <w:rsid w:val="005C5AE4"/>
    <w:rsid w:val="005D2DB1"/>
    <w:rsid w:val="005D7A4A"/>
    <w:rsid w:val="005E2833"/>
    <w:rsid w:val="005E3D95"/>
    <w:rsid w:val="005E74A8"/>
    <w:rsid w:val="005F39B4"/>
    <w:rsid w:val="006063F0"/>
    <w:rsid w:val="0061204A"/>
    <w:rsid w:val="00615551"/>
    <w:rsid w:val="006262AA"/>
    <w:rsid w:val="00633288"/>
    <w:rsid w:val="00640036"/>
    <w:rsid w:val="006419A0"/>
    <w:rsid w:val="00642BD6"/>
    <w:rsid w:val="00644E96"/>
    <w:rsid w:val="006526A9"/>
    <w:rsid w:val="00652A4F"/>
    <w:rsid w:val="00655591"/>
    <w:rsid w:val="006710A9"/>
    <w:rsid w:val="006738E4"/>
    <w:rsid w:val="00674057"/>
    <w:rsid w:val="006744C4"/>
    <w:rsid w:val="006A1AE8"/>
    <w:rsid w:val="006C3049"/>
    <w:rsid w:val="006C73C2"/>
    <w:rsid w:val="006C75C3"/>
    <w:rsid w:val="006D683E"/>
    <w:rsid w:val="006E0AC4"/>
    <w:rsid w:val="006E21F6"/>
    <w:rsid w:val="006E4D7E"/>
    <w:rsid w:val="006F0F30"/>
    <w:rsid w:val="006F45BB"/>
    <w:rsid w:val="00700592"/>
    <w:rsid w:val="007018D5"/>
    <w:rsid w:val="00701D21"/>
    <w:rsid w:val="007070CA"/>
    <w:rsid w:val="00715E1E"/>
    <w:rsid w:val="00717A3D"/>
    <w:rsid w:val="0072117A"/>
    <w:rsid w:val="007276FB"/>
    <w:rsid w:val="00735116"/>
    <w:rsid w:val="00755D07"/>
    <w:rsid w:val="00756108"/>
    <w:rsid w:val="00757C24"/>
    <w:rsid w:val="00762B23"/>
    <w:rsid w:val="0076302A"/>
    <w:rsid w:val="00763F09"/>
    <w:rsid w:val="0077516E"/>
    <w:rsid w:val="00780AD6"/>
    <w:rsid w:val="00793566"/>
    <w:rsid w:val="00796D9F"/>
    <w:rsid w:val="007A0CA8"/>
    <w:rsid w:val="007A58FC"/>
    <w:rsid w:val="007A6162"/>
    <w:rsid w:val="007B7AEA"/>
    <w:rsid w:val="007C59E6"/>
    <w:rsid w:val="007D0CFE"/>
    <w:rsid w:val="007F048D"/>
    <w:rsid w:val="00803992"/>
    <w:rsid w:val="00807BCE"/>
    <w:rsid w:val="00810C5C"/>
    <w:rsid w:val="00813604"/>
    <w:rsid w:val="008179B0"/>
    <w:rsid w:val="00822DC4"/>
    <w:rsid w:val="00832669"/>
    <w:rsid w:val="00833A37"/>
    <w:rsid w:val="00834BB9"/>
    <w:rsid w:val="00835EB0"/>
    <w:rsid w:val="00840568"/>
    <w:rsid w:val="00853C6D"/>
    <w:rsid w:val="00857993"/>
    <w:rsid w:val="00876ACB"/>
    <w:rsid w:val="0087724F"/>
    <w:rsid w:val="00880C48"/>
    <w:rsid w:val="008823D3"/>
    <w:rsid w:val="008845F4"/>
    <w:rsid w:val="008B5E46"/>
    <w:rsid w:val="008C135B"/>
    <w:rsid w:val="008C3132"/>
    <w:rsid w:val="008C7D52"/>
    <w:rsid w:val="008D0AE7"/>
    <w:rsid w:val="008E4AC0"/>
    <w:rsid w:val="00901211"/>
    <w:rsid w:val="009045C1"/>
    <w:rsid w:val="00906BCD"/>
    <w:rsid w:val="00907F71"/>
    <w:rsid w:val="009123FD"/>
    <w:rsid w:val="00920FEE"/>
    <w:rsid w:val="0093014F"/>
    <w:rsid w:val="0094766E"/>
    <w:rsid w:val="00952AD2"/>
    <w:rsid w:val="00956CC5"/>
    <w:rsid w:val="009606FD"/>
    <w:rsid w:val="009640D5"/>
    <w:rsid w:val="00974BCD"/>
    <w:rsid w:val="00977F01"/>
    <w:rsid w:val="00980D70"/>
    <w:rsid w:val="00982EF8"/>
    <w:rsid w:val="00992054"/>
    <w:rsid w:val="009A336B"/>
    <w:rsid w:val="009A6146"/>
    <w:rsid w:val="009B690C"/>
    <w:rsid w:val="009C075E"/>
    <w:rsid w:val="009C6D31"/>
    <w:rsid w:val="009D39C0"/>
    <w:rsid w:val="009E146E"/>
    <w:rsid w:val="009F1BCD"/>
    <w:rsid w:val="00A00FBD"/>
    <w:rsid w:val="00A0509F"/>
    <w:rsid w:val="00A072F2"/>
    <w:rsid w:val="00A17C0C"/>
    <w:rsid w:val="00A23D50"/>
    <w:rsid w:val="00A32BDE"/>
    <w:rsid w:val="00A3731B"/>
    <w:rsid w:val="00A45280"/>
    <w:rsid w:val="00A5277A"/>
    <w:rsid w:val="00A64B7F"/>
    <w:rsid w:val="00A6613D"/>
    <w:rsid w:val="00A73558"/>
    <w:rsid w:val="00A80BF7"/>
    <w:rsid w:val="00A82E82"/>
    <w:rsid w:val="00A82F0B"/>
    <w:rsid w:val="00A83C49"/>
    <w:rsid w:val="00A87E63"/>
    <w:rsid w:val="00AC263F"/>
    <w:rsid w:val="00AC475B"/>
    <w:rsid w:val="00AD1A52"/>
    <w:rsid w:val="00AD1B04"/>
    <w:rsid w:val="00AE395E"/>
    <w:rsid w:val="00AE5388"/>
    <w:rsid w:val="00AF7BFF"/>
    <w:rsid w:val="00B06E41"/>
    <w:rsid w:val="00B16C56"/>
    <w:rsid w:val="00B369A8"/>
    <w:rsid w:val="00B40369"/>
    <w:rsid w:val="00B40FFA"/>
    <w:rsid w:val="00B51AAF"/>
    <w:rsid w:val="00B55299"/>
    <w:rsid w:val="00B777A1"/>
    <w:rsid w:val="00B800D5"/>
    <w:rsid w:val="00BA363F"/>
    <w:rsid w:val="00BA450D"/>
    <w:rsid w:val="00BA5D06"/>
    <w:rsid w:val="00BB0D7C"/>
    <w:rsid w:val="00BB2AA6"/>
    <w:rsid w:val="00BC71FE"/>
    <w:rsid w:val="00BF1252"/>
    <w:rsid w:val="00BF30F9"/>
    <w:rsid w:val="00BF6BA9"/>
    <w:rsid w:val="00C01822"/>
    <w:rsid w:val="00C123C7"/>
    <w:rsid w:val="00C2643B"/>
    <w:rsid w:val="00C27E7B"/>
    <w:rsid w:val="00C328B6"/>
    <w:rsid w:val="00C353E8"/>
    <w:rsid w:val="00C45D61"/>
    <w:rsid w:val="00C461F9"/>
    <w:rsid w:val="00C55258"/>
    <w:rsid w:val="00C70A7C"/>
    <w:rsid w:val="00C71B3F"/>
    <w:rsid w:val="00C924E6"/>
    <w:rsid w:val="00CA2EEF"/>
    <w:rsid w:val="00CB51F8"/>
    <w:rsid w:val="00CD5AD5"/>
    <w:rsid w:val="00CE0D55"/>
    <w:rsid w:val="00CF012A"/>
    <w:rsid w:val="00CF2092"/>
    <w:rsid w:val="00CF246F"/>
    <w:rsid w:val="00D006C5"/>
    <w:rsid w:val="00D06858"/>
    <w:rsid w:val="00D1415A"/>
    <w:rsid w:val="00D2029F"/>
    <w:rsid w:val="00D21445"/>
    <w:rsid w:val="00D23C2D"/>
    <w:rsid w:val="00D313CA"/>
    <w:rsid w:val="00D31BCC"/>
    <w:rsid w:val="00D36553"/>
    <w:rsid w:val="00D367B6"/>
    <w:rsid w:val="00D377C9"/>
    <w:rsid w:val="00D4351B"/>
    <w:rsid w:val="00D45051"/>
    <w:rsid w:val="00D72F54"/>
    <w:rsid w:val="00D73FFC"/>
    <w:rsid w:val="00D83FD2"/>
    <w:rsid w:val="00D8430D"/>
    <w:rsid w:val="00D86002"/>
    <w:rsid w:val="00D86907"/>
    <w:rsid w:val="00DA0385"/>
    <w:rsid w:val="00DB0817"/>
    <w:rsid w:val="00DB499C"/>
    <w:rsid w:val="00DB5E9D"/>
    <w:rsid w:val="00DC38AE"/>
    <w:rsid w:val="00DD2151"/>
    <w:rsid w:val="00DD5147"/>
    <w:rsid w:val="00DD5924"/>
    <w:rsid w:val="00DD6E44"/>
    <w:rsid w:val="00DE6ED4"/>
    <w:rsid w:val="00DF61AE"/>
    <w:rsid w:val="00E1331A"/>
    <w:rsid w:val="00E15B29"/>
    <w:rsid w:val="00E16C0F"/>
    <w:rsid w:val="00E1787C"/>
    <w:rsid w:val="00E256F2"/>
    <w:rsid w:val="00E3233C"/>
    <w:rsid w:val="00E50348"/>
    <w:rsid w:val="00E53154"/>
    <w:rsid w:val="00E74433"/>
    <w:rsid w:val="00E8071C"/>
    <w:rsid w:val="00E85ACC"/>
    <w:rsid w:val="00EA3B2B"/>
    <w:rsid w:val="00EB3875"/>
    <w:rsid w:val="00EC62EA"/>
    <w:rsid w:val="00EC6C92"/>
    <w:rsid w:val="00ED0EFD"/>
    <w:rsid w:val="00EE2E77"/>
    <w:rsid w:val="00EF1BB2"/>
    <w:rsid w:val="00F06F42"/>
    <w:rsid w:val="00F207A9"/>
    <w:rsid w:val="00F251C7"/>
    <w:rsid w:val="00F53D50"/>
    <w:rsid w:val="00F65129"/>
    <w:rsid w:val="00F74CF6"/>
    <w:rsid w:val="00F973E3"/>
    <w:rsid w:val="00FA59DB"/>
    <w:rsid w:val="00FA60D7"/>
    <w:rsid w:val="00FB345C"/>
    <w:rsid w:val="00FE1F20"/>
    <w:rsid w:val="00FE3957"/>
    <w:rsid w:val="00FF0922"/>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DDE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CA220-F1AD-4517-8248-E0422282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2017-11-22T17:55:00Z</dcterms:created>
  <dcterms:modified xsi:type="dcterms:W3CDTF">2017-11-22T19:08:00Z</dcterms:modified>
</cp:coreProperties>
</file>