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05D59" w14:textId="77777777" w:rsidR="00503153" w:rsidRPr="00503153" w:rsidRDefault="00503153" w:rsidP="00503153">
      <w:pPr>
        <w:numPr>
          <w:ilvl w:val="0"/>
          <w:numId w:val="1"/>
        </w:numPr>
        <w:spacing w:line="240" w:lineRule="auto"/>
        <w:ind w:left="540"/>
        <w:textAlignment w:val="center"/>
        <w:rPr>
          <w:rFonts w:eastAsia="Times New Roman" w:cs="Times New Roman"/>
          <w:color w:val="2E75B5"/>
          <w:sz w:val="28"/>
          <w:szCs w:val="28"/>
        </w:rPr>
      </w:pPr>
      <w:r w:rsidRPr="00503153">
        <w:rPr>
          <w:rFonts w:eastAsia="Times New Roman" w:cs="Times New Roman"/>
          <w:color w:val="2E75B5"/>
          <w:sz w:val="28"/>
          <w:szCs w:val="28"/>
        </w:rPr>
        <w:t>Circuit Split, Section 411:</w:t>
      </w:r>
    </w:p>
    <w:p w14:paraId="6C7A0049" w14:textId="77777777" w:rsidR="00503153" w:rsidRPr="00503153" w:rsidRDefault="00503153" w:rsidP="00503153">
      <w:pPr>
        <w:numPr>
          <w:ilvl w:val="1"/>
          <w:numId w:val="2"/>
        </w:numPr>
        <w:spacing w:line="240" w:lineRule="auto"/>
        <w:ind w:left="1080"/>
        <w:textAlignment w:val="center"/>
        <w:rPr>
          <w:rFonts w:eastAsia="Times New Roman" w:cs="Times New Roman"/>
        </w:rPr>
      </w:pPr>
      <w:r w:rsidRPr="00503153">
        <w:rPr>
          <w:rFonts w:eastAsia="Times New Roman" w:cs="Times New Roman"/>
        </w:rPr>
        <w:t>Registration Approach - registration is not made until application is accepted</w:t>
      </w:r>
    </w:p>
    <w:p w14:paraId="1F69F25F" w14:textId="77777777" w:rsidR="00503153" w:rsidRPr="00503153" w:rsidRDefault="00503153" w:rsidP="00503153">
      <w:pPr>
        <w:numPr>
          <w:ilvl w:val="2"/>
          <w:numId w:val="3"/>
        </w:numPr>
        <w:spacing w:line="240" w:lineRule="auto"/>
        <w:ind w:left="1620"/>
        <w:textAlignment w:val="center"/>
        <w:rPr>
          <w:rFonts w:eastAsia="Times New Roman" w:cs="Times New Roman"/>
        </w:rPr>
      </w:pPr>
      <w:r w:rsidRPr="00503153">
        <w:rPr>
          <w:rFonts w:eastAsia="Times New Roman" w:cs="Times New Roman"/>
        </w:rPr>
        <w:t xml:space="preserve">11th circuit - </w:t>
      </w:r>
      <w:r w:rsidRPr="00503153">
        <w:rPr>
          <w:rFonts w:eastAsia="Times New Roman" w:cs="Times New Roman"/>
          <w:i/>
          <w:iCs/>
        </w:rPr>
        <w:t>Fourth Estate Pub. Benefit Corp. v. Wall-Street.com</w:t>
      </w:r>
    </w:p>
    <w:p w14:paraId="3E83F81C" w14:textId="77777777" w:rsidR="00503153" w:rsidRPr="00503153" w:rsidRDefault="00503153" w:rsidP="00503153">
      <w:pPr>
        <w:numPr>
          <w:ilvl w:val="2"/>
          <w:numId w:val="3"/>
        </w:numPr>
        <w:spacing w:line="240" w:lineRule="auto"/>
        <w:ind w:left="1620"/>
        <w:textAlignment w:val="center"/>
        <w:rPr>
          <w:rFonts w:eastAsia="Times New Roman" w:cs="Times New Roman"/>
        </w:rPr>
      </w:pPr>
      <w:r w:rsidRPr="00503153">
        <w:rPr>
          <w:rFonts w:eastAsia="Times New Roman" w:cs="Times New Roman"/>
        </w:rPr>
        <w:t xml:space="preserve">10th circuit - </w:t>
      </w:r>
      <w:r w:rsidRPr="00503153">
        <w:rPr>
          <w:rFonts w:eastAsia="Times New Roman" w:cs="Times New Roman"/>
          <w:i/>
          <w:iCs/>
        </w:rPr>
        <w:t xml:space="preserve">La </w:t>
      </w:r>
      <w:proofErr w:type="spellStart"/>
      <w:r w:rsidRPr="00503153">
        <w:rPr>
          <w:rFonts w:eastAsia="Times New Roman" w:cs="Times New Roman"/>
          <w:i/>
          <w:iCs/>
        </w:rPr>
        <w:t>Resolana</w:t>
      </w:r>
      <w:proofErr w:type="spellEnd"/>
      <w:r w:rsidRPr="00503153">
        <w:rPr>
          <w:rFonts w:eastAsia="Times New Roman" w:cs="Times New Roman"/>
          <w:i/>
          <w:iCs/>
        </w:rPr>
        <w:t xml:space="preserve"> Architects, PA v. Clay Realtors Angel Fire</w:t>
      </w:r>
    </w:p>
    <w:p w14:paraId="67D21C97" w14:textId="77777777" w:rsidR="00503153" w:rsidRPr="00503153" w:rsidRDefault="00503153" w:rsidP="00503153">
      <w:pPr>
        <w:spacing w:line="240" w:lineRule="auto"/>
        <w:ind w:left="1620" w:firstLine="0"/>
        <w:rPr>
          <w:rFonts w:eastAsia="Times New Roman" w:cs="Times New Roman"/>
        </w:rPr>
      </w:pPr>
      <w:r w:rsidRPr="00503153">
        <w:rPr>
          <w:rFonts w:eastAsia="Times New Roman" w:cs="Times New Roman"/>
        </w:rPr>
        <w:t> </w:t>
      </w:r>
    </w:p>
    <w:p w14:paraId="029FC592" w14:textId="77777777" w:rsidR="00503153" w:rsidRPr="00503153" w:rsidRDefault="00503153" w:rsidP="00503153">
      <w:pPr>
        <w:numPr>
          <w:ilvl w:val="0"/>
          <w:numId w:val="4"/>
        </w:numPr>
        <w:spacing w:line="240" w:lineRule="auto"/>
        <w:ind w:left="1080"/>
        <w:textAlignment w:val="center"/>
        <w:rPr>
          <w:rFonts w:eastAsia="Times New Roman" w:cs="Times New Roman"/>
        </w:rPr>
      </w:pPr>
      <w:r w:rsidRPr="00503153">
        <w:rPr>
          <w:rFonts w:eastAsia="Times New Roman" w:cs="Times New Roman"/>
        </w:rPr>
        <w:t>Application Approach - application alone is enough</w:t>
      </w:r>
    </w:p>
    <w:p w14:paraId="466B170E" w14:textId="77777777" w:rsidR="00503153" w:rsidRPr="00503153" w:rsidRDefault="00503153" w:rsidP="00503153">
      <w:pPr>
        <w:numPr>
          <w:ilvl w:val="1"/>
          <w:numId w:val="5"/>
        </w:numPr>
        <w:spacing w:line="240" w:lineRule="auto"/>
        <w:ind w:left="1620"/>
        <w:textAlignment w:val="center"/>
        <w:rPr>
          <w:rFonts w:eastAsia="Times New Roman" w:cs="Times New Roman"/>
        </w:rPr>
      </w:pPr>
      <w:r w:rsidRPr="00503153">
        <w:rPr>
          <w:rFonts w:eastAsia="Times New Roman" w:cs="Times New Roman"/>
        </w:rPr>
        <w:t xml:space="preserve">9th circuit - </w:t>
      </w:r>
      <w:r w:rsidRPr="00503153">
        <w:rPr>
          <w:rFonts w:eastAsia="Times New Roman" w:cs="Times New Roman"/>
          <w:i/>
          <w:iCs/>
        </w:rPr>
        <w:t>Cosmetic Ideas</w:t>
      </w:r>
    </w:p>
    <w:p w14:paraId="15604397" w14:textId="77777777" w:rsidR="00503153" w:rsidRPr="00503153" w:rsidRDefault="00503153" w:rsidP="00503153">
      <w:pPr>
        <w:numPr>
          <w:ilvl w:val="1"/>
          <w:numId w:val="5"/>
        </w:numPr>
        <w:spacing w:line="240" w:lineRule="auto"/>
        <w:ind w:left="1620"/>
        <w:textAlignment w:val="center"/>
        <w:rPr>
          <w:rFonts w:eastAsia="Times New Roman" w:cs="Times New Roman"/>
        </w:rPr>
      </w:pPr>
      <w:r w:rsidRPr="00503153">
        <w:rPr>
          <w:rFonts w:eastAsia="Times New Roman" w:cs="Times New Roman"/>
        </w:rPr>
        <w:t xml:space="preserve">5th - </w:t>
      </w:r>
      <w:r w:rsidRPr="00503153">
        <w:rPr>
          <w:rFonts w:eastAsia="Times New Roman" w:cs="Times New Roman"/>
          <w:i/>
          <w:iCs/>
        </w:rPr>
        <w:t>Apple Barrel Prods.</w:t>
      </w:r>
    </w:p>
    <w:p w14:paraId="290DB79F" w14:textId="77777777" w:rsidR="00503153" w:rsidRPr="00503153" w:rsidRDefault="00503153" w:rsidP="00503153">
      <w:pPr>
        <w:numPr>
          <w:ilvl w:val="1"/>
          <w:numId w:val="5"/>
        </w:numPr>
        <w:spacing w:line="240" w:lineRule="auto"/>
        <w:ind w:left="1620"/>
        <w:textAlignment w:val="center"/>
        <w:rPr>
          <w:rFonts w:eastAsia="Times New Roman" w:cs="Times New Roman"/>
        </w:rPr>
      </w:pPr>
      <w:r w:rsidRPr="00503153">
        <w:rPr>
          <w:rFonts w:eastAsia="Times New Roman" w:cs="Times New Roman"/>
        </w:rPr>
        <w:t xml:space="preserve">7th circuit - </w:t>
      </w:r>
      <w:r w:rsidRPr="00503153">
        <w:rPr>
          <w:rFonts w:eastAsia="Times New Roman" w:cs="Times New Roman"/>
          <w:i/>
          <w:iCs/>
        </w:rPr>
        <w:t xml:space="preserve">Chicago Bd. Of Educ. </w:t>
      </w:r>
    </w:p>
    <w:p w14:paraId="0E4A1858" w14:textId="77777777" w:rsidR="00503153" w:rsidRPr="00503153" w:rsidRDefault="00503153" w:rsidP="00503153">
      <w:pPr>
        <w:numPr>
          <w:ilvl w:val="1"/>
          <w:numId w:val="5"/>
        </w:numPr>
        <w:spacing w:line="240" w:lineRule="auto"/>
        <w:ind w:left="1620"/>
        <w:textAlignment w:val="center"/>
        <w:rPr>
          <w:rFonts w:eastAsia="Times New Roman" w:cs="Times New Roman"/>
        </w:rPr>
      </w:pPr>
      <w:r w:rsidRPr="00503153">
        <w:rPr>
          <w:rFonts w:eastAsia="Times New Roman" w:cs="Times New Roman"/>
        </w:rPr>
        <w:t>8th circuit - No circuit decision? Just district decisions</w:t>
      </w:r>
    </w:p>
    <w:p w14:paraId="4B94A9AE" w14:textId="77777777" w:rsidR="00503153" w:rsidRPr="00503153" w:rsidRDefault="00503153" w:rsidP="00503153">
      <w:pPr>
        <w:spacing w:line="240" w:lineRule="auto"/>
        <w:ind w:left="1620" w:firstLine="0"/>
        <w:rPr>
          <w:rFonts w:eastAsia="Times New Roman" w:cs="Times New Roman"/>
        </w:rPr>
      </w:pPr>
      <w:r w:rsidRPr="00503153">
        <w:rPr>
          <w:rFonts w:eastAsia="Times New Roman" w:cs="Times New Roman"/>
        </w:rPr>
        <w:t> </w:t>
      </w:r>
    </w:p>
    <w:p w14:paraId="213E5D84" w14:textId="77777777" w:rsidR="00503153" w:rsidRPr="00503153" w:rsidRDefault="00503153" w:rsidP="00503153">
      <w:pPr>
        <w:numPr>
          <w:ilvl w:val="0"/>
          <w:numId w:val="6"/>
        </w:numPr>
        <w:spacing w:line="240" w:lineRule="auto"/>
        <w:ind w:left="1080"/>
        <w:textAlignment w:val="center"/>
        <w:rPr>
          <w:rFonts w:eastAsia="Times New Roman" w:cs="Times New Roman"/>
        </w:rPr>
      </w:pPr>
      <w:r w:rsidRPr="00503153">
        <w:rPr>
          <w:rFonts w:eastAsia="Times New Roman" w:cs="Times New Roman"/>
        </w:rPr>
        <w:t xml:space="preserve">The 2nd Circuit - Undecided: </w:t>
      </w:r>
      <w:proofErr w:type="spellStart"/>
      <w:r w:rsidRPr="00503153">
        <w:rPr>
          <w:rFonts w:eastAsia="Times New Roman" w:cs="Times New Roman"/>
          <w:i/>
          <w:iCs/>
        </w:rPr>
        <w:t>Psihoyos</w:t>
      </w:r>
      <w:proofErr w:type="spellEnd"/>
      <w:r w:rsidRPr="00503153">
        <w:rPr>
          <w:rFonts w:eastAsia="Times New Roman" w:cs="Times New Roman"/>
          <w:i/>
          <w:iCs/>
        </w:rPr>
        <w:t xml:space="preserve"> v. John Wiley &amp; Sons, Inc.</w:t>
      </w:r>
    </w:p>
    <w:p w14:paraId="70965A9B" w14:textId="77777777" w:rsidR="00503153" w:rsidRPr="00503153" w:rsidRDefault="00503153" w:rsidP="00503153">
      <w:pPr>
        <w:numPr>
          <w:ilvl w:val="1"/>
          <w:numId w:val="7"/>
        </w:numPr>
        <w:spacing w:line="240" w:lineRule="auto"/>
        <w:ind w:left="1620"/>
        <w:textAlignment w:val="center"/>
        <w:rPr>
          <w:rFonts w:eastAsia="Times New Roman" w:cs="Times New Roman"/>
          <w:color w:val="2E75B5"/>
        </w:rPr>
      </w:pPr>
      <w:r w:rsidRPr="00503153">
        <w:rPr>
          <w:rFonts w:eastAsia="Times New Roman" w:cs="Times New Roman"/>
          <w:color w:val="2E75B5"/>
        </w:rPr>
        <w:t>The circuit is undecided, the districts are almost unanimous in their use of the registration approach. Haven't found cases in which courts in 2nd circuit use the application approach</w:t>
      </w:r>
    </w:p>
    <w:p w14:paraId="531EDB5A" w14:textId="77777777" w:rsidR="00503153" w:rsidRPr="00503153" w:rsidRDefault="00503153" w:rsidP="00503153">
      <w:pPr>
        <w:numPr>
          <w:ilvl w:val="1"/>
          <w:numId w:val="8"/>
        </w:numPr>
        <w:spacing w:line="240" w:lineRule="auto"/>
        <w:ind w:left="1620"/>
        <w:textAlignment w:val="center"/>
        <w:rPr>
          <w:rFonts w:eastAsia="Times New Roman" w:cs="Times New Roman"/>
        </w:rPr>
      </w:pPr>
      <w:r w:rsidRPr="00503153">
        <w:rPr>
          <w:rFonts w:eastAsia="Times New Roman" w:cs="Times New Roman"/>
        </w:rPr>
        <w:t>N.D. - doesn't seem to have taken a stance yet</w:t>
      </w:r>
    </w:p>
    <w:p w14:paraId="61D1ED07" w14:textId="77777777" w:rsidR="00503153" w:rsidRPr="00503153" w:rsidRDefault="00503153" w:rsidP="00503153">
      <w:pPr>
        <w:numPr>
          <w:ilvl w:val="1"/>
          <w:numId w:val="8"/>
        </w:numPr>
        <w:spacing w:line="240" w:lineRule="auto"/>
        <w:ind w:left="1620"/>
        <w:textAlignment w:val="center"/>
        <w:rPr>
          <w:rFonts w:eastAsia="Times New Roman" w:cs="Times New Roman"/>
        </w:rPr>
      </w:pPr>
      <w:r w:rsidRPr="00503153">
        <w:rPr>
          <w:rFonts w:eastAsia="Times New Roman" w:cs="Times New Roman"/>
        </w:rPr>
        <w:t>S.D. - registration approach. Very obviously registration approach</w:t>
      </w:r>
    </w:p>
    <w:p w14:paraId="4D7EFD82" w14:textId="77777777" w:rsidR="00503153" w:rsidRPr="00503153" w:rsidRDefault="00503153" w:rsidP="00503153">
      <w:pPr>
        <w:numPr>
          <w:ilvl w:val="2"/>
          <w:numId w:val="9"/>
        </w:numPr>
        <w:spacing w:line="240" w:lineRule="auto"/>
        <w:textAlignment w:val="center"/>
        <w:rPr>
          <w:rFonts w:eastAsia="Times New Roman" w:cs="Times New Roman"/>
        </w:rPr>
      </w:pPr>
      <w:r w:rsidRPr="00503153">
        <w:rPr>
          <w:rFonts w:eastAsia="Times New Roman" w:cs="Times New Roman"/>
          <w:i/>
          <w:iCs/>
        </w:rPr>
        <w:t>Zuma Press, Inc. v. Getty Images (US), Inc.</w:t>
      </w:r>
    </w:p>
    <w:p w14:paraId="1BD04782" w14:textId="77777777" w:rsidR="00503153" w:rsidRPr="00503153" w:rsidRDefault="00503153" w:rsidP="00503153">
      <w:pPr>
        <w:numPr>
          <w:ilvl w:val="2"/>
          <w:numId w:val="9"/>
        </w:numPr>
        <w:spacing w:line="240" w:lineRule="auto"/>
        <w:textAlignment w:val="center"/>
        <w:rPr>
          <w:rFonts w:eastAsia="Times New Roman" w:cs="Times New Roman"/>
        </w:rPr>
      </w:pPr>
      <w:proofErr w:type="spellStart"/>
      <w:r w:rsidRPr="00503153">
        <w:rPr>
          <w:rFonts w:eastAsia="Times New Roman" w:cs="Times New Roman"/>
          <w:i/>
          <w:iCs/>
        </w:rPr>
        <w:t>Gattoni</w:t>
      </w:r>
      <w:proofErr w:type="spellEnd"/>
      <w:r w:rsidRPr="00503153">
        <w:rPr>
          <w:rFonts w:eastAsia="Times New Roman" w:cs="Times New Roman"/>
          <w:i/>
          <w:iCs/>
        </w:rPr>
        <w:t xml:space="preserve"> v. </w:t>
      </w:r>
      <w:proofErr w:type="spellStart"/>
      <w:r w:rsidRPr="00503153">
        <w:rPr>
          <w:rFonts w:eastAsia="Times New Roman" w:cs="Times New Roman"/>
          <w:i/>
          <w:iCs/>
        </w:rPr>
        <w:t>Tibi</w:t>
      </w:r>
      <w:proofErr w:type="spellEnd"/>
      <w:r w:rsidRPr="00503153">
        <w:rPr>
          <w:rFonts w:eastAsia="Times New Roman" w:cs="Times New Roman"/>
          <w:i/>
          <w:iCs/>
        </w:rPr>
        <w:t>, LLC</w:t>
      </w:r>
    </w:p>
    <w:p w14:paraId="2054138E" w14:textId="77777777" w:rsidR="00503153" w:rsidRPr="00503153" w:rsidRDefault="00503153" w:rsidP="00503153">
      <w:pPr>
        <w:numPr>
          <w:ilvl w:val="2"/>
          <w:numId w:val="9"/>
        </w:numPr>
        <w:spacing w:line="240" w:lineRule="auto"/>
        <w:textAlignment w:val="center"/>
        <w:rPr>
          <w:rFonts w:eastAsia="Times New Roman" w:cs="Times New Roman"/>
        </w:rPr>
      </w:pPr>
      <w:r w:rsidRPr="00503153">
        <w:rPr>
          <w:rFonts w:eastAsia="Times New Roman" w:cs="Times New Roman"/>
          <w:i/>
          <w:iCs/>
        </w:rPr>
        <w:t xml:space="preserve">Silver v. </w:t>
      </w:r>
      <w:proofErr w:type="spellStart"/>
      <w:r w:rsidRPr="00503153">
        <w:rPr>
          <w:rFonts w:eastAsia="Times New Roman" w:cs="Times New Roman"/>
          <w:i/>
          <w:iCs/>
        </w:rPr>
        <w:t>Lavandeira</w:t>
      </w:r>
      <w:proofErr w:type="spellEnd"/>
      <w:r w:rsidRPr="00503153">
        <w:rPr>
          <w:rFonts w:eastAsia="Times New Roman" w:cs="Times New Roman"/>
          <w:i/>
          <w:iCs/>
        </w:rPr>
        <w:t xml:space="preserve"> </w:t>
      </w:r>
      <w:r w:rsidRPr="00503153">
        <w:rPr>
          <w:rFonts w:eastAsia="Times New Roman" w:cs="Times New Roman"/>
        </w:rPr>
        <w:t>(noting that, although a few courts in the Second Circuit have held that a pending application for registration satisfies § 411(a), “the emerging consensus among courts in this district is that the mere filing of applications and payment of the associated fees is insufficient, as a matter of law, to meet the statutory requirement that a copyright be registered prior to the initiation of an infringement action”)</w:t>
      </w:r>
    </w:p>
    <w:p w14:paraId="547EF372" w14:textId="77777777" w:rsidR="00503153" w:rsidRPr="00503153" w:rsidRDefault="00503153" w:rsidP="00503153">
      <w:pPr>
        <w:numPr>
          <w:ilvl w:val="2"/>
          <w:numId w:val="9"/>
        </w:numPr>
        <w:spacing w:line="240" w:lineRule="auto"/>
        <w:textAlignment w:val="center"/>
        <w:rPr>
          <w:rFonts w:eastAsia="Times New Roman" w:cs="Times New Roman"/>
        </w:rPr>
      </w:pPr>
      <w:proofErr w:type="spellStart"/>
      <w:r w:rsidRPr="00503153">
        <w:rPr>
          <w:rFonts w:eastAsia="Times New Roman" w:cs="Times New Roman"/>
          <w:i/>
          <w:iCs/>
        </w:rPr>
        <w:t>Muench</w:t>
      </w:r>
      <w:proofErr w:type="spellEnd"/>
      <w:r w:rsidRPr="00503153">
        <w:rPr>
          <w:rFonts w:eastAsia="Times New Roman" w:cs="Times New Roman"/>
          <w:i/>
          <w:iCs/>
        </w:rPr>
        <w:t xml:space="preserve"> Photography, Inc. v. Houghton Mifflin Harcourt Publishing Co.</w:t>
      </w:r>
    </w:p>
    <w:p w14:paraId="254E337C" w14:textId="77777777" w:rsidR="00503153" w:rsidRPr="00503153" w:rsidRDefault="00503153" w:rsidP="00503153">
      <w:pPr>
        <w:numPr>
          <w:ilvl w:val="1"/>
          <w:numId w:val="9"/>
        </w:numPr>
        <w:spacing w:line="240" w:lineRule="auto"/>
        <w:ind w:left="1620"/>
        <w:textAlignment w:val="center"/>
        <w:rPr>
          <w:rFonts w:eastAsia="Times New Roman" w:cs="Times New Roman"/>
        </w:rPr>
      </w:pPr>
      <w:r w:rsidRPr="00503153">
        <w:rPr>
          <w:rFonts w:eastAsia="Times New Roman" w:cs="Times New Roman"/>
        </w:rPr>
        <w:t>E.D. - registration approach</w:t>
      </w:r>
    </w:p>
    <w:p w14:paraId="4419D212" w14:textId="77777777" w:rsidR="00503153" w:rsidRPr="00503153" w:rsidRDefault="00503153" w:rsidP="00503153">
      <w:pPr>
        <w:numPr>
          <w:ilvl w:val="2"/>
          <w:numId w:val="10"/>
        </w:numPr>
        <w:spacing w:line="240" w:lineRule="auto"/>
        <w:textAlignment w:val="center"/>
        <w:rPr>
          <w:rFonts w:eastAsia="Times New Roman" w:cs="Times New Roman"/>
        </w:rPr>
      </w:pPr>
      <w:r w:rsidRPr="00503153">
        <w:rPr>
          <w:rFonts w:eastAsia="Times New Roman" w:cs="Times New Roman"/>
        </w:rPr>
        <w:t xml:space="preserve">Not especially clear: more detailed reading required. </w:t>
      </w:r>
      <w:r w:rsidRPr="00503153">
        <w:rPr>
          <w:rFonts w:eastAsia="Times New Roman" w:cs="Times New Roman"/>
          <w:i/>
          <w:iCs/>
        </w:rPr>
        <w:t>Capitol Records, Inc. v. Wings Digital Corp.</w:t>
      </w:r>
      <w:r w:rsidRPr="00503153">
        <w:rPr>
          <w:rFonts w:eastAsia="Times New Roman" w:cs="Times New Roman"/>
        </w:rPr>
        <w:t>, 218 F.Supp.2d 280 (E.D. N.Y. 2002)</w:t>
      </w:r>
    </w:p>
    <w:p w14:paraId="2D9CD4F5" w14:textId="77777777" w:rsidR="00503153" w:rsidRPr="00503153" w:rsidRDefault="00503153" w:rsidP="00503153">
      <w:pPr>
        <w:numPr>
          <w:ilvl w:val="1"/>
          <w:numId w:val="10"/>
        </w:numPr>
        <w:spacing w:line="240" w:lineRule="auto"/>
        <w:ind w:left="1620"/>
        <w:textAlignment w:val="center"/>
        <w:rPr>
          <w:rFonts w:eastAsia="Times New Roman" w:cs="Times New Roman"/>
        </w:rPr>
      </w:pPr>
      <w:r w:rsidRPr="00503153">
        <w:rPr>
          <w:rFonts w:eastAsia="Times New Roman" w:cs="Times New Roman"/>
        </w:rPr>
        <w:t>W.D. - registration approach</w:t>
      </w:r>
    </w:p>
    <w:p w14:paraId="74A27B5D" w14:textId="77777777" w:rsidR="00503153" w:rsidRPr="00503153" w:rsidRDefault="00503153" w:rsidP="00503153">
      <w:pPr>
        <w:numPr>
          <w:ilvl w:val="2"/>
          <w:numId w:val="11"/>
        </w:numPr>
        <w:spacing w:line="240" w:lineRule="auto"/>
        <w:textAlignment w:val="center"/>
        <w:rPr>
          <w:rFonts w:eastAsia="Times New Roman" w:cs="Times New Roman"/>
        </w:rPr>
      </w:pPr>
      <w:proofErr w:type="spellStart"/>
      <w:r w:rsidRPr="00503153">
        <w:rPr>
          <w:rFonts w:eastAsia="Times New Roman" w:cs="Times New Roman"/>
          <w:i/>
          <w:iCs/>
        </w:rPr>
        <w:t>Lumetrics</w:t>
      </w:r>
      <w:proofErr w:type="spellEnd"/>
      <w:r w:rsidRPr="00503153">
        <w:rPr>
          <w:rFonts w:eastAsia="Times New Roman" w:cs="Times New Roman"/>
          <w:i/>
          <w:iCs/>
        </w:rPr>
        <w:t>, Inc. v. Blalock</w:t>
      </w:r>
    </w:p>
    <w:p w14:paraId="1863A01D" w14:textId="77777777" w:rsidR="00503153" w:rsidRPr="00503153" w:rsidRDefault="00503153" w:rsidP="00503153">
      <w:pPr>
        <w:spacing w:line="240" w:lineRule="auto"/>
        <w:ind w:left="1620" w:firstLine="0"/>
        <w:rPr>
          <w:rFonts w:eastAsia="Times New Roman" w:cs="Times New Roman"/>
        </w:rPr>
      </w:pPr>
      <w:r w:rsidRPr="00503153">
        <w:rPr>
          <w:rFonts w:eastAsia="Times New Roman" w:cs="Times New Roman"/>
        </w:rPr>
        <w:t> </w:t>
      </w:r>
    </w:p>
    <w:p w14:paraId="41023FCB" w14:textId="77777777" w:rsidR="00503153" w:rsidRPr="00503153" w:rsidRDefault="00503153" w:rsidP="00503153">
      <w:pPr>
        <w:numPr>
          <w:ilvl w:val="0"/>
          <w:numId w:val="12"/>
        </w:numPr>
        <w:spacing w:line="240" w:lineRule="auto"/>
        <w:ind w:left="1080"/>
        <w:textAlignment w:val="center"/>
        <w:rPr>
          <w:rFonts w:eastAsia="Times New Roman" w:cs="Times New Roman"/>
        </w:rPr>
      </w:pPr>
      <w:r w:rsidRPr="00503153">
        <w:rPr>
          <w:rFonts w:eastAsia="Times New Roman" w:cs="Times New Roman"/>
        </w:rPr>
        <w:t>Motion to dismiss to be granted requires a court to use the registration approach. If they use the Application approach, we'll have to use the safe harbor defense</w:t>
      </w:r>
    </w:p>
    <w:p w14:paraId="0E561E9F" w14:textId="77777777" w:rsidR="00503153" w:rsidRPr="00503153" w:rsidRDefault="00503153" w:rsidP="00503153">
      <w:pPr>
        <w:numPr>
          <w:ilvl w:val="0"/>
          <w:numId w:val="13"/>
        </w:numPr>
        <w:spacing w:line="240" w:lineRule="auto"/>
        <w:ind w:left="1080"/>
        <w:textAlignment w:val="center"/>
        <w:rPr>
          <w:rFonts w:eastAsia="Times New Roman" w:cs="Times New Roman"/>
          <w:color w:val="2E75B5"/>
        </w:rPr>
      </w:pPr>
      <w:r w:rsidRPr="00503153">
        <w:rPr>
          <w:rFonts w:eastAsia="Times New Roman" w:cs="Times New Roman"/>
          <w:color w:val="2E75B5"/>
        </w:rPr>
        <w:t>The courts will almost certainly use the registration approach. Making it easier for motion to dismiss. If they do use the application approach issues:</w:t>
      </w:r>
    </w:p>
    <w:p w14:paraId="18E1855E" w14:textId="77777777" w:rsidR="00503153" w:rsidRPr="00503153" w:rsidRDefault="00503153" w:rsidP="00503153">
      <w:pPr>
        <w:numPr>
          <w:ilvl w:val="1"/>
          <w:numId w:val="14"/>
        </w:numPr>
        <w:spacing w:line="240" w:lineRule="auto"/>
        <w:ind w:left="1620"/>
        <w:textAlignment w:val="center"/>
        <w:rPr>
          <w:rFonts w:eastAsia="Times New Roman" w:cs="Times New Roman"/>
          <w:color w:val="2E75B5"/>
        </w:rPr>
      </w:pPr>
      <w:r w:rsidRPr="00503153">
        <w:rPr>
          <w:rFonts w:eastAsia="Times New Roman" w:cs="Times New Roman"/>
          <w:color w:val="2E75B5"/>
        </w:rPr>
        <w:t>Was the filing of copyright sufficiently "prior" to the filing of suit?</w:t>
      </w:r>
    </w:p>
    <w:p w14:paraId="1EC62531" w14:textId="77777777" w:rsidR="00503153" w:rsidRPr="00503153" w:rsidRDefault="00503153" w:rsidP="00503153">
      <w:pPr>
        <w:numPr>
          <w:ilvl w:val="1"/>
          <w:numId w:val="14"/>
        </w:numPr>
        <w:spacing w:line="240" w:lineRule="auto"/>
        <w:ind w:left="1620"/>
        <w:textAlignment w:val="center"/>
        <w:rPr>
          <w:rFonts w:eastAsia="Times New Roman" w:cs="Times New Roman"/>
          <w:color w:val="2E75B5"/>
        </w:rPr>
      </w:pPr>
      <w:r w:rsidRPr="00503153">
        <w:rPr>
          <w:rFonts w:eastAsia="Times New Roman" w:cs="Times New Roman"/>
          <w:color w:val="2E75B5"/>
        </w:rPr>
        <w:t>Has she paid fees?</w:t>
      </w:r>
    </w:p>
    <w:p w14:paraId="328D8B90" w14:textId="77777777" w:rsidR="00503153" w:rsidRPr="00503153" w:rsidRDefault="00503153" w:rsidP="00503153">
      <w:pPr>
        <w:spacing w:line="240" w:lineRule="auto"/>
        <w:ind w:left="540" w:firstLine="0"/>
        <w:rPr>
          <w:rFonts w:eastAsia="Times New Roman" w:cs="Times New Roman"/>
          <w:sz w:val="22"/>
        </w:rPr>
      </w:pPr>
      <w:r w:rsidRPr="00503153">
        <w:rPr>
          <w:rFonts w:eastAsia="Times New Roman" w:cs="Times New Roman"/>
          <w:sz w:val="22"/>
        </w:rPr>
        <w:t> </w:t>
      </w:r>
    </w:p>
    <w:p w14:paraId="7B2FE714" w14:textId="77777777" w:rsidR="00503153" w:rsidRPr="00503153" w:rsidRDefault="00503153" w:rsidP="00503153">
      <w:pPr>
        <w:numPr>
          <w:ilvl w:val="0"/>
          <w:numId w:val="15"/>
        </w:numPr>
        <w:spacing w:line="240" w:lineRule="auto"/>
        <w:ind w:left="540"/>
        <w:textAlignment w:val="center"/>
        <w:rPr>
          <w:rFonts w:eastAsia="Times New Roman" w:cs="Times New Roman"/>
          <w:color w:val="2E75B5"/>
          <w:sz w:val="28"/>
          <w:szCs w:val="28"/>
        </w:rPr>
      </w:pPr>
      <w:r w:rsidRPr="00503153">
        <w:rPr>
          <w:rFonts w:eastAsia="Times New Roman" w:cs="Times New Roman"/>
          <w:color w:val="2E75B5"/>
          <w:sz w:val="28"/>
          <w:szCs w:val="28"/>
        </w:rPr>
        <w:t>Safe Harbor Defense - needs A (any part) AND B AND C</w:t>
      </w:r>
    </w:p>
    <w:p w14:paraId="77C0ED50" w14:textId="77777777" w:rsidR="00503153" w:rsidRPr="00503153" w:rsidRDefault="00503153" w:rsidP="00503153">
      <w:pPr>
        <w:numPr>
          <w:ilvl w:val="1"/>
          <w:numId w:val="16"/>
        </w:numPr>
        <w:spacing w:line="240" w:lineRule="auto"/>
        <w:ind w:left="1080"/>
        <w:textAlignment w:val="center"/>
        <w:rPr>
          <w:rFonts w:eastAsia="Times New Roman" w:cs="Times New Roman"/>
        </w:rPr>
      </w:pPr>
      <w:r w:rsidRPr="00503153">
        <w:rPr>
          <w:rFonts w:eastAsia="Times New Roman" w:cs="Times New Roman"/>
        </w:rPr>
        <w:t xml:space="preserve">The Statute (which incorrect </w:t>
      </w:r>
    </w:p>
    <w:p w14:paraId="3F5D0A6D" w14:textId="77777777" w:rsidR="00503153" w:rsidRPr="00503153" w:rsidRDefault="00503153" w:rsidP="00503153">
      <w:pPr>
        <w:numPr>
          <w:ilvl w:val="2"/>
          <w:numId w:val="17"/>
        </w:numPr>
        <w:spacing w:line="240" w:lineRule="auto"/>
        <w:ind w:left="1620"/>
        <w:textAlignment w:val="center"/>
        <w:rPr>
          <w:rFonts w:eastAsia="Times New Roman" w:cs="Times New Roman"/>
        </w:rPr>
      </w:pPr>
      <w:r w:rsidRPr="00503153">
        <w:rPr>
          <w:rFonts w:eastAsia="Times New Roman" w:cs="Times New Roman"/>
        </w:rPr>
        <w:t>Section 512(c): A service provider shall not be liable for monetary relief if the service provider</w:t>
      </w:r>
    </w:p>
    <w:p w14:paraId="6F65D4E1" w14:textId="77777777" w:rsidR="00503153" w:rsidRPr="00503153" w:rsidRDefault="00503153" w:rsidP="00503153">
      <w:pPr>
        <w:numPr>
          <w:ilvl w:val="3"/>
          <w:numId w:val="18"/>
        </w:numPr>
        <w:spacing w:line="240" w:lineRule="auto"/>
        <w:ind w:left="2160"/>
        <w:textAlignment w:val="center"/>
        <w:rPr>
          <w:rFonts w:eastAsia="Times New Roman" w:cs="Times New Roman"/>
        </w:rPr>
      </w:pPr>
      <w:r w:rsidRPr="00503153">
        <w:rPr>
          <w:rFonts w:eastAsia="Times New Roman" w:cs="Times New Roman"/>
        </w:rPr>
        <w:t xml:space="preserve">Does not have knowledge the material is infringing OR (subjective standard - see </w:t>
      </w:r>
      <w:r w:rsidRPr="00503153">
        <w:rPr>
          <w:rFonts w:eastAsia="Times New Roman" w:cs="Times New Roman"/>
          <w:i/>
          <w:iCs/>
        </w:rPr>
        <w:t xml:space="preserve">Viacom Intl., Inc. v. </w:t>
      </w:r>
      <w:proofErr w:type="spellStart"/>
      <w:r w:rsidRPr="00503153">
        <w:rPr>
          <w:rFonts w:eastAsia="Times New Roman" w:cs="Times New Roman"/>
          <w:i/>
          <w:iCs/>
        </w:rPr>
        <w:t>Youtube</w:t>
      </w:r>
      <w:proofErr w:type="spellEnd"/>
      <w:r w:rsidRPr="00503153">
        <w:rPr>
          <w:rFonts w:eastAsia="Times New Roman" w:cs="Times New Roman"/>
          <w:i/>
          <w:iCs/>
        </w:rPr>
        <w:t>, Inc. (differentiating between 512(c)(1)(A)(</w:t>
      </w:r>
      <w:proofErr w:type="spellStart"/>
      <w:r w:rsidRPr="00503153">
        <w:rPr>
          <w:rFonts w:eastAsia="Times New Roman" w:cs="Times New Roman"/>
          <w:i/>
          <w:iCs/>
        </w:rPr>
        <w:t>i</w:t>
      </w:r>
      <w:proofErr w:type="spellEnd"/>
      <w:r w:rsidRPr="00503153">
        <w:rPr>
          <w:rFonts w:eastAsia="Times New Roman" w:cs="Times New Roman"/>
        </w:rPr>
        <w:t>) &amp; (ii))</w:t>
      </w:r>
    </w:p>
    <w:p w14:paraId="30A4C169" w14:textId="77777777" w:rsidR="00503153" w:rsidRPr="00503153" w:rsidRDefault="00503153" w:rsidP="00503153">
      <w:pPr>
        <w:numPr>
          <w:ilvl w:val="3"/>
          <w:numId w:val="18"/>
        </w:numPr>
        <w:spacing w:line="240" w:lineRule="auto"/>
        <w:ind w:left="2160"/>
        <w:textAlignment w:val="center"/>
        <w:rPr>
          <w:rFonts w:eastAsia="Times New Roman" w:cs="Times New Roman"/>
        </w:rPr>
      </w:pPr>
      <w:r w:rsidRPr="00503153">
        <w:rPr>
          <w:rFonts w:eastAsia="Times New Roman" w:cs="Times New Roman"/>
        </w:rPr>
        <w:lastRenderedPageBreak/>
        <w:t xml:space="preserve">In absence of knowledge, is not aware of facts from which infringing activity is apparent OR (objective standard - the reasonable person would have known -  - see </w:t>
      </w:r>
      <w:r w:rsidRPr="00503153">
        <w:rPr>
          <w:rFonts w:eastAsia="Times New Roman" w:cs="Times New Roman"/>
          <w:i/>
          <w:iCs/>
        </w:rPr>
        <w:t xml:space="preserve">Viacom Intl., Inc. v. </w:t>
      </w:r>
      <w:proofErr w:type="spellStart"/>
      <w:r w:rsidRPr="00503153">
        <w:rPr>
          <w:rFonts w:eastAsia="Times New Roman" w:cs="Times New Roman"/>
          <w:i/>
          <w:iCs/>
        </w:rPr>
        <w:t>Youtube</w:t>
      </w:r>
      <w:proofErr w:type="spellEnd"/>
      <w:r w:rsidRPr="00503153">
        <w:rPr>
          <w:rFonts w:eastAsia="Times New Roman" w:cs="Times New Roman"/>
          <w:i/>
          <w:iCs/>
        </w:rPr>
        <w:t>, Inc</w:t>
      </w:r>
      <w:r w:rsidRPr="00503153">
        <w:rPr>
          <w:rFonts w:eastAsia="Times New Roman" w:cs="Times New Roman"/>
        </w:rPr>
        <w:t>)</w:t>
      </w:r>
    </w:p>
    <w:p w14:paraId="3B9CB4C8" w14:textId="77777777" w:rsidR="00503153" w:rsidRPr="00503153" w:rsidRDefault="00503153" w:rsidP="00503153">
      <w:pPr>
        <w:numPr>
          <w:ilvl w:val="3"/>
          <w:numId w:val="18"/>
        </w:numPr>
        <w:spacing w:line="240" w:lineRule="auto"/>
        <w:ind w:left="2160"/>
        <w:textAlignment w:val="center"/>
        <w:rPr>
          <w:rFonts w:eastAsia="Times New Roman" w:cs="Times New Roman"/>
        </w:rPr>
      </w:pPr>
      <w:r w:rsidRPr="00503153">
        <w:rPr>
          <w:rFonts w:eastAsia="Times New Roman" w:cs="Times New Roman"/>
        </w:rPr>
        <w:t>Upon obtaining such knowledge, removes/disables the material</w:t>
      </w:r>
    </w:p>
    <w:p w14:paraId="05D03C1E" w14:textId="77777777" w:rsidR="00503153" w:rsidRPr="00503153" w:rsidRDefault="00503153" w:rsidP="00503153">
      <w:pPr>
        <w:numPr>
          <w:ilvl w:val="2"/>
          <w:numId w:val="18"/>
        </w:numPr>
        <w:spacing w:line="240" w:lineRule="auto"/>
        <w:ind w:left="1620"/>
        <w:textAlignment w:val="center"/>
        <w:rPr>
          <w:rFonts w:eastAsia="Times New Roman" w:cs="Times New Roman"/>
        </w:rPr>
      </w:pPr>
      <w:r w:rsidRPr="00503153">
        <w:rPr>
          <w:rFonts w:eastAsia="Times New Roman" w:cs="Times New Roman"/>
        </w:rPr>
        <w:t>does not receive a financial benefit directly attributable to the infringing activity, in a case in which the service provider has the right and ability to control such activity; and</w:t>
      </w:r>
    </w:p>
    <w:p w14:paraId="209F0E1D" w14:textId="77777777" w:rsidR="00503153" w:rsidRPr="00503153" w:rsidRDefault="00503153" w:rsidP="00503153">
      <w:pPr>
        <w:numPr>
          <w:ilvl w:val="3"/>
          <w:numId w:val="19"/>
        </w:numPr>
        <w:spacing w:line="240" w:lineRule="auto"/>
        <w:ind w:left="2160"/>
        <w:textAlignment w:val="center"/>
        <w:rPr>
          <w:rFonts w:eastAsia="Times New Roman" w:cs="Times New Roman"/>
        </w:rPr>
      </w:pPr>
      <w:r w:rsidRPr="00503153">
        <w:rPr>
          <w:rFonts w:eastAsia="Times New Roman" w:cs="Times New Roman"/>
        </w:rPr>
        <w:t>What is "has the right and ability to control such activity"?</w:t>
      </w:r>
    </w:p>
    <w:p w14:paraId="10ED1F64" w14:textId="77777777" w:rsidR="00503153" w:rsidRPr="00503153" w:rsidRDefault="00503153" w:rsidP="00503153">
      <w:pPr>
        <w:numPr>
          <w:ilvl w:val="4"/>
          <w:numId w:val="20"/>
        </w:numPr>
        <w:spacing w:line="240" w:lineRule="auto"/>
        <w:ind w:left="2700"/>
        <w:textAlignment w:val="center"/>
        <w:rPr>
          <w:rFonts w:eastAsia="Times New Roman" w:cs="Times New Roman"/>
        </w:rPr>
      </w:pPr>
      <w:r w:rsidRPr="00503153">
        <w:rPr>
          <w:rFonts w:eastAsia="Times New Roman" w:cs="Times New Roman"/>
        </w:rPr>
        <w:t>To be safe harbor eligible, can't have "right and ability".</w:t>
      </w:r>
    </w:p>
    <w:p w14:paraId="73DA0349" w14:textId="77777777" w:rsidR="00503153" w:rsidRPr="00503153" w:rsidRDefault="00503153" w:rsidP="00503153">
      <w:pPr>
        <w:numPr>
          <w:ilvl w:val="4"/>
          <w:numId w:val="20"/>
        </w:numPr>
        <w:spacing w:line="240" w:lineRule="auto"/>
        <w:ind w:left="2700"/>
        <w:textAlignment w:val="center"/>
        <w:rPr>
          <w:rFonts w:eastAsia="Times New Roman" w:cs="Times New Roman"/>
        </w:rPr>
      </w:pPr>
      <w:r w:rsidRPr="00503153">
        <w:rPr>
          <w:rFonts w:eastAsia="Times New Roman" w:cs="Times New Roman"/>
        </w:rPr>
        <w:t>Right and ability seems to be high level of observation and control over users and their uploads</w:t>
      </w:r>
    </w:p>
    <w:p w14:paraId="0DBCFE0F" w14:textId="77777777" w:rsidR="00503153" w:rsidRPr="00503153" w:rsidRDefault="00503153" w:rsidP="00503153">
      <w:pPr>
        <w:numPr>
          <w:ilvl w:val="4"/>
          <w:numId w:val="20"/>
        </w:numPr>
        <w:spacing w:line="240" w:lineRule="auto"/>
        <w:ind w:left="2700"/>
        <w:textAlignment w:val="center"/>
        <w:rPr>
          <w:rFonts w:eastAsia="Times New Roman" w:cs="Times New Roman"/>
        </w:rPr>
      </w:pPr>
      <w:r w:rsidRPr="00503153">
        <w:rPr>
          <w:rFonts w:eastAsia="Times New Roman" w:cs="Times New Roman"/>
        </w:rPr>
        <w:t xml:space="preserve">See </w:t>
      </w:r>
      <w:r w:rsidRPr="00503153">
        <w:rPr>
          <w:rFonts w:eastAsia="Times New Roman" w:cs="Times New Roman"/>
          <w:i/>
          <w:iCs/>
        </w:rPr>
        <w:t xml:space="preserve">Viacom v. YouTube </w:t>
      </w:r>
      <w:r w:rsidRPr="00503153">
        <w:rPr>
          <w:rFonts w:eastAsia="Times New Roman" w:cs="Times New Roman"/>
        </w:rPr>
        <w:t>(finding right and ability to control requires something more than the ability to remove or block access to materials posted on a service provider's website.)</w:t>
      </w:r>
    </w:p>
    <w:p w14:paraId="266B46B7" w14:textId="77777777" w:rsidR="00503153" w:rsidRPr="00503153" w:rsidRDefault="00503153" w:rsidP="00503153">
      <w:pPr>
        <w:numPr>
          <w:ilvl w:val="4"/>
          <w:numId w:val="20"/>
        </w:numPr>
        <w:spacing w:line="240" w:lineRule="auto"/>
        <w:ind w:left="2700"/>
        <w:textAlignment w:val="center"/>
        <w:rPr>
          <w:rFonts w:eastAsia="Times New Roman" w:cs="Times New Roman"/>
        </w:rPr>
      </w:pPr>
      <w:r w:rsidRPr="00503153">
        <w:rPr>
          <w:rFonts w:eastAsia="Times New Roman" w:cs="Times New Roman"/>
        </w:rPr>
        <w:t xml:space="preserve">See </w:t>
      </w:r>
      <w:r w:rsidRPr="00503153">
        <w:rPr>
          <w:rFonts w:eastAsia="Times New Roman" w:cs="Times New Roman"/>
          <w:i/>
          <w:iCs/>
        </w:rPr>
        <w:t xml:space="preserve">Perfect 10, Inc. v. Cybernet Ventures, Inc. </w:t>
      </w:r>
      <w:proofErr w:type="gramStart"/>
      <w:r w:rsidRPr="00503153">
        <w:rPr>
          <w:rFonts w:eastAsia="Times New Roman" w:cs="Times New Roman"/>
        </w:rPr>
        <w:t>( finding</w:t>
      </w:r>
      <w:proofErr w:type="gramEnd"/>
      <w:r w:rsidRPr="00503153">
        <w:rPr>
          <w:rFonts w:eastAsia="Times New Roman" w:cs="Times New Roman"/>
        </w:rPr>
        <w:t xml:space="preserve"> control where the service provider instituted a monitoring program by which user websites received “detailed instructions regard[</w:t>
      </w:r>
      <w:proofErr w:type="spellStart"/>
      <w:r w:rsidRPr="00503153">
        <w:rPr>
          <w:rFonts w:eastAsia="Times New Roman" w:cs="Times New Roman"/>
        </w:rPr>
        <w:t>ing</w:t>
      </w:r>
      <w:proofErr w:type="spellEnd"/>
      <w:r w:rsidRPr="00503153">
        <w:rPr>
          <w:rFonts w:eastAsia="Times New Roman" w:cs="Times New Roman"/>
        </w:rPr>
        <w:t>] issues of layout, appearance, and content.”)</w:t>
      </w:r>
    </w:p>
    <w:p w14:paraId="7C8495F8" w14:textId="77777777" w:rsidR="00503153" w:rsidRPr="00503153" w:rsidRDefault="00503153" w:rsidP="00503153">
      <w:pPr>
        <w:numPr>
          <w:ilvl w:val="2"/>
          <w:numId w:val="20"/>
        </w:numPr>
        <w:spacing w:line="240" w:lineRule="auto"/>
        <w:ind w:left="1620"/>
        <w:textAlignment w:val="center"/>
        <w:rPr>
          <w:rFonts w:eastAsia="Times New Roman" w:cs="Times New Roman"/>
        </w:rPr>
      </w:pPr>
      <w:r w:rsidRPr="00503153">
        <w:rPr>
          <w:rFonts w:eastAsia="Times New Roman" w:cs="Times New Roman"/>
        </w:rPr>
        <w:t xml:space="preserve">Upon notification of claimed infringement remove/disable the material claimed to be infringing. </w:t>
      </w:r>
    </w:p>
    <w:p w14:paraId="057A53D7" w14:textId="77777777" w:rsidR="00503153" w:rsidRPr="00503153" w:rsidRDefault="00503153" w:rsidP="00503153">
      <w:pPr>
        <w:numPr>
          <w:ilvl w:val="1"/>
          <w:numId w:val="20"/>
        </w:numPr>
        <w:spacing w:line="240" w:lineRule="auto"/>
        <w:ind w:left="1080"/>
        <w:textAlignment w:val="center"/>
        <w:rPr>
          <w:rFonts w:eastAsia="Times New Roman" w:cs="Times New Roman"/>
        </w:rPr>
      </w:pPr>
      <w:r w:rsidRPr="00503153">
        <w:rPr>
          <w:rFonts w:eastAsia="Times New Roman" w:cs="Times New Roman"/>
        </w:rPr>
        <w:t>Our LSFs</w:t>
      </w:r>
    </w:p>
    <w:p w14:paraId="40EF259D" w14:textId="77777777" w:rsidR="00503153" w:rsidRPr="00503153" w:rsidRDefault="00503153" w:rsidP="00503153">
      <w:pPr>
        <w:numPr>
          <w:ilvl w:val="2"/>
          <w:numId w:val="21"/>
        </w:numPr>
        <w:spacing w:line="240" w:lineRule="auto"/>
        <w:ind w:left="1620"/>
        <w:textAlignment w:val="center"/>
        <w:rPr>
          <w:rFonts w:eastAsia="Times New Roman" w:cs="Times New Roman"/>
        </w:rPr>
      </w:pPr>
      <w:r w:rsidRPr="00503153">
        <w:rPr>
          <w:rFonts w:eastAsia="Times New Roman" w:cs="Times New Roman"/>
        </w:rPr>
        <w:t>Archer is not aware of who posted video</w:t>
      </w:r>
    </w:p>
    <w:p w14:paraId="3182CEF4" w14:textId="69142CF7" w:rsidR="00503153" w:rsidRPr="00503153" w:rsidRDefault="00503153" w:rsidP="00503153">
      <w:pPr>
        <w:numPr>
          <w:ilvl w:val="2"/>
          <w:numId w:val="21"/>
        </w:numPr>
        <w:spacing w:line="240" w:lineRule="auto"/>
        <w:ind w:left="1620"/>
        <w:textAlignment w:val="center"/>
        <w:rPr>
          <w:rFonts w:eastAsia="Times New Roman" w:cs="Times New Roman"/>
        </w:rPr>
      </w:pPr>
      <w:r w:rsidRPr="00503153">
        <w:rPr>
          <w:rFonts w:eastAsia="Times New Roman" w:cs="Times New Roman"/>
        </w:rPr>
        <w:t xml:space="preserve">Archer </w:t>
      </w:r>
      <w:r w:rsidRPr="00122EEA">
        <w:rPr>
          <w:rFonts w:eastAsia="Times New Roman" w:cs="Times New Roman"/>
        </w:rPr>
        <w:t>can</w:t>
      </w:r>
      <w:r w:rsidRPr="00503153">
        <w:rPr>
          <w:rFonts w:eastAsia="Times New Roman" w:cs="Times New Roman"/>
        </w:rPr>
        <w:t xml:space="preserve"> remove infringing videos</w:t>
      </w:r>
    </w:p>
    <w:p w14:paraId="024A3518" w14:textId="77777777" w:rsidR="00503153" w:rsidRPr="00503153" w:rsidRDefault="00503153" w:rsidP="00503153">
      <w:pPr>
        <w:numPr>
          <w:ilvl w:val="3"/>
          <w:numId w:val="22"/>
        </w:numPr>
        <w:spacing w:line="240" w:lineRule="auto"/>
        <w:ind w:left="2160"/>
        <w:textAlignment w:val="center"/>
        <w:rPr>
          <w:rFonts w:eastAsia="Times New Roman" w:cs="Times New Roman"/>
        </w:rPr>
      </w:pPr>
      <w:r w:rsidRPr="00503153">
        <w:rPr>
          <w:rFonts w:eastAsia="Times New Roman" w:cs="Times New Roman"/>
        </w:rPr>
        <w:t>They do not need to affirmatively monitor. (</w:t>
      </w:r>
      <w:r w:rsidRPr="00503153">
        <w:rPr>
          <w:rFonts w:eastAsia="Times New Roman" w:cs="Times New Roman"/>
          <w:i/>
          <w:iCs/>
        </w:rPr>
        <w:t>Viacom v. YouTube (holding "DMCA safe harbor protection cannot be conditioned on affirmative monitoring by a service provider."))</w:t>
      </w:r>
    </w:p>
    <w:p w14:paraId="73E39403" w14:textId="77777777" w:rsidR="00503153" w:rsidRPr="00503153" w:rsidRDefault="00503153" w:rsidP="00503153">
      <w:pPr>
        <w:numPr>
          <w:ilvl w:val="2"/>
          <w:numId w:val="22"/>
        </w:numPr>
        <w:spacing w:line="240" w:lineRule="auto"/>
        <w:ind w:left="1620"/>
        <w:textAlignment w:val="center"/>
        <w:rPr>
          <w:rFonts w:eastAsia="Times New Roman" w:cs="Times New Roman"/>
        </w:rPr>
      </w:pPr>
      <w:r w:rsidRPr="00503153">
        <w:rPr>
          <w:rFonts w:eastAsia="Times New Roman" w:cs="Times New Roman"/>
        </w:rPr>
        <w:t>They monitor infringement notices</w:t>
      </w:r>
    </w:p>
    <w:p w14:paraId="7CB21D11" w14:textId="77777777" w:rsidR="00503153" w:rsidRPr="00503153" w:rsidRDefault="00503153" w:rsidP="00503153">
      <w:pPr>
        <w:numPr>
          <w:ilvl w:val="2"/>
          <w:numId w:val="22"/>
        </w:numPr>
        <w:spacing w:line="240" w:lineRule="auto"/>
        <w:ind w:left="1620"/>
        <w:textAlignment w:val="center"/>
        <w:rPr>
          <w:rFonts w:eastAsia="Times New Roman" w:cs="Times New Roman"/>
        </w:rPr>
      </w:pPr>
      <w:r w:rsidRPr="00503153">
        <w:rPr>
          <w:rFonts w:eastAsia="Times New Roman" w:cs="Times New Roman"/>
        </w:rPr>
        <w:t>Archer has a way to block repeat infringers, which is required under 512(</w:t>
      </w:r>
      <w:proofErr w:type="spellStart"/>
      <w:r w:rsidRPr="00503153">
        <w:rPr>
          <w:rFonts w:eastAsia="Times New Roman" w:cs="Times New Roman"/>
        </w:rPr>
        <w:t>i</w:t>
      </w:r>
      <w:proofErr w:type="spellEnd"/>
      <w:r w:rsidRPr="00503153">
        <w:rPr>
          <w:rFonts w:eastAsia="Times New Roman" w:cs="Times New Roman"/>
        </w:rPr>
        <w:t>)(1)(A)</w:t>
      </w:r>
    </w:p>
    <w:p w14:paraId="58120E2F" w14:textId="77777777" w:rsidR="00503153" w:rsidRPr="00503153" w:rsidRDefault="00503153" w:rsidP="00503153">
      <w:pPr>
        <w:numPr>
          <w:ilvl w:val="1"/>
          <w:numId w:val="22"/>
        </w:numPr>
        <w:spacing w:line="240" w:lineRule="auto"/>
        <w:ind w:left="1080"/>
        <w:textAlignment w:val="center"/>
        <w:rPr>
          <w:rFonts w:eastAsia="Times New Roman" w:cs="Times New Roman"/>
        </w:rPr>
      </w:pPr>
      <w:r w:rsidRPr="00503153">
        <w:rPr>
          <w:rFonts w:eastAsia="Times New Roman" w:cs="Times New Roman"/>
        </w:rPr>
        <w:t>Information that would be helpful:</w:t>
      </w:r>
    </w:p>
    <w:p w14:paraId="47B70866" w14:textId="77777777" w:rsidR="00503153" w:rsidRPr="00503153" w:rsidRDefault="00503153" w:rsidP="00503153">
      <w:pPr>
        <w:numPr>
          <w:ilvl w:val="2"/>
          <w:numId w:val="23"/>
        </w:numPr>
        <w:spacing w:line="240" w:lineRule="auto"/>
        <w:ind w:left="1620"/>
        <w:textAlignment w:val="center"/>
        <w:rPr>
          <w:rFonts w:eastAsia="Times New Roman" w:cs="Times New Roman"/>
        </w:rPr>
      </w:pPr>
      <w:r w:rsidRPr="00503153">
        <w:rPr>
          <w:rFonts w:eastAsia="Times New Roman" w:cs="Times New Roman"/>
        </w:rPr>
        <w:t>Did they make money off the video?</w:t>
      </w:r>
    </w:p>
    <w:p w14:paraId="53CA1D66" w14:textId="77777777" w:rsidR="00503153" w:rsidRPr="00503153" w:rsidRDefault="00503153" w:rsidP="00503153">
      <w:pPr>
        <w:numPr>
          <w:ilvl w:val="3"/>
          <w:numId w:val="24"/>
        </w:numPr>
        <w:spacing w:line="240" w:lineRule="auto"/>
        <w:ind w:left="2160"/>
        <w:textAlignment w:val="center"/>
        <w:rPr>
          <w:rFonts w:eastAsia="Times New Roman" w:cs="Times New Roman"/>
        </w:rPr>
      </w:pPr>
      <w:r w:rsidRPr="00503153">
        <w:rPr>
          <w:rFonts w:eastAsia="Times New Roman" w:cs="Times New Roman"/>
          <w:i/>
          <w:iCs/>
        </w:rPr>
        <w:t xml:space="preserve">Viacom v. YouTube </w:t>
      </w:r>
      <w:r w:rsidRPr="00503153">
        <w:rPr>
          <w:rFonts w:eastAsia="Times New Roman" w:cs="Times New Roman"/>
        </w:rPr>
        <w:t>(finding that there is no specific knowledge requirement on 512(c)(1)(B)</w:t>
      </w:r>
    </w:p>
    <w:p w14:paraId="0BD6C4EC" w14:textId="77777777" w:rsidR="00503153" w:rsidRPr="00503153" w:rsidRDefault="00503153" w:rsidP="00503153">
      <w:pPr>
        <w:numPr>
          <w:ilvl w:val="2"/>
          <w:numId w:val="24"/>
        </w:numPr>
        <w:spacing w:line="240" w:lineRule="auto"/>
        <w:ind w:left="1620"/>
        <w:textAlignment w:val="center"/>
        <w:rPr>
          <w:rFonts w:eastAsia="Times New Roman" w:cs="Times New Roman"/>
        </w:rPr>
      </w:pPr>
      <w:r w:rsidRPr="00503153">
        <w:rPr>
          <w:rFonts w:eastAsia="Times New Roman" w:cs="Times New Roman"/>
        </w:rPr>
        <w:t xml:space="preserve">Did they know it was infringing? </w:t>
      </w:r>
    </w:p>
    <w:p w14:paraId="494D56AB" w14:textId="77777777" w:rsidR="00503153" w:rsidRPr="00503153" w:rsidRDefault="00503153" w:rsidP="00503153">
      <w:pPr>
        <w:numPr>
          <w:ilvl w:val="3"/>
          <w:numId w:val="25"/>
        </w:numPr>
        <w:spacing w:line="240" w:lineRule="auto"/>
        <w:ind w:left="2160"/>
        <w:textAlignment w:val="center"/>
        <w:rPr>
          <w:rFonts w:eastAsia="Times New Roman" w:cs="Times New Roman"/>
        </w:rPr>
      </w:pPr>
      <w:r w:rsidRPr="00503153">
        <w:rPr>
          <w:rFonts w:eastAsia="Times New Roman" w:cs="Times New Roman"/>
        </w:rPr>
        <w:t>Would the reasonable person have known?</w:t>
      </w:r>
    </w:p>
    <w:p w14:paraId="3702BC28" w14:textId="77777777" w:rsidR="00503153" w:rsidRPr="00503153" w:rsidRDefault="00503153" w:rsidP="00503153">
      <w:pPr>
        <w:numPr>
          <w:ilvl w:val="2"/>
          <w:numId w:val="25"/>
        </w:numPr>
        <w:spacing w:line="240" w:lineRule="auto"/>
        <w:ind w:left="1620"/>
        <w:textAlignment w:val="center"/>
        <w:rPr>
          <w:rFonts w:eastAsia="Times New Roman" w:cs="Times New Roman"/>
        </w:rPr>
      </w:pPr>
      <w:r w:rsidRPr="00503153">
        <w:rPr>
          <w:rFonts w:eastAsia="Times New Roman" w:cs="Times New Roman"/>
        </w:rPr>
        <w:t>Once they received the claim did the remove/block the video?</w:t>
      </w:r>
    </w:p>
    <w:p w14:paraId="7EF922CB" w14:textId="77777777" w:rsidR="00503153" w:rsidRPr="00503153" w:rsidRDefault="00503153" w:rsidP="00503153">
      <w:pPr>
        <w:numPr>
          <w:ilvl w:val="3"/>
          <w:numId w:val="26"/>
        </w:numPr>
        <w:spacing w:line="240" w:lineRule="auto"/>
        <w:ind w:left="2160"/>
        <w:textAlignment w:val="center"/>
        <w:rPr>
          <w:rFonts w:eastAsia="Times New Roman" w:cs="Times New Roman"/>
        </w:rPr>
      </w:pPr>
      <w:r w:rsidRPr="00503153">
        <w:rPr>
          <w:rFonts w:eastAsia="Times New Roman" w:cs="Times New Roman"/>
        </w:rPr>
        <w:t xml:space="preserve">This essential under 512(c)(1)(A)(iii) &amp; (C). </w:t>
      </w:r>
      <w:r w:rsidRPr="00503153">
        <w:rPr>
          <w:rFonts w:eastAsia="Times New Roman" w:cs="Times New Roman"/>
          <w:i/>
          <w:iCs/>
        </w:rPr>
        <w:t>Viacom v. YouTube (</w:t>
      </w:r>
      <w:r w:rsidRPr="00503153">
        <w:rPr>
          <w:rFonts w:eastAsia="Times New Roman" w:cs="Times New Roman"/>
        </w:rPr>
        <w:t xml:space="preserve">holding removal/disabling of the material required for safe harbor). </w:t>
      </w:r>
    </w:p>
    <w:p w14:paraId="36B8C4E6" w14:textId="77777777" w:rsidR="00503153" w:rsidRPr="00503153" w:rsidRDefault="00503153" w:rsidP="00503153">
      <w:pPr>
        <w:numPr>
          <w:ilvl w:val="3"/>
          <w:numId w:val="26"/>
        </w:numPr>
        <w:spacing w:line="240" w:lineRule="auto"/>
        <w:ind w:left="2160"/>
        <w:textAlignment w:val="center"/>
        <w:rPr>
          <w:rFonts w:eastAsia="Times New Roman" w:cs="Times New Roman"/>
        </w:rPr>
      </w:pPr>
      <w:r w:rsidRPr="00503153">
        <w:rPr>
          <w:rFonts w:eastAsia="Times New Roman" w:cs="Times New Roman"/>
        </w:rPr>
        <w:t>Did they receive notification outside of the suit?</w:t>
      </w:r>
    </w:p>
    <w:p w14:paraId="69668ED5" w14:textId="77777777" w:rsidR="00503153" w:rsidRPr="00503153" w:rsidRDefault="00503153" w:rsidP="00503153">
      <w:pPr>
        <w:numPr>
          <w:ilvl w:val="4"/>
          <w:numId w:val="27"/>
        </w:numPr>
        <w:spacing w:line="240" w:lineRule="auto"/>
        <w:ind w:left="2700"/>
        <w:textAlignment w:val="center"/>
        <w:rPr>
          <w:rFonts w:eastAsia="Times New Roman" w:cs="Times New Roman"/>
        </w:rPr>
      </w:pPr>
      <w:r w:rsidRPr="00503153">
        <w:rPr>
          <w:rFonts w:eastAsia="Times New Roman" w:cs="Times New Roman"/>
        </w:rPr>
        <w:t>512(c)(3)</w:t>
      </w:r>
    </w:p>
    <w:p w14:paraId="1E827512" w14:textId="77777777" w:rsidR="00503153" w:rsidRPr="00503153" w:rsidRDefault="00503153" w:rsidP="00503153">
      <w:pPr>
        <w:numPr>
          <w:ilvl w:val="4"/>
          <w:numId w:val="27"/>
        </w:numPr>
        <w:spacing w:line="240" w:lineRule="auto"/>
        <w:ind w:left="2700"/>
        <w:textAlignment w:val="center"/>
        <w:rPr>
          <w:rFonts w:eastAsia="Times New Roman" w:cs="Times New Roman"/>
        </w:rPr>
      </w:pPr>
      <w:r w:rsidRPr="00503153">
        <w:rPr>
          <w:rFonts w:eastAsia="Times New Roman" w:cs="Times New Roman"/>
        </w:rPr>
        <w:t xml:space="preserve">It appears that </w:t>
      </w:r>
      <w:proofErr w:type="spellStart"/>
      <w:r w:rsidRPr="00503153">
        <w:rPr>
          <w:rFonts w:eastAsia="Times New Roman" w:cs="Times New Roman"/>
        </w:rPr>
        <w:t>Janeway</w:t>
      </w:r>
      <w:proofErr w:type="spellEnd"/>
      <w:r w:rsidRPr="00503153">
        <w:rPr>
          <w:rFonts w:eastAsia="Times New Roman" w:cs="Times New Roman"/>
        </w:rPr>
        <w:t xml:space="preserve"> may not have notified before filing suit. They didn't receive notice, effects their knowledge of the infringement.</w:t>
      </w:r>
    </w:p>
    <w:p w14:paraId="0DD1F867" w14:textId="77777777" w:rsidR="00503153" w:rsidRPr="00503153" w:rsidRDefault="00503153" w:rsidP="00503153">
      <w:pPr>
        <w:numPr>
          <w:ilvl w:val="5"/>
          <w:numId w:val="28"/>
        </w:numPr>
        <w:spacing w:line="240" w:lineRule="auto"/>
        <w:ind w:left="3240"/>
        <w:textAlignment w:val="center"/>
        <w:rPr>
          <w:rFonts w:eastAsia="Times New Roman" w:cs="Times New Roman"/>
        </w:rPr>
      </w:pPr>
      <w:r w:rsidRPr="00503153">
        <w:rPr>
          <w:rFonts w:eastAsia="Times New Roman" w:cs="Times New Roman"/>
          <w:i/>
          <w:iCs/>
        </w:rPr>
        <w:t xml:space="preserve">UMG Recordings, Inc. v. Shelter </w:t>
      </w:r>
      <w:r w:rsidRPr="00503153">
        <w:rPr>
          <w:rFonts w:eastAsia="Times New Roman" w:cs="Times New Roman"/>
        </w:rPr>
        <w:t>(finding informal emails insufficient notice)</w:t>
      </w:r>
    </w:p>
    <w:p w14:paraId="4B33381F" w14:textId="77777777" w:rsidR="00503153" w:rsidRPr="00503153" w:rsidRDefault="00503153" w:rsidP="00503153">
      <w:pPr>
        <w:numPr>
          <w:ilvl w:val="1"/>
          <w:numId w:val="28"/>
        </w:numPr>
        <w:spacing w:line="240" w:lineRule="auto"/>
        <w:ind w:left="1080"/>
        <w:textAlignment w:val="center"/>
        <w:rPr>
          <w:rFonts w:eastAsia="Times New Roman" w:cs="Times New Roman"/>
        </w:rPr>
      </w:pPr>
      <w:r w:rsidRPr="00503153">
        <w:rPr>
          <w:rFonts w:eastAsia="Times New Roman" w:cs="Times New Roman"/>
        </w:rPr>
        <w:t>512(c) is the correct section to apply</w:t>
      </w:r>
    </w:p>
    <w:p w14:paraId="06FCD9A7" w14:textId="77777777" w:rsidR="00503153" w:rsidRPr="00503153" w:rsidRDefault="00503153" w:rsidP="00503153">
      <w:pPr>
        <w:numPr>
          <w:ilvl w:val="2"/>
          <w:numId w:val="29"/>
        </w:numPr>
        <w:spacing w:line="240" w:lineRule="auto"/>
        <w:ind w:left="1620"/>
        <w:textAlignment w:val="center"/>
        <w:rPr>
          <w:rFonts w:eastAsia="Times New Roman" w:cs="Times New Roman"/>
        </w:rPr>
      </w:pPr>
      <w:r w:rsidRPr="00503153">
        <w:rPr>
          <w:rFonts w:eastAsia="Times New Roman" w:cs="Times New Roman"/>
          <w:i/>
          <w:iCs/>
        </w:rPr>
        <w:lastRenderedPageBreak/>
        <w:t xml:space="preserve">Viacom v. YouTube </w:t>
      </w:r>
      <w:r w:rsidRPr="00503153">
        <w:rPr>
          <w:rFonts w:eastAsia="Times New Roman" w:cs="Times New Roman"/>
        </w:rPr>
        <w:t>(applying 512(c))</w:t>
      </w:r>
    </w:p>
    <w:p w14:paraId="2D368DB9" w14:textId="77777777" w:rsidR="00503153" w:rsidRPr="00503153" w:rsidRDefault="00503153" w:rsidP="00503153">
      <w:pPr>
        <w:numPr>
          <w:ilvl w:val="2"/>
          <w:numId w:val="29"/>
        </w:numPr>
        <w:spacing w:line="240" w:lineRule="auto"/>
        <w:ind w:left="1620"/>
        <w:textAlignment w:val="center"/>
        <w:rPr>
          <w:rFonts w:eastAsia="Times New Roman" w:cs="Times New Roman"/>
        </w:rPr>
      </w:pPr>
      <w:r w:rsidRPr="00503153">
        <w:rPr>
          <w:rFonts w:eastAsia="Times New Roman" w:cs="Times New Roman"/>
          <w:i/>
          <w:iCs/>
        </w:rPr>
        <w:t>UMG Recordings, Inc. v. Shelter Capital Partners LCC (</w:t>
      </w:r>
      <w:r w:rsidRPr="00503153">
        <w:rPr>
          <w:rFonts w:eastAsia="Times New Roman" w:cs="Times New Roman"/>
        </w:rPr>
        <w:t xml:space="preserve">applying 512(c) to a site </w:t>
      </w:r>
      <w:proofErr w:type="gramStart"/>
      <w:r w:rsidRPr="00503153">
        <w:rPr>
          <w:rFonts w:eastAsia="Times New Roman" w:cs="Times New Roman"/>
        </w:rPr>
        <w:t>similar to</w:t>
      </w:r>
      <w:proofErr w:type="gramEnd"/>
      <w:r w:rsidRPr="00503153">
        <w:rPr>
          <w:rFonts w:eastAsia="Times New Roman" w:cs="Times New Roman"/>
        </w:rPr>
        <w:t xml:space="preserve"> YouTube)</w:t>
      </w:r>
    </w:p>
    <w:p w14:paraId="20E7B293" w14:textId="77777777" w:rsidR="00503153" w:rsidRPr="00503153" w:rsidRDefault="00503153" w:rsidP="00503153">
      <w:pPr>
        <w:numPr>
          <w:ilvl w:val="1"/>
          <w:numId w:val="29"/>
        </w:numPr>
        <w:spacing w:line="240" w:lineRule="auto"/>
        <w:ind w:left="1080"/>
        <w:textAlignment w:val="center"/>
        <w:rPr>
          <w:rFonts w:eastAsia="Times New Roman" w:cs="Times New Roman"/>
        </w:rPr>
      </w:pPr>
      <w:r w:rsidRPr="00503153">
        <w:rPr>
          <w:rFonts w:eastAsia="Times New Roman" w:cs="Times New Roman"/>
        </w:rPr>
        <w:t>Additional cases</w:t>
      </w:r>
    </w:p>
    <w:p w14:paraId="73BA6600" w14:textId="77777777" w:rsidR="00503153" w:rsidRPr="00503153" w:rsidRDefault="00503153" w:rsidP="00503153">
      <w:pPr>
        <w:numPr>
          <w:ilvl w:val="2"/>
          <w:numId w:val="30"/>
        </w:numPr>
        <w:spacing w:line="240" w:lineRule="auto"/>
        <w:ind w:left="1620"/>
        <w:textAlignment w:val="center"/>
        <w:rPr>
          <w:rFonts w:eastAsia="Times New Roman" w:cs="Times New Roman"/>
        </w:rPr>
      </w:pPr>
      <w:r w:rsidRPr="00503153">
        <w:rPr>
          <w:rFonts w:eastAsia="Times New Roman" w:cs="Times New Roman"/>
          <w:i/>
          <w:iCs/>
        </w:rPr>
        <w:t>Capitol Records, LLC v. Vimeo</w:t>
      </w:r>
    </w:p>
    <w:p w14:paraId="50E7FB78" w14:textId="77777777" w:rsidR="00503153" w:rsidRPr="00503153" w:rsidRDefault="00503153" w:rsidP="00503153">
      <w:pPr>
        <w:numPr>
          <w:ilvl w:val="3"/>
          <w:numId w:val="31"/>
        </w:numPr>
        <w:spacing w:line="240" w:lineRule="auto"/>
        <w:ind w:left="2160"/>
        <w:textAlignment w:val="center"/>
        <w:rPr>
          <w:rFonts w:eastAsia="Times New Roman" w:cs="Times New Roman"/>
        </w:rPr>
      </w:pPr>
      <w:r w:rsidRPr="00503153">
        <w:rPr>
          <w:rFonts w:eastAsia="Times New Roman" w:cs="Times New Roman"/>
          <w:i/>
          <w:iCs/>
        </w:rPr>
        <w:t xml:space="preserve"> </w:t>
      </w:r>
      <w:r w:rsidRPr="00503153">
        <w:rPr>
          <w:rFonts w:eastAsia="Times New Roman" w:cs="Times New Roman"/>
        </w:rPr>
        <w:t>copyright owner was required to establish that personnel of internet service provider either knew video was infringing or knew facts making that conclusion obvious to an ordinary person who had no specialized knowledge of music or the laws of copyright.</w:t>
      </w:r>
    </w:p>
    <w:p w14:paraId="6EA712F7" w14:textId="77777777" w:rsidR="00503153" w:rsidRPr="00503153" w:rsidRDefault="00503153" w:rsidP="00503153">
      <w:pPr>
        <w:numPr>
          <w:ilvl w:val="3"/>
          <w:numId w:val="31"/>
        </w:numPr>
        <w:spacing w:line="240" w:lineRule="auto"/>
        <w:ind w:left="2160"/>
        <w:textAlignment w:val="center"/>
        <w:rPr>
          <w:rFonts w:eastAsia="Times New Roman" w:cs="Times New Roman"/>
        </w:rPr>
      </w:pPr>
      <w:r w:rsidRPr="00503153">
        <w:rPr>
          <w:rFonts w:eastAsia="Times New Roman" w:cs="Times New Roman"/>
        </w:rPr>
        <w:t xml:space="preserve">the burden falls on the copyright owner to demonstrate that the service provider acquired knowledge of the infringement, or of facts and circumstances from which infringing activity was obvious, and failed to </w:t>
      </w:r>
      <w:bookmarkStart w:id="0" w:name="_GoBack"/>
      <w:bookmarkEnd w:id="0"/>
      <w:r w:rsidRPr="00503153">
        <w:rPr>
          <w:rFonts w:eastAsia="Times New Roman" w:cs="Times New Roman"/>
        </w:rPr>
        <w:t>promptly take down the infringing matter, thus forfeiting its right to the safe harbor; the plaintiff is entitled to take discovery of the service provider to enable it to make this showing</w:t>
      </w:r>
    </w:p>
    <w:p w14:paraId="1A8F8EE9" w14:textId="77777777" w:rsidR="00503153" w:rsidRPr="00503153" w:rsidRDefault="00503153" w:rsidP="00503153">
      <w:pPr>
        <w:numPr>
          <w:ilvl w:val="2"/>
          <w:numId w:val="32"/>
        </w:numPr>
        <w:spacing w:line="240" w:lineRule="auto"/>
        <w:ind w:left="1620"/>
        <w:textAlignment w:val="center"/>
        <w:rPr>
          <w:rFonts w:eastAsia="Times New Roman" w:cs="Times New Roman"/>
          <w:i/>
          <w:iCs/>
        </w:rPr>
      </w:pPr>
      <w:r w:rsidRPr="00503153">
        <w:rPr>
          <w:rFonts w:eastAsia="Times New Roman" w:cs="Times New Roman"/>
          <w:i/>
          <w:iCs/>
        </w:rPr>
        <w:t>EMI Christian Music Group, Inc. v. MP3Tunes</w:t>
      </w:r>
    </w:p>
    <w:p w14:paraId="106A39D1" w14:textId="77777777" w:rsidR="00503153" w:rsidRPr="00503153" w:rsidRDefault="00503153" w:rsidP="00503153">
      <w:pPr>
        <w:spacing w:line="240" w:lineRule="auto"/>
        <w:ind w:left="1080" w:firstLine="0"/>
        <w:rPr>
          <w:rFonts w:eastAsia="Times New Roman" w:cs="Times New Roman"/>
          <w:sz w:val="22"/>
        </w:rPr>
      </w:pPr>
      <w:r w:rsidRPr="00503153">
        <w:rPr>
          <w:rFonts w:eastAsia="Times New Roman" w:cs="Times New Roman"/>
          <w:sz w:val="22"/>
        </w:rPr>
        <w:t> </w:t>
      </w:r>
    </w:p>
    <w:p w14:paraId="5638D11B" w14:textId="77777777" w:rsidR="00503153" w:rsidRPr="00503153" w:rsidRDefault="00503153" w:rsidP="00503153">
      <w:pPr>
        <w:numPr>
          <w:ilvl w:val="0"/>
          <w:numId w:val="33"/>
        </w:numPr>
        <w:spacing w:line="240" w:lineRule="auto"/>
        <w:ind w:left="540"/>
        <w:textAlignment w:val="center"/>
        <w:rPr>
          <w:rFonts w:eastAsia="Times New Roman" w:cs="Times New Roman"/>
          <w:color w:val="2E75B5"/>
          <w:sz w:val="28"/>
          <w:szCs w:val="28"/>
        </w:rPr>
      </w:pPr>
      <w:r w:rsidRPr="00503153">
        <w:rPr>
          <w:rFonts w:eastAsia="Times New Roman" w:cs="Times New Roman"/>
          <w:color w:val="2E75B5"/>
          <w:sz w:val="28"/>
          <w:szCs w:val="28"/>
        </w:rPr>
        <w:t>Outside the Scope of 106A (the Visual Artists' Rights Act)</w:t>
      </w:r>
    </w:p>
    <w:p w14:paraId="5CBACBE7" w14:textId="77777777" w:rsidR="00503153" w:rsidRPr="00503153" w:rsidRDefault="00503153" w:rsidP="00503153">
      <w:pPr>
        <w:numPr>
          <w:ilvl w:val="1"/>
          <w:numId w:val="34"/>
        </w:numPr>
        <w:spacing w:line="240" w:lineRule="auto"/>
        <w:ind w:left="1080"/>
        <w:textAlignment w:val="center"/>
        <w:rPr>
          <w:rFonts w:eastAsia="Times New Roman" w:cs="Times New Roman"/>
        </w:rPr>
      </w:pPr>
      <w:r w:rsidRPr="00503153">
        <w:rPr>
          <w:rFonts w:eastAsia="Times New Roman" w:cs="Times New Roman"/>
        </w:rPr>
        <w:t>Music Video is NOT a visual art</w:t>
      </w:r>
    </w:p>
    <w:p w14:paraId="052D479F" w14:textId="77777777" w:rsidR="00503153" w:rsidRPr="00503153" w:rsidRDefault="00503153" w:rsidP="00503153">
      <w:pPr>
        <w:numPr>
          <w:ilvl w:val="2"/>
          <w:numId w:val="35"/>
        </w:numPr>
        <w:spacing w:line="240" w:lineRule="auto"/>
        <w:ind w:left="1620"/>
        <w:textAlignment w:val="center"/>
        <w:rPr>
          <w:rFonts w:eastAsia="Times New Roman" w:cs="Times New Roman"/>
        </w:rPr>
      </w:pPr>
      <w:r w:rsidRPr="00503153">
        <w:rPr>
          <w:rFonts w:eastAsia="Times New Roman" w:cs="Times New Roman"/>
        </w:rPr>
        <w:t xml:space="preserve">It is audiovisual § 101 </w:t>
      </w:r>
    </w:p>
    <w:p w14:paraId="3521450D" w14:textId="77777777" w:rsidR="00503153" w:rsidRPr="00503153" w:rsidRDefault="00503153" w:rsidP="00503153">
      <w:pPr>
        <w:numPr>
          <w:ilvl w:val="2"/>
          <w:numId w:val="35"/>
        </w:numPr>
        <w:spacing w:line="240" w:lineRule="auto"/>
        <w:ind w:left="1620"/>
        <w:textAlignment w:val="center"/>
        <w:rPr>
          <w:rFonts w:eastAsia="Times New Roman" w:cs="Times New Roman"/>
        </w:rPr>
      </w:pPr>
      <w:r w:rsidRPr="00503153">
        <w:rPr>
          <w:rFonts w:eastAsia="Times New Roman" w:cs="Times New Roman"/>
        </w:rPr>
        <w:t xml:space="preserve">Even if audiovisual was a work of art, they may NOT be promotional. </w:t>
      </w:r>
      <w:proofErr w:type="spellStart"/>
      <w:r w:rsidRPr="00503153">
        <w:rPr>
          <w:rFonts w:eastAsia="Times New Roman" w:cs="Times New Roman"/>
        </w:rPr>
        <w:t>Janeway's</w:t>
      </w:r>
      <w:proofErr w:type="spellEnd"/>
      <w:r w:rsidRPr="00503153">
        <w:rPr>
          <w:rFonts w:eastAsia="Times New Roman" w:cs="Times New Roman"/>
        </w:rPr>
        <w:t xml:space="preserve"> use of her logo at the beginning of the video additionally weakens her argument. </w:t>
      </w:r>
    </w:p>
    <w:p w14:paraId="5862D698" w14:textId="77777777" w:rsidR="00503153" w:rsidRPr="00503153" w:rsidRDefault="00503153" w:rsidP="00503153">
      <w:pPr>
        <w:numPr>
          <w:ilvl w:val="1"/>
          <w:numId w:val="35"/>
        </w:numPr>
        <w:spacing w:line="240" w:lineRule="auto"/>
        <w:ind w:left="1080"/>
        <w:textAlignment w:val="center"/>
        <w:rPr>
          <w:rFonts w:eastAsia="Times New Roman" w:cs="Times New Roman"/>
        </w:rPr>
      </w:pPr>
      <w:r w:rsidRPr="00503153">
        <w:rPr>
          <w:rFonts w:eastAsia="Times New Roman" w:cs="Times New Roman"/>
        </w:rPr>
        <w:t>Visual Artists' Rights Act (§ 106A) ONLY applies to works of visual art</w:t>
      </w:r>
    </w:p>
    <w:p w14:paraId="62CF5B03" w14:textId="77777777" w:rsidR="00503153" w:rsidRPr="00503153" w:rsidRDefault="00503153" w:rsidP="00503153">
      <w:pPr>
        <w:numPr>
          <w:ilvl w:val="1"/>
          <w:numId w:val="35"/>
        </w:numPr>
        <w:spacing w:line="240" w:lineRule="auto"/>
        <w:ind w:left="1080"/>
        <w:textAlignment w:val="center"/>
        <w:rPr>
          <w:rFonts w:eastAsia="Times New Roman" w:cs="Times New Roman"/>
        </w:rPr>
      </w:pPr>
      <w:proofErr w:type="spellStart"/>
      <w:r w:rsidRPr="00503153">
        <w:rPr>
          <w:rFonts w:eastAsia="Times New Roman" w:cs="Times New Roman"/>
        </w:rPr>
        <w:t>Janeway</w:t>
      </w:r>
      <w:proofErr w:type="spellEnd"/>
      <w:r w:rsidRPr="00503153">
        <w:rPr>
          <w:rFonts w:eastAsia="Times New Roman" w:cs="Times New Roman"/>
        </w:rPr>
        <w:t xml:space="preserve"> is making claims under 106A. These claims are easily defended against (as 106A does not apply)</w:t>
      </w:r>
    </w:p>
    <w:p w14:paraId="47E35B1B" w14:textId="77777777" w:rsidR="00503153" w:rsidRPr="00503153" w:rsidRDefault="00503153" w:rsidP="00503153">
      <w:pPr>
        <w:numPr>
          <w:ilvl w:val="1"/>
          <w:numId w:val="35"/>
        </w:numPr>
        <w:spacing w:line="240" w:lineRule="auto"/>
        <w:ind w:left="1080"/>
        <w:textAlignment w:val="center"/>
        <w:rPr>
          <w:rFonts w:eastAsia="Times New Roman" w:cs="Times New Roman"/>
        </w:rPr>
      </w:pPr>
      <w:r w:rsidRPr="00503153">
        <w:rPr>
          <w:rFonts w:eastAsia="Times New Roman" w:cs="Times New Roman"/>
          <w:i/>
          <w:iCs/>
        </w:rPr>
        <w:t>Scott v. Carlson</w:t>
      </w:r>
      <w:r w:rsidRPr="00503153">
        <w:rPr>
          <w:rFonts w:eastAsia="Times New Roman" w:cs="Times New Roman"/>
        </w:rPr>
        <w:t>, (holding that neither audiovisual material nor promotional logos are a visual art, and that their creators do not afford the special rights under 106A)</w:t>
      </w:r>
    </w:p>
    <w:p w14:paraId="782AEC8D" w14:textId="77777777" w:rsidR="00503153" w:rsidRPr="00503153" w:rsidRDefault="00503153" w:rsidP="00503153">
      <w:pPr>
        <w:numPr>
          <w:ilvl w:val="1"/>
          <w:numId w:val="35"/>
        </w:numPr>
        <w:spacing w:line="240" w:lineRule="auto"/>
        <w:ind w:left="1080"/>
        <w:textAlignment w:val="center"/>
        <w:rPr>
          <w:rFonts w:eastAsia="Times New Roman" w:cs="Times New Roman"/>
        </w:rPr>
      </w:pPr>
      <w:r w:rsidRPr="00503153">
        <w:rPr>
          <w:rFonts w:eastAsia="Times New Roman" w:cs="Times New Roman"/>
          <w:i/>
          <w:iCs/>
        </w:rPr>
        <w:t xml:space="preserve">Kleinman v. City of San Marcos </w:t>
      </w:r>
      <w:r w:rsidRPr="00503153">
        <w:rPr>
          <w:rFonts w:eastAsia="Times New Roman" w:cs="Times New Roman"/>
        </w:rPr>
        <w:t>(finding that an item which was a distinctive symbol of the owner's business did not qualify as a work of visual art)</w:t>
      </w:r>
    </w:p>
    <w:p w14:paraId="21C1E3F2" w14:textId="77777777" w:rsidR="00503153" w:rsidRPr="00503153" w:rsidRDefault="00503153" w:rsidP="00503153">
      <w:pPr>
        <w:spacing w:line="240" w:lineRule="auto"/>
        <w:ind w:left="1080" w:firstLine="0"/>
        <w:rPr>
          <w:rFonts w:eastAsia="Times New Roman" w:cs="Times New Roman"/>
        </w:rPr>
      </w:pPr>
      <w:r w:rsidRPr="00503153">
        <w:rPr>
          <w:rFonts w:eastAsia="Times New Roman" w:cs="Times New Roman"/>
        </w:rPr>
        <w:t> </w:t>
      </w:r>
    </w:p>
    <w:p w14:paraId="2652852B" w14:textId="77777777" w:rsidR="00503153" w:rsidRPr="00503153" w:rsidRDefault="00503153" w:rsidP="00503153">
      <w:pPr>
        <w:spacing w:line="240" w:lineRule="auto"/>
        <w:ind w:firstLine="0"/>
        <w:rPr>
          <w:rFonts w:eastAsia="Times New Roman" w:cs="Times New Roman"/>
          <w:sz w:val="22"/>
        </w:rPr>
      </w:pPr>
      <w:r w:rsidRPr="00503153">
        <w:rPr>
          <w:rFonts w:eastAsia="Times New Roman" w:cs="Times New Roman"/>
          <w:sz w:val="22"/>
        </w:rPr>
        <w:t> </w:t>
      </w:r>
    </w:p>
    <w:p w14:paraId="615492A3" w14:textId="031A13D3" w:rsidR="00503153" w:rsidRPr="00503153" w:rsidRDefault="00503153" w:rsidP="00503153">
      <w:pPr>
        <w:spacing w:line="240" w:lineRule="auto"/>
        <w:ind w:firstLine="0"/>
        <w:rPr>
          <w:rFonts w:eastAsia="Times New Roman" w:cs="Times New Roman"/>
          <w:sz w:val="22"/>
        </w:rPr>
      </w:pPr>
      <w:r w:rsidRPr="00503153">
        <w:rPr>
          <w:rFonts w:eastAsia="Times New Roman" w:cs="Times New Roman"/>
          <w:sz w:val="22"/>
        </w:rPr>
        <w:t>  </w:t>
      </w:r>
    </w:p>
    <w:p w14:paraId="048A6D88" w14:textId="77777777" w:rsidR="00503153" w:rsidRPr="00503153" w:rsidRDefault="00503153" w:rsidP="00503153">
      <w:pPr>
        <w:spacing w:line="240" w:lineRule="auto"/>
        <w:ind w:firstLine="0"/>
        <w:outlineLvl w:val="0"/>
        <w:rPr>
          <w:rFonts w:eastAsia="Times New Roman" w:cs="Times New Roman"/>
          <w:b/>
          <w:bCs/>
          <w:color w:val="1E4E79"/>
          <w:kern w:val="36"/>
          <w:sz w:val="32"/>
          <w:szCs w:val="32"/>
        </w:rPr>
      </w:pPr>
      <w:r w:rsidRPr="00503153">
        <w:rPr>
          <w:rFonts w:eastAsia="Times New Roman" w:cs="Times New Roman"/>
          <w:b/>
          <w:bCs/>
          <w:color w:val="1E4E79"/>
          <w:kern w:val="36"/>
          <w:sz w:val="32"/>
          <w:szCs w:val="32"/>
        </w:rPr>
        <w:t>Cases</w:t>
      </w:r>
    </w:p>
    <w:p w14:paraId="4D98A69D" w14:textId="77777777" w:rsidR="00503153" w:rsidRPr="00503153" w:rsidRDefault="00503153" w:rsidP="00503153">
      <w:pPr>
        <w:spacing w:line="240" w:lineRule="auto"/>
        <w:ind w:firstLine="0"/>
        <w:outlineLvl w:val="3"/>
        <w:rPr>
          <w:rFonts w:eastAsia="Times New Roman" w:cs="Times New Roman"/>
          <w:b/>
          <w:bCs/>
          <w:color w:val="5B9BD5"/>
          <w:szCs w:val="24"/>
        </w:rPr>
      </w:pPr>
      <w:r w:rsidRPr="00503153">
        <w:rPr>
          <w:rFonts w:eastAsia="Times New Roman" w:cs="Times New Roman"/>
          <w:b/>
          <w:bCs/>
          <w:i/>
          <w:iCs/>
          <w:color w:val="5B9BD5"/>
          <w:szCs w:val="24"/>
        </w:rPr>
        <w:t>(DOUBLE CHECK VOLUMES, REPORTERS, &amp; Abbreviations)</w:t>
      </w:r>
    </w:p>
    <w:p w14:paraId="743CB551" w14:textId="77777777" w:rsidR="00503153" w:rsidRPr="00503153" w:rsidRDefault="00503153" w:rsidP="00503153">
      <w:pPr>
        <w:spacing w:line="240" w:lineRule="auto"/>
        <w:ind w:firstLine="0"/>
        <w:rPr>
          <w:rFonts w:eastAsia="Times New Roman" w:cs="Times New Roman"/>
          <w:szCs w:val="24"/>
        </w:rPr>
      </w:pPr>
      <w:r w:rsidRPr="00503153">
        <w:rPr>
          <w:rFonts w:eastAsia="Times New Roman" w:cs="Times New Roman"/>
          <w:i/>
          <w:iCs/>
          <w:szCs w:val="24"/>
        </w:rPr>
        <w:t>Fourth Estate Pub. Benefit Corp. v. Wall-Street.com, LLC.</w:t>
      </w:r>
      <w:r w:rsidRPr="00503153">
        <w:rPr>
          <w:rFonts w:eastAsia="Times New Roman" w:cs="Times New Roman"/>
          <w:szCs w:val="24"/>
        </w:rPr>
        <w:t>, 856 F.3d 1338 (11th Cir. 2017).</w:t>
      </w:r>
    </w:p>
    <w:p w14:paraId="5804CDEC" w14:textId="77777777" w:rsidR="00503153" w:rsidRPr="00503153" w:rsidRDefault="00503153" w:rsidP="00503153">
      <w:pPr>
        <w:spacing w:line="240" w:lineRule="auto"/>
        <w:ind w:firstLine="0"/>
        <w:rPr>
          <w:rFonts w:eastAsia="Times New Roman" w:cs="Times New Roman"/>
          <w:szCs w:val="24"/>
        </w:rPr>
      </w:pPr>
      <w:r w:rsidRPr="00503153">
        <w:rPr>
          <w:rFonts w:eastAsia="Times New Roman" w:cs="Times New Roman"/>
          <w:i/>
          <w:iCs/>
          <w:szCs w:val="24"/>
        </w:rPr>
        <w:t>Cosmetic Ideas, Inc. v. IAC/</w:t>
      </w:r>
      <w:proofErr w:type="spellStart"/>
      <w:r w:rsidRPr="00503153">
        <w:rPr>
          <w:rFonts w:eastAsia="Times New Roman" w:cs="Times New Roman"/>
          <w:i/>
          <w:iCs/>
          <w:szCs w:val="24"/>
        </w:rPr>
        <w:t>Interactivecorp</w:t>
      </w:r>
      <w:proofErr w:type="spellEnd"/>
      <w:r w:rsidRPr="00503153">
        <w:rPr>
          <w:rFonts w:eastAsia="Times New Roman" w:cs="Times New Roman"/>
          <w:szCs w:val="24"/>
        </w:rPr>
        <w:t>, 606 F.3d 612 (9th Cir. 2010).</w:t>
      </w:r>
    </w:p>
    <w:p w14:paraId="4B5CCD58" w14:textId="77777777" w:rsidR="00503153" w:rsidRPr="00503153" w:rsidRDefault="00503153" w:rsidP="00503153">
      <w:pPr>
        <w:spacing w:line="240" w:lineRule="auto"/>
        <w:ind w:firstLine="0"/>
        <w:rPr>
          <w:rFonts w:eastAsia="Times New Roman" w:cs="Times New Roman"/>
          <w:szCs w:val="24"/>
        </w:rPr>
      </w:pPr>
      <w:r w:rsidRPr="00503153">
        <w:rPr>
          <w:rFonts w:eastAsia="Times New Roman" w:cs="Times New Roman"/>
          <w:i/>
          <w:iCs/>
          <w:szCs w:val="24"/>
        </w:rPr>
        <w:t>Apple Barrel Prods., Inc. v. Beard,</w:t>
      </w:r>
      <w:r w:rsidRPr="00503153">
        <w:rPr>
          <w:rFonts w:eastAsia="Times New Roman" w:cs="Times New Roman"/>
          <w:szCs w:val="24"/>
        </w:rPr>
        <w:t> 730 F.2d 384, 386–87 (5th Cir.1984).</w:t>
      </w:r>
    </w:p>
    <w:p w14:paraId="423E976A" w14:textId="77777777" w:rsidR="00503153" w:rsidRPr="00503153" w:rsidRDefault="00503153" w:rsidP="00503153">
      <w:pPr>
        <w:spacing w:line="240" w:lineRule="auto"/>
        <w:ind w:firstLine="0"/>
        <w:rPr>
          <w:rFonts w:eastAsia="Times New Roman" w:cs="Times New Roman"/>
          <w:szCs w:val="24"/>
        </w:rPr>
      </w:pPr>
      <w:r w:rsidRPr="00503153">
        <w:rPr>
          <w:rFonts w:eastAsia="Times New Roman" w:cs="Times New Roman"/>
          <w:i/>
          <w:iCs/>
          <w:szCs w:val="24"/>
        </w:rPr>
        <w:t>Chicago Bd. of Educ. v. Substance, Inc.,</w:t>
      </w:r>
      <w:r w:rsidRPr="00503153">
        <w:rPr>
          <w:rFonts w:eastAsia="Times New Roman" w:cs="Times New Roman"/>
          <w:szCs w:val="24"/>
        </w:rPr>
        <w:t> 354 F.3d 624, 631 (7th Cir.2003).</w:t>
      </w:r>
    </w:p>
    <w:p w14:paraId="76438D4E" w14:textId="77777777" w:rsidR="00503153" w:rsidRPr="00503153" w:rsidRDefault="00503153" w:rsidP="00503153">
      <w:pPr>
        <w:spacing w:line="240" w:lineRule="auto"/>
        <w:ind w:firstLine="0"/>
        <w:rPr>
          <w:rFonts w:eastAsia="Times New Roman" w:cs="Times New Roman"/>
          <w:szCs w:val="24"/>
        </w:rPr>
      </w:pPr>
      <w:r w:rsidRPr="00503153">
        <w:rPr>
          <w:rFonts w:eastAsia="Times New Roman" w:cs="Times New Roman"/>
          <w:i/>
          <w:iCs/>
          <w:szCs w:val="24"/>
        </w:rPr>
        <w:t xml:space="preserve">La </w:t>
      </w:r>
      <w:proofErr w:type="spellStart"/>
      <w:r w:rsidRPr="00503153">
        <w:rPr>
          <w:rFonts w:eastAsia="Times New Roman" w:cs="Times New Roman"/>
          <w:i/>
          <w:iCs/>
          <w:szCs w:val="24"/>
        </w:rPr>
        <w:t>Resolana</w:t>
      </w:r>
      <w:proofErr w:type="spellEnd"/>
      <w:r w:rsidRPr="00503153">
        <w:rPr>
          <w:rFonts w:eastAsia="Times New Roman" w:cs="Times New Roman"/>
          <w:i/>
          <w:iCs/>
          <w:szCs w:val="24"/>
        </w:rPr>
        <w:t xml:space="preserve"> Architects, PA v. Clay Realtors Angel Fire</w:t>
      </w:r>
      <w:r w:rsidRPr="00503153">
        <w:rPr>
          <w:rFonts w:eastAsia="Times New Roman" w:cs="Times New Roman"/>
          <w:szCs w:val="24"/>
        </w:rPr>
        <w:t>, 416 F.3d 1195 (10th Cir. 2005).</w:t>
      </w:r>
    </w:p>
    <w:p w14:paraId="1890D456" w14:textId="77777777" w:rsidR="00503153" w:rsidRPr="00503153" w:rsidRDefault="00503153" w:rsidP="00503153">
      <w:pPr>
        <w:spacing w:line="240" w:lineRule="auto"/>
        <w:ind w:left="540" w:firstLine="0"/>
        <w:rPr>
          <w:rFonts w:eastAsia="Times New Roman" w:cs="Times New Roman"/>
          <w:szCs w:val="24"/>
        </w:rPr>
      </w:pPr>
      <w:r w:rsidRPr="00503153">
        <w:rPr>
          <w:rFonts w:eastAsia="Times New Roman" w:cs="Times New Roman"/>
          <w:szCs w:val="24"/>
        </w:rPr>
        <w:t xml:space="preserve">Note: abrogated on other grounds by </w:t>
      </w:r>
      <w:r w:rsidRPr="00503153">
        <w:rPr>
          <w:rFonts w:eastAsia="Times New Roman" w:cs="Times New Roman"/>
          <w:i/>
          <w:iCs/>
          <w:szCs w:val="24"/>
        </w:rPr>
        <w:t xml:space="preserve">Reed Elsevier, Inc. v. </w:t>
      </w:r>
      <w:proofErr w:type="spellStart"/>
      <w:r w:rsidRPr="00503153">
        <w:rPr>
          <w:rFonts w:eastAsia="Times New Roman" w:cs="Times New Roman"/>
          <w:i/>
          <w:iCs/>
          <w:szCs w:val="24"/>
        </w:rPr>
        <w:t>Muchnick</w:t>
      </w:r>
      <w:proofErr w:type="spellEnd"/>
    </w:p>
    <w:p w14:paraId="072EA968" w14:textId="77777777" w:rsidR="00503153" w:rsidRPr="00503153" w:rsidRDefault="00503153" w:rsidP="00503153">
      <w:pPr>
        <w:spacing w:line="240" w:lineRule="auto"/>
        <w:ind w:firstLine="0"/>
        <w:rPr>
          <w:rFonts w:eastAsia="Times New Roman" w:cs="Times New Roman"/>
          <w:szCs w:val="24"/>
        </w:rPr>
      </w:pPr>
      <w:proofErr w:type="spellStart"/>
      <w:r w:rsidRPr="00503153">
        <w:rPr>
          <w:rFonts w:eastAsia="Times New Roman" w:cs="Times New Roman"/>
          <w:i/>
          <w:iCs/>
          <w:szCs w:val="24"/>
        </w:rPr>
        <w:t>Psihoyos</w:t>
      </w:r>
      <w:proofErr w:type="spellEnd"/>
      <w:r w:rsidRPr="00503153">
        <w:rPr>
          <w:rFonts w:eastAsia="Times New Roman" w:cs="Times New Roman"/>
          <w:i/>
          <w:iCs/>
          <w:szCs w:val="24"/>
        </w:rPr>
        <w:t xml:space="preserve"> v. John Wiley &amp; Sons, Inc.</w:t>
      </w:r>
      <w:r w:rsidRPr="00503153">
        <w:rPr>
          <w:rFonts w:eastAsia="Times New Roman" w:cs="Times New Roman"/>
          <w:szCs w:val="24"/>
        </w:rPr>
        <w:t>, 748 F.3d 120 (2nd Cir. 2014).</w:t>
      </w:r>
    </w:p>
    <w:p w14:paraId="2425BD2B" w14:textId="77777777" w:rsidR="00503153" w:rsidRPr="00503153" w:rsidRDefault="00503153" w:rsidP="00503153">
      <w:pPr>
        <w:spacing w:line="240" w:lineRule="auto"/>
        <w:ind w:firstLine="0"/>
        <w:rPr>
          <w:rFonts w:eastAsia="Times New Roman" w:cs="Times New Roman"/>
          <w:szCs w:val="24"/>
        </w:rPr>
      </w:pPr>
      <w:r w:rsidRPr="00503153">
        <w:rPr>
          <w:rFonts w:eastAsia="Times New Roman" w:cs="Times New Roman"/>
          <w:i/>
          <w:iCs/>
          <w:szCs w:val="24"/>
        </w:rPr>
        <w:t>Zuma Press, Inc. v. Getty Images (US), Inc.</w:t>
      </w:r>
      <w:r w:rsidRPr="00503153">
        <w:rPr>
          <w:rFonts w:eastAsia="Times New Roman" w:cs="Times New Roman"/>
          <w:szCs w:val="24"/>
        </w:rPr>
        <w:t>,</w:t>
      </w:r>
      <w:r w:rsidRPr="00503153">
        <w:rPr>
          <w:rFonts w:eastAsia="Times New Roman" w:cs="Times New Roman"/>
          <w:color w:val="FF0000"/>
          <w:szCs w:val="24"/>
        </w:rPr>
        <w:t xml:space="preserve"> 123 U.S.P.Q.2d 1167</w:t>
      </w:r>
      <w:r w:rsidRPr="00503153">
        <w:rPr>
          <w:rFonts w:eastAsia="Times New Roman" w:cs="Times New Roman"/>
          <w:szCs w:val="24"/>
        </w:rPr>
        <w:t xml:space="preserve"> (S.D. N.Y. 2017).</w:t>
      </w:r>
    </w:p>
    <w:p w14:paraId="56D6F1E9" w14:textId="77777777" w:rsidR="00503153" w:rsidRPr="00503153" w:rsidRDefault="00503153" w:rsidP="00503153">
      <w:pPr>
        <w:spacing w:line="240" w:lineRule="auto"/>
        <w:ind w:firstLine="0"/>
        <w:rPr>
          <w:rFonts w:eastAsia="Times New Roman" w:cs="Times New Roman"/>
          <w:szCs w:val="24"/>
        </w:rPr>
      </w:pPr>
      <w:proofErr w:type="spellStart"/>
      <w:r w:rsidRPr="00503153">
        <w:rPr>
          <w:rFonts w:eastAsia="Times New Roman" w:cs="Times New Roman"/>
          <w:i/>
          <w:iCs/>
          <w:szCs w:val="24"/>
        </w:rPr>
        <w:t>Gattoni</w:t>
      </w:r>
      <w:proofErr w:type="spellEnd"/>
      <w:r w:rsidRPr="00503153">
        <w:rPr>
          <w:rFonts w:eastAsia="Times New Roman" w:cs="Times New Roman"/>
          <w:i/>
          <w:iCs/>
          <w:szCs w:val="24"/>
        </w:rPr>
        <w:t xml:space="preserve"> v. </w:t>
      </w:r>
      <w:proofErr w:type="spellStart"/>
      <w:r w:rsidRPr="00503153">
        <w:rPr>
          <w:rFonts w:eastAsia="Times New Roman" w:cs="Times New Roman"/>
          <w:i/>
          <w:iCs/>
          <w:szCs w:val="24"/>
        </w:rPr>
        <w:t>Tibi</w:t>
      </w:r>
      <w:proofErr w:type="spellEnd"/>
      <w:r w:rsidRPr="00503153">
        <w:rPr>
          <w:rFonts w:eastAsia="Times New Roman" w:cs="Times New Roman"/>
          <w:i/>
          <w:iCs/>
          <w:szCs w:val="24"/>
        </w:rPr>
        <w:t>, LLC</w:t>
      </w:r>
      <w:proofErr w:type="gramStart"/>
      <w:r w:rsidRPr="00503153">
        <w:rPr>
          <w:rFonts w:eastAsia="Times New Roman" w:cs="Times New Roman"/>
          <w:szCs w:val="24"/>
        </w:rPr>
        <w:t xml:space="preserve">, </w:t>
      </w:r>
      <w:r w:rsidRPr="00503153">
        <w:rPr>
          <w:rFonts w:eastAsia="Times New Roman" w:cs="Times New Roman"/>
          <w:color w:val="FF0000"/>
          <w:szCs w:val="24"/>
        </w:rPr>
        <w:t>??????</w:t>
      </w:r>
      <w:proofErr w:type="gramEnd"/>
      <w:r w:rsidRPr="00503153">
        <w:rPr>
          <w:rFonts w:eastAsia="Times New Roman" w:cs="Times New Roman"/>
          <w:szCs w:val="24"/>
        </w:rPr>
        <w:t xml:space="preserve"> (S.D. N.Y. 2017)</w:t>
      </w:r>
    </w:p>
    <w:p w14:paraId="0F0B68F0" w14:textId="77777777" w:rsidR="00503153" w:rsidRPr="00503153" w:rsidRDefault="00503153" w:rsidP="00503153">
      <w:pPr>
        <w:spacing w:line="240" w:lineRule="auto"/>
        <w:ind w:firstLine="0"/>
        <w:rPr>
          <w:rFonts w:eastAsia="Times New Roman" w:cs="Times New Roman"/>
          <w:szCs w:val="24"/>
        </w:rPr>
      </w:pPr>
      <w:proofErr w:type="spellStart"/>
      <w:r w:rsidRPr="00503153">
        <w:rPr>
          <w:rFonts w:eastAsia="Times New Roman" w:cs="Times New Roman"/>
          <w:i/>
          <w:iCs/>
          <w:szCs w:val="24"/>
        </w:rPr>
        <w:t>Lumetrics</w:t>
      </w:r>
      <w:proofErr w:type="spellEnd"/>
      <w:r w:rsidRPr="00503153">
        <w:rPr>
          <w:rFonts w:eastAsia="Times New Roman" w:cs="Times New Roman"/>
          <w:i/>
          <w:iCs/>
          <w:szCs w:val="24"/>
        </w:rPr>
        <w:t>, Inc. v. Blalock</w:t>
      </w:r>
      <w:r w:rsidRPr="00503153">
        <w:rPr>
          <w:rFonts w:eastAsia="Times New Roman" w:cs="Times New Roman"/>
          <w:szCs w:val="24"/>
        </w:rPr>
        <w:t>, 23 F. Supp.3d 138 (W.D. N.Y. 2014)</w:t>
      </w:r>
    </w:p>
    <w:p w14:paraId="43C58B3D" w14:textId="77777777" w:rsidR="00503153" w:rsidRPr="00503153" w:rsidRDefault="00503153" w:rsidP="00503153">
      <w:pPr>
        <w:spacing w:line="240" w:lineRule="auto"/>
        <w:ind w:firstLine="0"/>
        <w:rPr>
          <w:rFonts w:eastAsia="Times New Roman" w:cs="Times New Roman"/>
          <w:szCs w:val="24"/>
        </w:rPr>
      </w:pPr>
      <w:r w:rsidRPr="00503153">
        <w:rPr>
          <w:rFonts w:eastAsia="Times New Roman" w:cs="Times New Roman"/>
          <w:i/>
          <w:iCs/>
          <w:szCs w:val="24"/>
        </w:rPr>
        <w:t xml:space="preserve">Silver v. </w:t>
      </w:r>
      <w:proofErr w:type="spellStart"/>
      <w:r w:rsidRPr="00503153">
        <w:rPr>
          <w:rFonts w:eastAsia="Times New Roman" w:cs="Times New Roman"/>
          <w:i/>
          <w:iCs/>
          <w:szCs w:val="24"/>
        </w:rPr>
        <w:t>Lavandeira</w:t>
      </w:r>
      <w:proofErr w:type="spellEnd"/>
      <w:proofErr w:type="gramStart"/>
      <w:r w:rsidRPr="00503153">
        <w:rPr>
          <w:rFonts w:eastAsia="Times New Roman" w:cs="Times New Roman"/>
          <w:szCs w:val="24"/>
        </w:rPr>
        <w:t xml:space="preserve">, </w:t>
      </w:r>
      <w:r w:rsidRPr="00503153">
        <w:rPr>
          <w:rFonts w:eastAsia="Times New Roman" w:cs="Times New Roman"/>
          <w:color w:val="FF0000"/>
          <w:szCs w:val="24"/>
        </w:rPr>
        <w:t>?????</w:t>
      </w:r>
      <w:proofErr w:type="gramEnd"/>
      <w:r w:rsidRPr="00503153">
        <w:rPr>
          <w:rFonts w:eastAsia="Times New Roman" w:cs="Times New Roman"/>
          <w:szCs w:val="24"/>
        </w:rPr>
        <w:t xml:space="preserve"> (S.D. N.Y. 2009)</w:t>
      </w:r>
    </w:p>
    <w:p w14:paraId="0C7B8B04" w14:textId="77777777" w:rsidR="00503153" w:rsidRPr="00503153" w:rsidRDefault="00503153" w:rsidP="00503153">
      <w:pPr>
        <w:spacing w:line="240" w:lineRule="auto"/>
        <w:ind w:firstLine="0"/>
        <w:rPr>
          <w:rFonts w:eastAsia="Times New Roman" w:cs="Times New Roman"/>
          <w:szCs w:val="24"/>
        </w:rPr>
      </w:pPr>
      <w:r w:rsidRPr="00503153">
        <w:rPr>
          <w:rFonts w:eastAsia="Times New Roman" w:cs="Times New Roman"/>
          <w:i/>
          <w:iCs/>
          <w:szCs w:val="24"/>
        </w:rPr>
        <w:lastRenderedPageBreak/>
        <w:t>Capitol Records, Inc. v. Wings Digital Corp.</w:t>
      </w:r>
      <w:r w:rsidRPr="00503153">
        <w:rPr>
          <w:rFonts w:eastAsia="Times New Roman" w:cs="Times New Roman"/>
          <w:szCs w:val="24"/>
        </w:rPr>
        <w:t>, 218 F.Supp.2d 280 (E.D. N.Y. 2002)</w:t>
      </w:r>
    </w:p>
    <w:p w14:paraId="7A90C27C" w14:textId="77777777" w:rsidR="00503153" w:rsidRPr="00503153" w:rsidRDefault="00503153" w:rsidP="00503153">
      <w:pPr>
        <w:spacing w:line="240" w:lineRule="auto"/>
        <w:ind w:firstLine="0"/>
        <w:rPr>
          <w:rFonts w:eastAsia="Times New Roman" w:cs="Times New Roman"/>
          <w:szCs w:val="24"/>
        </w:rPr>
      </w:pPr>
      <w:proofErr w:type="spellStart"/>
      <w:r w:rsidRPr="00503153">
        <w:rPr>
          <w:rFonts w:eastAsia="Times New Roman" w:cs="Times New Roman"/>
          <w:i/>
          <w:iCs/>
          <w:color w:val="FF0000"/>
          <w:szCs w:val="24"/>
        </w:rPr>
        <w:t>Muench</w:t>
      </w:r>
      <w:proofErr w:type="spellEnd"/>
      <w:r w:rsidRPr="00503153">
        <w:rPr>
          <w:rFonts w:eastAsia="Times New Roman" w:cs="Times New Roman"/>
          <w:i/>
          <w:iCs/>
          <w:color w:val="FF0000"/>
          <w:szCs w:val="24"/>
        </w:rPr>
        <w:t xml:space="preserve"> Photography, Inc. v. Houghton Mifflin Harcourt Publishing Co.</w:t>
      </w:r>
      <w:proofErr w:type="gramStart"/>
      <w:r w:rsidRPr="00503153">
        <w:rPr>
          <w:rFonts w:eastAsia="Times New Roman" w:cs="Times New Roman"/>
          <w:color w:val="FF0000"/>
          <w:szCs w:val="24"/>
        </w:rPr>
        <w:t>, ????</w:t>
      </w:r>
      <w:proofErr w:type="gramEnd"/>
      <w:r w:rsidRPr="00503153">
        <w:rPr>
          <w:rFonts w:eastAsia="Times New Roman" w:cs="Times New Roman"/>
          <w:color w:val="FF0000"/>
          <w:szCs w:val="24"/>
        </w:rPr>
        <w:t xml:space="preserve"> </w:t>
      </w:r>
      <w:r w:rsidRPr="00503153">
        <w:rPr>
          <w:rFonts w:eastAsia="Times New Roman" w:cs="Times New Roman"/>
          <w:szCs w:val="24"/>
        </w:rPr>
        <w:t>(S.D. N.Y. 2012)</w:t>
      </w:r>
    </w:p>
    <w:p w14:paraId="1E820B6E" w14:textId="77777777" w:rsidR="00503153" w:rsidRPr="00503153" w:rsidRDefault="00503153" w:rsidP="00503153">
      <w:pPr>
        <w:spacing w:line="240" w:lineRule="auto"/>
        <w:ind w:firstLine="0"/>
        <w:rPr>
          <w:rFonts w:eastAsia="Times New Roman" w:cs="Times New Roman"/>
          <w:szCs w:val="24"/>
        </w:rPr>
      </w:pPr>
      <w:r w:rsidRPr="00503153">
        <w:rPr>
          <w:rFonts w:eastAsia="Times New Roman" w:cs="Times New Roman"/>
          <w:szCs w:val="24"/>
        </w:rPr>
        <w:t> </w:t>
      </w:r>
    </w:p>
    <w:p w14:paraId="7DFD4284" w14:textId="77777777" w:rsidR="00503153" w:rsidRPr="00503153" w:rsidRDefault="00503153" w:rsidP="00503153">
      <w:pPr>
        <w:spacing w:line="240" w:lineRule="auto"/>
        <w:ind w:firstLine="0"/>
        <w:rPr>
          <w:rFonts w:eastAsia="Times New Roman" w:cs="Times New Roman"/>
          <w:szCs w:val="24"/>
        </w:rPr>
      </w:pPr>
      <w:r w:rsidRPr="00503153">
        <w:rPr>
          <w:rFonts w:eastAsia="Times New Roman" w:cs="Times New Roman"/>
          <w:i/>
          <w:iCs/>
          <w:szCs w:val="24"/>
        </w:rPr>
        <w:t>Viacom Intl, Inc. v. YouTube, Inc.</w:t>
      </w:r>
      <w:r w:rsidRPr="00503153">
        <w:rPr>
          <w:rFonts w:eastAsia="Times New Roman" w:cs="Times New Roman"/>
          <w:szCs w:val="24"/>
        </w:rPr>
        <w:t>, 676 F.3d 19 (2nd Cir. 2012).</w:t>
      </w:r>
    </w:p>
    <w:p w14:paraId="77EDADB2" w14:textId="77777777" w:rsidR="00503153" w:rsidRPr="00503153" w:rsidRDefault="00503153" w:rsidP="00503153">
      <w:pPr>
        <w:spacing w:line="240" w:lineRule="auto"/>
        <w:ind w:firstLine="0"/>
        <w:rPr>
          <w:rFonts w:eastAsia="Times New Roman" w:cs="Times New Roman"/>
          <w:szCs w:val="24"/>
        </w:rPr>
      </w:pPr>
      <w:r w:rsidRPr="00503153">
        <w:rPr>
          <w:rFonts w:eastAsia="Times New Roman" w:cs="Times New Roman"/>
          <w:i/>
          <w:iCs/>
          <w:szCs w:val="24"/>
        </w:rPr>
        <w:t>UMG Recordings, Inc. v. Shelter Capital Partners LLC</w:t>
      </w:r>
      <w:r w:rsidRPr="00503153">
        <w:rPr>
          <w:rFonts w:eastAsia="Times New Roman" w:cs="Times New Roman"/>
          <w:szCs w:val="24"/>
        </w:rPr>
        <w:t xml:space="preserve">, 718 F.3d 1006 (9th Cir. 2013). </w:t>
      </w:r>
    </w:p>
    <w:p w14:paraId="742D8DA8" w14:textId="77777777" w:rsidR="00503153" w:rsidRPr="00503153" w:rsidRDefault="00503153" w:rsidP="00503153">
      <w:pPr>
        <w:spacing w:line="240" w:lineRule="auto"/>
        <w:ind w:firstLine="0"/>
        <w:rPr>
          <w:rFonts w:eastAsia="Times New Roman" w:cs="Times New Roman"/>
          <w:szCs w:val="24"/>
        </w:rPr>
      </w:pPr>
      <w:r w:rsidRPr="00503153">
        <w:rPr>
          <w:rFonts w:eastAsia="Times New Roman" w:cs="Times New Roman"/>
          <w:i/>
          <w:iCs/>
          <w:szCs w:val="24"/>
        </w:rPr>
        <w:t>Perfect 10, Inc. v. Cybernet Ventures, Inc.</w:t>
      </w:r>
      <w:r w:rsidRPr="00503153">
        <w:rPr>
          <w:rFonts w:eastAsia="Times New Roman" w:cs="Times New Roman"/>
          <w:szCs w:val="24"/>
        </w:rPr>
        <w:t>, 213 F.Supp.2d 1146 (C.D. Cal. 2002).</w:t>
      </w:r>
    </w:p>
    <w:p w14:paraId="12A059F3" w14:textId="77777777" w:rsidR="00503153" w:rsidRPr="00503153" w:rsidRDefault="00503153" w:rsidP="00503153">
      <w:pPr>
        <w:spacing w:line="240" w:lineRule="auto"/>
        <w:ind w:firstLine="0"/>
        <w:rPr>
          <w:rFonts w:eastAsia="Times New Roman" w:cs="Times New Roman"/>
          <w:szCs w:val="24"/>
        </w:rPr>
      </w:pPr>
      <w:r w:rsidRPr="00503153">
        <w:rPr>
          <w:rFonts w:eastAsia="Times New Roman" w:cs="Times New Roman"/>
          <w:i/>
          <w:iCs/>
          <w:szCs w:val="24"/>
        </w:rPr>
        <w:t>Capitol Records, LLC v. Vimeo, LLC</w:t>
      </w:r>
      <w:r w:rsidRPr="00503153">
        <w:rPr>
          <w:rFonts w:eastAsia="Times New Roman" w:cs="Times New Roman"/>
          <w:szCs w:val="24"/>
        </w:rPr>
        <w:t>, 826 F.3d 78 (2nd Cir. 2016).</w:t>
      </w:r>
    </w:p>
    <w:p w14:paraId="2CA772C1" w14:textId="77777777" w:rsidR="00503153" w:rsidRPr="00503153" w:rsidRDefault="00503153" w:rsidP="00503153">
      <w:pPr>
        <w:spacing w:line="240" w:lineRule="auto"/>
        <w:ind w:firstLine="0"/>
        <w:rPr>
          <w:rFonts w:eastAsia="Times New Roman" w:cs="Times New Roman"/>
          <w:szCs w:val="24"/>
        </w:rPr>
      </w:pPr>
      <w:r w:rsidRPr="00503153">
        <w:rPr>
          <w:rFonts w:eastAsia="Times New Roman" w:cs="Times New Roman"/>
          <w:i/>
          <w:iCs/>
          <w:szCs w:val="24"/>
        </w:rPr>
        <w:t>EMI Christian Music Group, Inc. v. MP3Tunes, LLC</w:t>
      </w:r>
      <w:r w:rsidRPr="00503153">
        <w:rPr>
          <w:rFonts w:eastAsia="Times New Roman" w:cs="Times New Roman"/>
          <w:szCs w:val="24"/>
        </w:rPr>
        <w:t xml:space="preserve">, 884 F.3d 79 (2nd Cir. 2016). </w:t>
      </w:r>
    </w:p>
    <w:p w14:paraId="2EEA27C9" w14:textId="77777777" w:rsidR="00503153" w:rsidRPr="00503153" w:rsidRDefault="00503153" w:rsidP="00503153">
      <w:pPr>
        <w:spacing w:line="240" w:lineRule="auto"/>
        <w:ind w:firstLine="0"/>
        <w:rPr>
          <w:rFonts w:eastAsia="Times New Roman" w:cs="Times New Roman"/>
          <w:color w:val="FF0000"/>
          <w:szCs w:val="24"/>
        </w:rPr>
      </w:pPr>
      <w:r w:rsidRPr="00503153">
        <w:rPr>
          <w:rFonts w:eastAsia="Times New Roman" w:cs="Times New Roman"/>
          <w:color w:val="FF0000"/>
          <w:szCs w:val="24"/>
        </w:rPr>
        <w:t> </w:t>
      </w:r>
    </w:p>
    <w:p w14:paraId="68052368" w14:textId="77777777" w:rsidR="00503153" w:rsidRPr="00503153" w:rsidRDefault="00503153" w:rsidP="00503153">
      <w:pPr>
        <w:spacing w:line="240" w:lineRule="auto"/>
        <w:ind w:firstLine="0"/>
        <w:rPr>
          <w:rFonts w:eastAsia="Times New Roman" w:cs="Times New Roman"/>
          <w:szCs w:val="24"/>
        </w:rPr>
      </w:pPr>
      <w:r w:rsidRPr="00503153">
        <w:rPr>
          <w:rFonts w:eastAsia="Times New Roman" w:cs="Times New Roman"/>
          <w:i/>
          <w:iCs/>
          <w:szCs w:val="24"/>
        </w:rPr>
        <w:t>Scott v. Carlson</w:t>
      </w:r>
      <w:r w:rsidRPr="00503153">
        <w:rPr>
          <w:rFonts w:eastAsia="Times New Roman" w:cs="Times New Roman"/>
          <w:szCs w:val="24"/>
        </w:rPr>
        <w:t>, 2017 WL 3599249 (W.D. VA 2017)</w:t>
      </w:r>
    </w:p>
    <w:p w14:paraId="282C415F" w14:textId="77777777" w:rsidR="00503153" w:rsidRPr="00503153" w:rsidRDefault="00503153" w:rsidP="00503153">
      <w:pPr>
        <w:spacing w:line="240" w:lineRule="auto"/>
        <w:ind w:firstLine="0"/>
        <w:rPr>
          <w:rFonts w:eastAsia="Times New Roman" w:cs="Times New Roman"/>
          <w:szCs w:val="24"/>
        </w:rPr>
      </w:pPr>
      <w:r w:rsidRPr="00503153">
        <w:rPr>
          <w:rFonts w:eastAsia="Times New Roman" w:cs="Times New Roman"/>
          <w:i/>
          <w:iCs/>
          <w:szCs w:val="24"/>
        </w:rPr>
        <w:t>Kleinman v. City of San Marcos</w:t>
      </w:r>
      <w:r w:rsidRPr="00503153">
        <w:rPr>
          <w:rFonts w:eastAsia="Times New Roman" w:cs="Times New Roman"/>
          <w:szCs w:val="24"/>
        </w:rPr>
        <w:t>, 597 F.3d 323 (5th Cir. 2010).</w:t>
      </w:r>
    </w:p>
    <w:p w14:paraId="22EEF7BB" w14:textId="77777777" w:rsidR="00DA70B9" w:rsidRPr="00122EEA" w:rsidRDefault="00122EEA">
      <w:pPr>
        <w:rPr>
          <w:rFonts w:cs="Times New Roman"/>
        </w:rPr>
      </w:pPr>
    </w:p>
    <w:sectPr w:rsidR="00DA70B9" w:rsidRPr="00122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645"/>
    <w:multiLevelType w:val="multilevel"/>
    <w:tmpl w:val="1AA6BDB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7B40D81"/>
    <w:multiLevelType w:val="multilevel"/>
    <w:tmpl w:val="96B407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5681E80"/>
    <w:multiLevelType w:val="multilevel"/>
    <w:tmpl w:val="B57AA24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758780E"/>
    <w:multiLevelType w:val="multilevel"/>
    <w:tmpl w:val="152C8E1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2D815F7"/>
    <w:multiLevelType w:val="multilevel"/>
    <w:tmpl w:val="C694C03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upperLetter"/>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start w:val="1"/>
      <w:numFmt w:val="low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6CA25822"/>
    <w:multiLevelType w:val="multilevel"/>
    <w:tmpl w:val="B1E8C614"/>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6EBC62FF"/>
    <w:multiLevelType w:val="multilevel"/>
    <w:tmpl w:val="1A9E8BC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5"/>
    <w:lvlOverride w:ilvl="0">
      <w:startOverride w:val="1"/>
    </w:lvlOverride>
  </w:num>
  <w:num w:numId="2">
    <w:abstractNumId w:val="5"/>
    <w:lvlOverride w:ilvl="0"/>
    <w:lvlOverride w:ilvl="1">
      <w:startOverride w:val="1"/>
    </w:lvlOverride>
  </w:num>
  <w:num w:numId="3">
    <w:abstractNumId w:val="5"/>
    <w:lvlOverride w:ilvl="0"/>
    <w:lvlOverride w:ilvl="1"/>
    <w:lvlOverride w:ilvl="2">
      <w:startOverride w:val="1"/>
    </w:lvlOverride>
  </w:num>
  <w:num w:numId="4">
    <w:abstractNumId w:val="2"/>
    <w:lvlOverride w:ilvl="0">
      <w:startOverride w:val="2"/>
    </w:lvlOverride>
  </w:num>
  <w:num w:numId="5">
    <w:abstractNumId w:val="2"/>
    <w:lvlOverride w:ilvl="0"/>
    <w:lvlOverride w:ilvl="1">
      <w:startOverride w:val="1"/>
    </w:lvlOverride>
  </w:num>
  <w:num w:numId="6">
    <w:abstractNumId w:val="0"/>
    <w:lvlOverride w:ilvl="0">
      <w:startOverride w:val="3"/>
    </w:lvlOverride>
  </w:num>
  <w:num w:numId="7">
    <w:abstractNumId w:val="0"/>
    <w:lvlOverride w:ilvl="0"/>
    <w:lvlOverride w:ilvl="1">
      <w:startOverride w:val="1"/>
    </w:lvlOverride>
  </w:num>
  <w:num w:numId="8">
    <w:abstractNumId w:val="0"/>
    <w:lvlOverride w:ilvl="0"/>
    <w:lvlOverride w:ilvl="1">
      <w:startOverride w:val="2"/>
    </w:lvlOverride>
  </w:num>
  <w:num w:numId="9">
    <w:abstractNumId w:val="0"/>
    <w:lvlOverride w:ilvl="0"/>
    <w:lvlOverride w:ilvl="1"/>
    <w:lvlOverride w:ilvl="2">
      <w:startOverride w:val="1"/>
    </w:lvlOverride>
  </w:num>
  <w:num w:numId="10">
    <w:abstractNumId w:val="0"/>
    <w:lvlOverride w:ilvl="0"/>
    <w:lvlOverride w:ilvl="1"/>
    <w:lvlOverride w:ilvl="2">
      <w:startOverride w:val="1"/>
    </w:lvlOverride>
  </w:num>
  <w:num w:numId="11">
    <w:abstractNumId w:val="0"/>
    <w:lvlOverride w:ilvl="0"/>
    <w:lvlOverride w:ilvl="1"/>
    <w:lvlOverride w:ilvl="2">
      <w:startOverride w:val="1"/>
    </w:lvlOverride>
  </w:num>
  <w:num w:numId="12">
    <w:abstractNumId w:val="1"/>
    <w:lvlOverride w:ilvl="0">
      <w:startOverride w:val="4"/>
    </w:lvlOverride>
  </w:num>
  <w:num w:numId="13">
    <w:abstractNumId w:val="3"/>
    <w:lvlOverride w:ilvl="0">
      <w:startOverride w:val="5"/>
    </w:lvlOverride>
  </w:num>
  <w:num w:numId="14">
    <w:abstractNumId w:val="3"/>
    <w:lvlOverride w:ilvl="0"/>
    <w:lvlOverride w:ilvl="1">
      <w:startOverride w:val="1"/>
    </w:lvlOverride>
  </w:num>
  <w:num w:numId="15">
    <w:abstractNumId w:val="4"/>
    <w:lvlOverride w:ilvl="0">
      <w:startOverride w:val="2"/>
    </w:lvlOverride>
  </w:num>
  <w:num w:numId="16">
    <w:abstractNumId w:val="4"/>
    <w:lvlOverride w:ilvl="0"/>
    <w:lvlOverride w:ilvl="1">
      <w:startOverride w:val="1"/>
    </w:lvlOverride>
  </w:num>
  <w:num w:numId="17">
    <w:abstractNumId w:val="4"/>
    <w:lvlOverride w:ilvl="0"/>
    <w:lvlOverride w:ilvl="1"/>
    <w:lvlOverride w:ilvl="2">
      <w:startOverride w:val="1"/>
    </w:lvlOverride>
  </w:num>
  <w:num w:numId="18">
    <w:abstractNumId w:val="4"/>
    <w:lvlOverride w:ilvl="0"/>
    <w:lvlOverride w:ilvl="1"/>
    <w:lvlOverride w:ilvl="2"/>
    <w:lvlOverride w:ilvl="3">
      <w:startOverride w:val="1"/>
    </w:lvlOverride>
  </w:num>
  <w:num w:numId="19">
    <w:abstractNumId w:val="4"/>
    <w:lvlOverride w:ilvl="0"/>
    <w:lvlOverride w:ilvl="1"/>
    <w:lvlOverride w:ilvl="2"/>
    <w:lvlOverride w:ilvl="3">
      <w:startOverride w:val="1"/>
    </w:lvlOverride>
  </w:num>
  <w:num w:numId="20">
    <w:abstractNumId w:val="4"/>
    <w:lvlOverride w:ilvl="0"/>
    <w:lvlOverride w:ilvl="1"/>
    <w:lvlOverride w:ilvl="2"/>
    <w:lvlOverride w:ilvl="3"/>
    <w:lvlOverride w:ilvl="4">
      <w:startOverride w:val="1"/>
    </w:lvlOverride>
  </w:num>
  <w:num w:numId="21">
    <w:abstractNumId w:val="4"/>
    <w:lvlOverride w:ilvl="0"/>
    <w:lvlOverride w:ilvl="1"/>
    <w:lvlOverride w:ilvl="2">
      <w:startOverride w:val="1"/>
    </w:lvlOverride>
    <w:lvlOverride w:ilvl="3"/>
    <w:lvlOverride w:ilvl="4"/>
  </w:num>
  <w:num w:numId="22">
    <w:abstractNumId w:val="4"/>
    <w:lvlOverride w:ilvl="0"/>
    <w:lvlOverride w:ilvl="1"/>
    <w:lvlOverride w:ilvl="2"/>
    <w:lvlOverride w:ilvl="3">
      <w:startOverride w:val="1"/>
    </w:lvlOverride>
    <w:lvlOverride w:ilvl="4"/>
  </w:num>
  <w:num w:numId="23">
    <w:abstractNumId w:val="4"/>
    <w:lvlOverride w:ilvl="0"/>
    <w:lvlOverride w:ilvl="1"/>
    <w:lvlOverride w:ilvl="2">
      <w:startOverride w:val="1"/>
    </w:lvlOverride>
    <w:lvlOverride w:ilvl="3"/>
    <w:lvlOverride w:ilvl="4"/>
  </w:num>
  <w:num w:numId="24">
    <w:abstractNumId w:val="4"/>
    <w:lvlOverride w:ilvl="0"/>
    <w:lvlOverride w:ilvl="1"/>
    <w:lvlOverride w:ilvl="2"/>
    <w:lvlOverride w:ilvl="3">
      <w:startOverride w:val="1"/>
    </w:lvlOverride>
    <w:lvlOverride w:ilvl="4"/>
  </w:num>
  <w:num w:numId="25">
    <w:abstractNumId w:val="4"/>
    <w:lvlOverride w:ilvl="0"/>
    <w:lvlOverride w:ilvl="1"/>
    <w:lvlOverride w:ilvl="2"/>
    <w:lvlOverride w:ilvl="3">
      <w:startOverride w:val="1"/>
    </w:lvlOverride>
    <w:lvlOverride w:ilvl="4"/>
  </w:num>
  <w:num w:numId="26">
    <w:abstractNumId w:val="4"/>
    <w:lvlOverride w:ilvl="0"/>
    <w:lvlOverride w:ilvl="1"/>
    <w:lvlOverride w:ilvl="2"/>
    <w:lvlOverride w:ilvl="3">
      <w:startOverride w:val="1"/>
    </w:lvlOverride>
    <w:lvlOverride w:ilvl="4"/>
  </w:num>
  <w:num w:numId="27">
    <w:abstractNumId w:val="4"/>
    <w:lvlOverride w:ilvl="0"/>
    <w:lvlOverride w:ilvl="1"/>
    <w:lvlOverride w:ilvl="2"/>
    <w:lvlOverride w:ilvl="3"/>
    <w:lvlOverride w:ilvl="4">
      <w:startOverride w:val="1"/>
    </w:lvlOverride>
  </w:num>
  <w:num w:numId="28">
    <w:abstractNumId w:val="4"/>
    <w:lvlOverride w:ilvl="0"/>
    <w:lvlOverride w:ilvl="1"/>
    <w:lvlOverride w:ilvl="2"/>
    <w:lvlOverride w:ilvl="3"/>
    <w:lvlOverride w:ilvl="4"/>
    <w:lvlOverride w:ilvl="5">
      <w:startOverride w:val="1"/>
    </w:lvlOverride>
  </w:num>
  <w:num w:numId="29">
    <w:abstractNumId w:val="4"/>
    <w:lvlOverride w:ilvl="0"/>
    <w:lvlOverride w:ilvl="1"/>
    <w:lvlOverride w:ilvl="2">
      <w:startOverride w:val="1"/>
    </w:lvlOverride>
    <w:lvlOverride w:ilvl="3"/>
    <w:lvlOverride w:ilvl="4"/>
    <w:lvlOverride w:ilvl="5"/>
  </w:num>
  <w:num w:numId="30">
    <w:abstractNumId w:val="4"/>
    <w:lvlOverride w:ilvl="0"/>
    <w:lvlOverride w:ilvl="1"/>
    <w:lvlOverride w:ilvl="2">
      <w:startOverride w:val="1"/>
    </w:lvlOverride>
    <w:lvlOverride w:ilvl="3"/>
    <w:lvlOverride w:ilvl="4"/>
    <w:lvlOverride w:ilvl="5"/>
  </w:num>
  <w:num w:numId="31">
    <w:abstractNumId w:val="4"/>
    <w:lvlOverride w:ilvl="0"/>
    <w:lvlOverride w:ilvl="1"/>
    <w:lvlOverride w:ilvl="2"/>
    <w:lvlOverride w:ilvl="3">
      <w:startOverride w:val="1"/>
    </w:lvlOverride>
    <w:lvlOverride w:ilvl="4"/>
    <w:lvlOverride w:ilvl="5"/>
  </w:num>
  <w:num w:numId="32">
    <w:abstractNumId w:val="4"/>
    <w:lvlOverride w:ilvl="0"/>
    <w:lvlOverride w:ilvl="1"/>
    <w:lvlOverride w:ilvl="2">
      <w:startOverride w:val="2"/>
    </w:lvlOverride>
    <w:lvlOverride w:ilvl="3"/>
    <w:lvlOverride w:ilvl="4"/>
    <w:lvlOverride w:ilvl="5"/>
  </w:num>
  <w:num w:numId="33">
    <w:abstractNumId w:val="6"/>
    <w:lvlOverride w:ilvl="0">
      <w:startOverride w:val="3"/>
    </w:lvlOverride>
  </w:num>
  <w:num w:numId="34">
    <w:abstractNumId w:val="6"/>
    <w:lvlOverride w:ilvl="0"/>
    <w:lvlOverride w:ilvl="1">
      <w:startOverride w:val="1"/>
    </w:lvlOverride>
  </w:num>
  <w:num w:numId="35">
    <w:abstractNumId w:val="6"/>
    <w:lvlOverride w:ilvl="0"/>
    <w:lvlOverride w:ilvl="1"/>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3C2"/>
    <w:rsid w:val="00015CD5"/>
    <w:rsid w:val="00122EEA"/>
    <w:rsid w:val="00237B72"/>
    <w:rsid w:val="004928F3"/>
    <w:rsid w:val="00503153"/>
    <w:rsid w:val="005E2833"/>
    <w:rsid w:val="006F45BB"/>
    <w:rsid w:val="008213C2"/>
    <w:rsid w:val="00952AD2"/>
    <w:rsid w:val="00CF246F"/>
    <w:rsid w:val="00D0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FD92"/>
  <w15:chartTrackingRefBased/>
  <w15:docId w15:val="{37F41983-60D8-4F33-8377-94F0B242F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09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889AA-CFE7-43C2-B1B4-8F9C0878B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3</cp:revision>
  <dcterms:created xsi:type="dcterms:W3CDTF">2017-10-05T23:51:00Z</dcterms:created>
  <dcterms:modified xsi:type="dcterms:W3CDTF">2017-10-07T16:13:00Z</dcterms:modified>
</cp:coreProperties>
</file>