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96B0" w14:textId="543660AA" w:rsidR="00555023" w:rsidRPr="0002021C" w:rsidRDefault="0038724D" w:rsidP="00E42975">
      <w:pPr>
        <w:pStyle w:val="ListParagraph"/>
        <w:numPr>
          <w:ilvl w:val="0"/>
          <w:numId w:val="1"/>
        </w:numPr>
        <w:ind w:hanging="720"/>
        <w:rPr>
          <w:b/>
        </w:rPr>
      </w:pPr>
      <w:r w:rsidRPr="0002021C">
        <w:rPr>
          <w:b/>
        </w:rPr>
        <w:t>Definitions</w:t>
      </w:r>
      <w:r w:rsidR="007D36F0">
        <w:rPr>
          <w:b/>
        </w:rPr>
        <w:t>.</w:t>
      </w:r>
    </w:p>
    <w:p w14:paraId="79CD8A98" w14:textId="1B06020E" w:rsidR="007C418B" w:rsidRPr="00755248" w:rsidRDefault="007C418B" w:rsidP="00BD4CC5">
      <w:pPr>
        <w:spacing w:line="480" w:lineRule="auto"/>
        <w:ind w:firstLine="720"/>
      </w:pPr>
      <w:r w:rsidRPr="00067BA2">
        <w:rPr>
          <w:b/>
        </w:rPr>
        <w:t>1.</w:t>
      </w:r>
      <w:r w:rsidR="00755248" w:rsidRPr="00067BA2">
        <w:rPr>
          <w:b/>
        </w:rPr>
        <w:t>1</w:t>
      </w:r>
      <w:r>
        <w:tab/>
      </w:r>
      <w:r w:rsidR="00755248">
        <w:t>“</w:t>
      </w:r>
      <w:r w:rsidRPr="00755248">
        <w:rPr>
          <w:b/>
        </w:rPr>
        <w:t>Acme Licensed Patent</w:t>
      </w:r>
      <w:r w:rsidR="00755248">
        <w:rPr>
          <w:b/>
        </w:rPr>
        <w:t xml:space="preserve">” </w:t>
      </w:r>
      <w:r w:rsidR="00BD4CC5" w:rsidRPr="004A6061">
        <w:rPr>
          <w:rFonts w:cs="Times New Roman"/>
          <w:szCs w:val="24"/>
        </w:rPr>
        <w:t>means each patent and patent application listed in Attachment A hereto, any patent issuing on any such application or any continuation, continuation-in-part or division thereof any reissue, reexamination, or extension of any such patent, and all worldwide patent applications corresponding to any of the foregoing and all patents issuing therefrom.</w:t>
      </w:r>
    </w:p>
    <w:p w14:paraId="49F1467D" w14:textId="04B7B378" w:rsidR="00080438" w:rsidRDefault="00080438" w:rsidP="007A294D">
      <w:pPr>
        <w:spacing w:line="480" w:lineRule="auto"/>
        <w:ind w:firstLine="720"/>
      </w:pPr>
      <w:r w:rsidRPr="007A294D">
        <w:rPr>
          <w:b/>
        </w:rPr>
        <w:t>1.</w:t>
      </w:r>
      <w:r w:rsidR="00755248" w:rsidRPr="007A294D">
        <w:rPr>
          <w:b/>
        </w:rPr>
        <w:t>2</w:t>
      </w:r>
      <w:r w:rsidRPr="007A294D">
        <w:rPr>
          <w:b/>
        </w:rPr>
        <w:tab/>
      </w:r>
      <w:r w:rsidR="007A294D">
        <w:rPr>
          <w:b/>
        </w:rPr>
        <w:t>“</w:t>
      </w:r>
      <w:r w:rsidR="0066713E" w:rsidRPr="007A294D">
        <w:rPr>
          <w:b/>
        </w:rPr>
        <w:t xml:space="preserve">Acme </w:t>
      </w:r>
      <w:r w:rsidRPr="007A294D">
        <w:rPr>
          <w:b/>
        </w:rPr>
        <w:t>Licensed Product</w:t>
      </w:r>
      <w:r w:rsidR="007A294D">
        <w:rPr>
          <w:b/>
        </w:rPr>
        <w:t>”</w:t>
      </w:r>
      <w:r w:rsidR="00CD04F9">
        <w:t xml:space="preserve"> </w:t>
      </w:r>
      <w:r w:rsidR="009C0C80">
        <w:t>means any device, apparatus, product, compound,</w:t>
      </w:r>
      <w:r w:rsidR="007A294D">
        <w:t xml:space="preserve"> </w:t>
      </w:r>
      <w:r w:rsidR="009C0C80">
        <w:t>composition of matter, product-by-process, kit, system, material, or algorithm the manufacture, use, sale, offer for sale, or import of which, if unlicensed, would infringe a Valid Claim of any Acme Licensed Patent.</w:t>
      </w:r>
    </w:p>
    <w:p w14:paraId="5ED9099C" w14:textId="4884282D" w:rsidR="009424F4" w:rsidRPr="004A6061" w:rsidRDefault="009424F4" w:rsidP="009424F4">
      <w:pPr>
        <w:spacing w:line="480" w:lineRule="auto"/>
        <w:ind w:firstLine="720"/>
        <w:rPr>
          <w:rFonts w:cs="Times New Roman"/>
          <w:szCs w:val="24"/>
        </w:rPr>
      </w:pPr>
      <w:r w:rsidRPr="00322844">
        <w:rPr>
          <w:rFonts w:cs="Times New Roman"/>
          <w:b/>
          <w:szCs w:val="24"/>
        </w:rPr>
        <w:t>1.</w:t>
      </w:r>
      <w:r>
        <w:rPr>
          <w:rFonts w:cs="Times New Roman"/>
          <w:b/>
          <w:szCs w:val="24"/>
        </w:rPr>
        <w:t>3</w:t>
      </w:r>
      <w:r w:rsidRPr="004A6061">
        <w:rPr>
          <w:rFonts w:cs="Times New Roman"/>
          <w:szCs w:val="24"/>
        </w:rPr>
        <w:tab/>
      </w:r>
      <w:r w:rsidRPr="00073C99">
        <w:rPr>
          <w:rFonts w:cs="Times New Roman"/>
          <w:b/>
          <w:szCs w:val="24"/>
        </w:rPr>
        <w:t>“Valid Claim”</w:t>
      </w:r>
      <w:r w:rsidRPr="004A6061">
        <w:rPr>
          <w:rFonts w:cs="Times New Roman"/>
          <w:szCs w:val="24"/>
        </w:rPr>
        <w:t xml:space="preserve"> means a claim of an issued patent which has not expired, and which has not been disclaimed, canceled, or held invalid or unenforceable by a court or administrative agency of competent jurisdiction from which no further appeal is possible.</w:t>
      </w:r>
    </w:p>
    <w:p w14:paraId="40BED3EA" w14:textId="34FC0CDE" w:rsidR="007C418B" w:rsidRPr="00067BA2" w:rsidRDefault="007C418B" w:rsidP="00067BA2">
      <w:pPr>
        <w:spacing w:line="480" w:lineRule="auto"/>
        <w:ind w:firstLine="720"/>
      </w:pPr>
      <w:r w:rsidRPr="00067BA2">
        <w:rPr>
          <w:b/>
        </w:rPr>
        <w:t>1.</w:t>
      </w:r>
      <w:r w:rsidR="009424F4">
        <w:rPr>
          <w:b/>
        </w:rPr>
        <w:t>4</w:t>
      </w:r>
      <w:r w:rsidR="00A5286E" w:rsidRPr="00067BA2">
        <w:rPr>
          <w:b/>
        </w:rPr>
        <w:tab/>
      </w:r>
      <w:r w:rsidR="00067BA2">
        <w:rPr>
          <w:b/>
        </w:rPr>
        <w:t>“</w:t>
      </w:r>
      <w:r w:rsidR="00A5286E" w:rsidRPr="00067BA2">
        <w:rPr>
          <w:b/>
        </w:rPr>
        <w:t>Zeta Licensed Patent</w:t>
      </w:r>
      <w:r w:rsidR="00067BA2">
        <w:rPr>
          <w:b/>
        </w:rPr>
        <w:t xml:space="preserve">” </w:t>
      </w:r>
      <w:r w:rsidR="00067BA2" w:rsidRPr="00067BA2">
        <w:t>means each patent and patent application listed in Attachment B hereto, any patent issuing on any such application or any continuation, continuation-in-part or division thereof any reissue, reexamination, or extension of any such patent, and all worldwide patent applications corresponding to any of the foregoing and all patents issuing therefrom.</w:t>
      </w:r>
    </w:p>
    <w:p w14:paraId="501D1660" w14:textId="1479B81E" w:rsidR="0066713E" w:rsidRDefault="0066713E" w:rsidP="007A294D">
      <w:pPr>
        <w:spacing w:line="480" w:lineRule="auto"/>
        <w:ind w:firstLine="720"/>
      </w:pPr>
      <w:r w:rsidRPr="007A294D">
        <w:rPr>
          <w:b/>
        </w:rPr>
        <w:t>1.</w:t>
      </w:r>
      <w:r w:rsidR="009424F4">
        <w:rPr>
          <w:b/>
        </w:rPr>
        <w:t>5</w:t>
      </w:r>
      <w:r w:rsidRPr="007A294D">
        <w:rPr>
          <w:b/>
        </w:rPr>
        <w:tab/>
      </w:r>
      <w:r w:rsidR="007A294D">
        <w:rPr>
          <w:b/>
        </w:rPr>
        <w:t>“</w:t>
      </w:r>
      <w:r w:rsidRPr="007A294D">
        <w:rPr>
          <w:b/>
        </w:rPr>
        <w:t>Zeta Licensed Product</w:t>
      </w:r>
      <w:r w:rsidR="007A294D">
        <w:rPr>
          <w:b/>
        </w:rPr>
        <w:t>”</w:t>
      </w:r>
      <w:r w:rsidR="00CD04F9">
        <w:t xml:space="preserve"> </w:t>
      </w:r>
      <w:r w:rsidR="007A294D">
        <w:t xml:space="preserve">means any device, apparatus, product, compound, composition of matter, product-by-process, kit, system, material, or algorithm the manufacture, use, sale, offer for sale, or import of which, if unlicensed, would infringe a Valid Claim of any </w:t>
      </w:r>
      <w:r w:rsidR="005342A5">
        <w:t xml:space="preserve">Zeta </w:t>
      </w:r>
      <w:r w:rsidR="007A294D">
        <w:t>Licensed Patent.</w:t>
      </w:r>
    </w:p>
    <w:p w14:paraId="65E5E1A3" w14:textId="29ED2D49" w:rsidR="00866567" w:rsidRPr="007D36F0" w:rsidRDefault="00866567" w:rsidP="00E42975">
      <w:pPr>
        <w:pStyle w:val="ListParagraph"/>
        <w:numPr>
          <w:ilvl w:val="0"/>
          <w:numId w:val="1"/>
        </w:numPr>
        <w:ind w:hanging="720"/>
        <w:rPr>
          <w:b/>
        </w:rPr>
      </w:pPr>
      <w:r w:rsidRPr="007D36F0">
        <w:rPr>
          <w:b/>
        </w:rPr>
        <w:lastRenderedPageBreak/>
        <w:t>License</w:t>
      </w:r>
      <w:r w:rsidR="00DA1E1B" w:rsidRPr="007D36F0">
        <w:rPr>
          <w:b/>
        </w:rPr>
        <w:t>.</w:t>
      </w:r>
    </w:p>
    <w:p w14:paraId="7DF300AA" w14:textId="0A460911" w:rsidR="00D8690D" w:rsidRDefault="00A5286E" w:rsidP="00403820">
      <w:pPr>
        <w:spacing w:line="480" w:lineRule="auto"/>
        <w:ind w:firstLine="720"/>
        <w:contextualSpacing/>
      </w:pPr>
      <w:r w:rsidRPr="00F835CD">
        <w:rPr>
          <w:b/>
        </w:rPr>
        <w:t>2.1</w:t>
      </w:r>
      <w:r w:rsidRPr="00F835CD">
        <w:rPr>
          <w:b/>
        </w:rPr>
        <w:tab/>
        <w:t>License Grant: Acme to Zeta</w:t>
      </w:r>
      <w:r w:rsidR="00F835CD">
        <w:rPr>
          <w:b/>
        </w:rPr>
        <w:t xml:space="preserve">. </w:t>
      </w:r>
      <w:r w:rsidR="00F835CD">
        <w:t>Subject to the terms and conditions set forth in this agreement, Acme</w:t>
      </w:r>
      <w:r w:rsidR="00297ADA">
        <w:t xml:space="preserve"> Inc. (“Acme”) grants to Zeta, Ltd. (“Zeta”)</w:t>
      </w:r>
      <w:r w:rsidR="00C909AF">
        <w:t>; under Acme Licensed Patent</w:t>
      </w:r>
      <w:r w:rsidR="00D8690D">
        <w:t>s; and for the lives of such Acme Licensed Patents or the life of the agreement:</w:t>
      </w:r>
      <w:r w:rsidR="00513B45">
        <w:t xml:space="preserve"> </w:t>
      </w:r>
      <w:r w:rsidR="00794FFA">
        <w:t>an exclusive</w:t>
      </w:r>
      <w:r w:rsidR="00175F4C">
        <w:t>, worldwide</w:t>
      </w:r>
      <w:r w:rsidR="007A1E50">
        <w:t xml:space="preserve"> license</w:t>
      </w:r>
      <w:r w:rsidR="00175F4C">
        <w:t>, excepting</w:t>
      </w:r>
      <w:r w:rsidR="002C0268">
        <w:t xml:space="preserve"> the United States, but including the states of New York and California, and excepting</w:t>
      </w:r>
      <w:r w:rsidR="00F74FCE">
        <w:t xml:space="preserve"> Canada, and Mexico, and the respective territories and possessions of each</w:t>
      </w:r>
      <w:r w:rsidR="00C51C09">
        <w:t>,</w:t>
      </w:r>
      <w:r w:rsidR="00AD3703">
        <w:t xml:space="preserve"> to make, use, offer to sell, sell, and </w:t>
      </w:r>
      <w:r w:rsidR="00911D3E">
        <w:t>import Acme Licensed Products</w:t>
      </w:r>
      <w:r w:rsidR="00B2652C">
        <w:t>;</w:t>
      </w:r>
      <w:r w:rsidR="00BD250B">
        <w:t xml:space="preserve"> </w:t>
      </w:r>
      <w:r w:rsidR="0054160D">
        <w:t>provided</w:t>
      </w:r>
      <w:r w:rsidR="00424A5D">
        <w:t>,</w:t>
      </w:r>
      <w:r w:rsidR="0054160D">
        <w:t xml:space="preserve"> however that</w:t>
      </w:r>
      <w:r w:rsidR="00424A5D">
        <w:t>:</w:t>
      </w:r>
    </w:p>
    <w:p w14:paraId="70BD466B" w14:textId="5E81D9B1" w:rsidR="00CB28F5" w:rsidRDefault="009F13A3" w:rsidP="00403820">
      <w:pPr>
        <w:spacing w:line="480" w:lineRule="auto"/>
        <w:ind w:firstLine="720"/>
        <w:contextualSpacing/>
      </w:pPr>
      <w:r>
        <w:tab/>
      </w:r>
      <w:r w:rsidR="000D171F" w:rsidRPr="005F3B38">
        <w:rPr>
          <w:b/>
        </w:rPr>
        <w:t>2.1.1</w:t>
      </w:r>
      <w:r w:rsidR="000D171F">
        <w:tab/>
        <w:t xml:space="preserve">The license </w:t>
      </w:r>
      <w:r w:rsidR="00A12577">
        <w:t>granted</w:t>
      </w:r>
      <w:r w:rsidR="000D171F">
        <w:t xml:space="preserve"> in section 2.1 of this agreement is subject to a reserved</w:t>
      </w:r>
      <w:r w:rsidR="008945D3">
        <w:t xml:space="preserve"> exclusive</w:t>
      </w:r>
      <w:r w:rsidR="00D54B6C">
        <w:t>, worldwide</w:t>
      </w:r>
      <w:r w:rsidR="008945D3">
        <w:t xml:space="preserve"> license</w:t>
      </w:r>
      <w:r w:rsidR="00D54B6C">
        <w:t>,</w:t>
      </w:r>
      <w:r w:rsidR="00EC58D8">
        <w:t xml:space="preserve"> excepting</w:t>
      </w:r>
      <w:r w:rsidR="00D54B6C">
        <w:t xml:space="preserve"> Europe and the state of California,</w:t>
      </w:r>
      <w:r w:rsidR="008945D3">
        <w:t xml:space="preserve"> in Acme, to make, use, sell, offer for sale, and import </w:t>
      </w:r>
      <w:r w:rsidR="00B70C39">
        <w:t xml:space="preserve">Acme </w:t>
      </w:r>
      <w:r w:rsidR="008945D3">
        <w:t>Licensed Products</w:t>
      </w:r>
      <w:r w:rsidR="00403820">
        <w:t>.</w:t>
      </w:r>
    </w:p>
    <w:p w14:paraId="6296ADD0" w14:textId="2E2751A1" w:rsidR="00A5286E" w:rsidRDefault="00A5286E" w:rsidP="00C85A78">
      <w:pPr>
        <w:spacing w:line="480" w:lineRule="auto"/>
        <w:ind w:firstLine="720"/>
      </w:pPr>
      <w:r w:rsidRPr="00513B45">
        <w:rPr>
          <w:b/>
        </w:rPr>
        <w:t>2.2</w:t>
      </w:r>
      <w:r w:rsidRPr="00513B45">
        <w:rPr>
          <w:b/>
        </w:rPr>
        <w:tab/>
        <w:t>License Grant: Zeta to Acme</w:t>
      </w:r>
      <w:r w:rsidR="00513B45">
        <w:rPr>
          <w:b/>
        </w:rPr>
        <w:t xml:space="preserve">. </w:t>
      </w:r>
      <w:r w:rsidR="0077280F">
        <w:t>Subject</w:t>
      </w:r>
      <w:r w:rsidR="00E043C5">
        <w:t xml:space="preserve"> to the terms and conditions set forth in this agreement, Zeta grants to Acme</w:t>
      </w:r>
      <w:r w:rsidR="005F0AF3">
        <w:t>; under Zeta Licensed Patents; and for the lives of such Zeta Licensed Patents, or the life of agreement:</w:t>
      </w:r>
      <w:r w:rsidR="00A42213">
        <w:t xml:space="preserve"> an exclusive</w:t>
      </w:r>
      <w:r w:rsidR="004D7CDE">
        <w:t>,</w:t>
      </w:r>
      <w:r w:rsidR="00A42213">
        <w:t xml:space="preserve"> </w:t>
      </w:r>
      <w:r w:rsidR="00942F4E">
        <w:t xml:space="preserve">worldwide </w:t>
      </w:r>
      <w:r w:rsidR="00A42213">
        <w:t>license</w:t>
      </w:r>
      <w:r w:rsidR="0083693D">
        <w:t>, excepting the state of California and Europe,</w:t>
      </w:r>
      <w:r w:rsidR="00A42213">
        <w:t xml:space="preserve"> to make, use, offer to sell, sell, and import Zeta Licensed Products</w:t>
      </w:r>
      <w:r w:rsidR="00D83CC9">
        <w:t>; provided, however that:</w:t>
      </w:r>
    </w:p>
    <w:p w14:paraId="426446C8" w14:textId="6B041351" w:rsidR="003202FD" w:rsidRPr="00513B45" w:rsidRDefault="003202FD" w:rsidP="00C85A78">
      <w:pPr>
        <w:spacing w:line="480" w:lineRule="auto"/>
        <w:ind w:firstLine="720"/>
      </w:pPr>
      <w:r>
        <w:tab/>
      </w:r>
      <w:r w:rsidR="00F64789" w:rsidRPr="00DF08C8">
        <w:rPr>
          <w:b/>
        </w:rPr>
        <w:t>2.2.1</w:t>
      </w:r>
      <w:r w:rsidR="00F64789">
        <w:tab/>
        <w:t>The license granted in section 2.2 of this agreement is subject to a reserved exclusive</w:t>
      </w:r>
      <w:r w:rsidR="00EC58D8">
        <w:t>, worldwide</w:t>
      </w:r>
      <w:r w:rsidR="00F64789">
        <w:t xml:space="preserve"> license</w:t>
      </w:r>
      <w:r w:rsidR="00197931">
        <w:t>, excepting the United States</w:t>
      </w:r>
      <w:r w:rsidR="000B0082">
        <w:t>, but including the state of New York</w:t>
      </w:r>
      <w:r w:rsidR="00197931">
        <w:t xml:space="preserve">, Canada, and Mexico, and the respective territories and possessions of each, </w:t>
      </w:r>
      <w:r w:rsidR="00F64789">
        <w:t>in Zeta</w:t>
      </w:r>
      <w:r w:rsidR="00E12062">
        <w:t>, to make, use, sell, offer for sale, and import Zeta Licensed Products</w:t>
      </w:r>
      <w:r w:rsidR="00254DAB">
        <w:t>.</w:t>
      </w:r>
      <w:r w:rsidR="00E12062">
        <w:t xml:space="preserve"> </w:t>
      </w:r>
    </w:p>
    <w:p w14:paraId="072B3932" w14:textId="63E13045" w:rsidR="00FB637C" w:rsidRDefault="00BB4F95" w:rsidP="00403820">
      <w:pPr>
        <w:keepNext/>
        <w:jc w:val="center"/>
        <w:rPr>
          <w:b/>
        </w:rPr>
      </w:pPr>
      <w:r w:rsidRPr="00937C00">
        <w:rPr>
          <w:b/>
        </w:rPr>
        <w:t>Antitrust Concerns Within the Agreement</w:t>
      </w:r>
    </w:p>
    <w:p w14:paraId="1E0EEA56" w14:textId="7181DE9F" w:rsidR="00DA6BC8" w:rsidRDefault="007173C2" w:rsidP="002A2D7A">
      <w:pPr>
        <w:spacing w:line="480" w:lineRule="auto"/>
        <w:ind w:firstLine="720"/>
      </w:pPr>
      <w:r w:rsidRPr="00255A76">
        <w:rPr>
          <w:b/>
        </w:rPr>
        <w:t>Post Expiration Royalties.</w:t>
      </w:r>
      <w:r>
        <w:t xml:space="preserve"> </w:t>
      </w:r>
      <w:r w:rsidR="00DA6BC8">
        <w:t xml:space="preserve">The </w:t>
      </w:r>
      <w:r w:rsidR="008A5D4A">
        <w:t xml:space="preserve">first issue is one of patent misuse </w:t>
      </w:r>
      <w:r w:rsidR="007A1DB7">
        <w:t xml:space="preserve">regarding </w:t>
      </w:r>
      <w:r w:rsidR="00D07886">
        <w:t>p</w:t>
      </w:r>
      <w:r w:rsidR="007A1DB7">
        <w:t xml:space="preserve">ost </w:t>
      </w:r>
      <w:r w:rsidR="00D07886">
        <w:t>e</w:t>
      </w:r>
      <w:r w:rsidR="007A1DB7">
        <w:t xml:space="preserve">xpiration </w:t>
      </w:r>
      <w:r w:rsidR="00D07886">
        <w:t>r</w:t>
      </w:r>
      <w:r w:rsidR="007A1DB7">
        <w:t xml:space="preserve">oyalties. </w:t>
      </w:r>
      <w:r w:rsidR="00255A76">
        <w:t xml:space="preserve">In </w:t>
      </w:r>
      <w:proofErr w:type="spellStart"/>
      <w:r w:rsidR="00255A76">
        <w:rPr>
          <w:i/>
        </w:rPr>
        <w:t>Brulotte</w:t>
      </w:r>
      <w:proofErr w:type="spellEnd"/>
      <w:r w:rsidR="00255A76">
        <w:rPr>
          <w:i/>
        </w:rPr>
        <w:t xml:space="preserve"> v. Thys Co</w:t>
      </w:r>
      <w:r w:rsidR="00870D9F">
        <w:rPr>
          <w:i/>
        </w:rPr>
        <w:t>.</w:t>
      </w:r>
      <w:r w:rsidR="00870D9F">
        <w:t>, 339 U.S. 827, USPQ 378 (1950)</w:t>
      </w:r>
      <w:r w:rsidR="009F5C0B">
        <w:t xml:space="preserve">, the Supreme Court </w:t>
      </w:r>
      <w:r w:rsidR="009F5C0B">
        <w:lastRenderedPageBreak/>
        <w:t>held that requiring payment</w:t>
      </w:r>
      <w:r w:rsidR="008A4D9C">
        <w:t xml:space="preserve"> after expiration of a patent was misuse. “A patentee’s use of a royalty agreement</w:t>
      </w:r>
      <w:r w:rsidR="00075DE7">
        <w:t xml:space="preserve"> that projects beyond the expiration date of the patent is unlawful </w:t>
      </w:r>
      <w:r w:rsidR="00075DE7">
        <w:rPr>
          <w:i/>
        </w:rPr>
        <w:t>per se</w:t>
      </w:r>
      <w:r w:rsidR="002B46F7">
        <w:t xml:space="preserve">.” </w:t>
      </w:r>
      <w:r w:rsidR="002B46F7">
        <w:rPr>
          <w:i/>
        </w:rPr>
        <w:t>Id.</w:t>
      </w:r>
      <w:r w:rsidR="002B46F7">
        <w:t xml:space="preserve"> at 32, 143 USPQ at 266. </w:t>
      </w:r>
      <w:r w:rsidR="00773123">
        <w:t xml:space="preserve">Here, the </w:t>
      </w:r>
      <w:r w:rsidR="00AA3574">
        <w:t xml:space="preserve">Acme patents expire in 2024, and the Zeta patents expire in 2023, but the agreement is set to run until 2026. </w:t>
      </w:r>
      <w:r w:rsidR="00010851">
        <w:t xml:space="preserve">Paying </w:t>
      </w:r>
      <w:r w:rsidR="002B2FF5">
        <w:t>royalties</w:t>
      </w:r>
      <w:r w:rsidR="00010851">
        <w:t xml:space="preserve"> after the expiration of the patents extends the temporal scope of the </w:t>
      </w:r>
      <w:r w:rsidR="00D742D2">
        <w:t>patents and</w:t>
      </w:r>
      <w:r w:rsidR="00010851">
        <w:t xml:space="preserve"> is therefore patent misuse. </w:t>
      </w:r>
      <w:r w:rsidR="005A579C">
        <w:t>Acme would need to stop paying royalties in 2023, and Zeta in 2024. Paying royalties past that would be patent misuse. If there is some know-how being exchanged</w:t>
      </w:r>
      <w:r w:rsidR="00AE448A">
        <w:t xml:space="preserve"> in the agreement, those royalties could continue until 2026, but royalties would need to decrease after the expiration of the patents to show</w:t>
      </w:r>
      <w:r w:rsidR="002B2FF5">
        <w:t xml:space="preserve"> that royalties were only being paid on the know-how.</w:t>
      </w:r>
    </w:p>
    <w:p w14:paraId="02E12DAD" w14:textId="16A69DE7" w:rsidR="00522DDD" w:rsidRDefault="00BE7F00" w:rsidP="00367FD2">
      <w:pPr>
        <w:spacing w:line="480" w:lineRule="auto"/>
        <w:ind w:firstLine="720"/>
      </w:pPr>
      <w:r w:rsidRPr="00BE7F00">
        <w:rPr>
          <w:b/>
        </w:rPr>
        <w:t>Division of Markets</w:t>
      </w:r>
      <w:r>
        <w:rPr>
          <w:b/>
        </w:rPr>
        <w:t xml:space="preserve">. </w:t>
      </w:r>
      <w:r>
        <w:t xml:space="preserve">The second issue </w:t>
      </w:r>
      <w:r w:rsidR="00525340">
        <w:t xml:space="preserve">regards </w:t>
      </w:r>
      <w:r>
        <w:t xml:space="preserve">the division of </w:t>
      </w:r>
      <w:r w:rsidR="009C1815">
        <w:t>markets.</w:t>
      </w:r>
      <w:r w:rsidR="003F564E">
        <w:t xml:space="preserve"> The Supreme Court, in </w:t>
      </w:r>
      <w:r w:rsidR="003F564E">
        <w:rPr>
          <w:i/>
        </w:rPr>
        <w:t xml:space="preserve">Northern Pacific </w:t>
      </w:r>
      <w:r w:rsidR="007E2A82">
        <w:rPr>
          <w:i/>
        </w:rPr>
        <w:t>R</w:t>
      </w:r>
      <w:r w:rsidR="003F564E">
        <w:rPr>
          <w:i/>
        </w:rPr>
        <w:t>ailway Co. v. United States</w:t>
      </w:r>
      <w:r w:rsidR="007E2A82">
        <w:t xml:space="preserve">, </w:t>
      </w:r>
      <w:r w:rsidR="00556B20">
        <w:t xml:space="preserve">356 U.S. 1 (1958), </w:t>
      </w:r>
      <w:r w:rsidR="007E2A82">
        <w:t xml:space="preserve">stated that there are certain agreements and practices that are </w:t>
      </w:r>
      <w:r w:rsidR="00E90EC9">
        <w:t xml:space="preserve">presumed unreasonable. One of these “per se” practices is </w:t>
      </w:r>
      <w:r w:rsidR="00AE5466">
        <w:t>the division of markets among competitors.</w:t>
      </w:r>
      <w:r w:rsidR="00104F0C">
        <w:t xml:space="preserve"> </w:t>
      </w:r>
      <w:r w:rsidR="00104F0C">
        <w:rPr>
          <w:i/>
        </w:rPr>
        <w:t>United States v. Addyson</w:t>
      </w:r>
      <w:r w:rsidR="00104F0C">
        <w:t>, 85 F. 271 (</w:t>
      </w:r>
      <w:r w:rsidR="00AE5466">
        <w:t xml:space="preserve">6th Cir. </w:t>
      </w:r>
      <w:r w:rsidR="002A2D7A">
        <w:t>1898)</w:t>
      </w:r>
      <w:r w:rsidR="00AE5466">
        <w:t>.</w:t>
      </w:r>
      <w:r w:rsidR="0001754D">
        <w:t xml:space="preserve"> </w:t>
      </w:r>
      <w:r w:rsidR="000D7780">
        <w:t>The division of markets</w:t>
      </w:r>
      <w:r w:rsidR="00B15997">
        <w:t xml:space="preserve"> means that competitors </w:t>
      </w:r>
      <w:r w:rsidR="003E05D1">
        <w:t>limit their markets to a certain geographic area</w:t>
      </w:r>
      <w:r w:rsidR="00AB40CE">
        <w:t xml:space="preserve"> </w:t>
      </w:r>
      <w:r w:rsidR="00AD691F">
        <w:t>to</w:t>
      </w:r>
      <w:r w:rsidR="00AB40CE">
        <w:t xml:space="preserve"> reduce competition in agreed-upon territories. </w:t>
      </w:r>
      <w:r w:rsidR="00AB40CE">
        <w:rPr>
          <w:i/>
        </w:rPr>
        <w:t>Id.</w:t>
      </w:r>
      <w:r w:rsidR="001739E3">
        <w:rPr>
          <w:i/>
        </w:rPr>
        <w:t xml:space="preserve"> </w:t>
      </w:r>
      <w:r w:rsidR="001739E3">
        <w:t xml:space="preserve">Here, Acme and Zeta have agreed that only Acme will sell in </w:t>
      </w:r>
      <w:proofErr w:type="gramStart"/>
      <w:r w:rsidR="001739E3">
        <w:t xml:space="preserve">the </w:t>
      </w:r>
      <w:r w:rsidR="00D521F2">
        <w:t>majority of</w:t>
      </w:r>
      <w:proofErr w:type="gramEnd"/>
      <w:r w:rsidR="00D521F2">
        <w:t xml:space="preserve"> the United States, all of Mexico and Canada, and Zeta will be the exclusive seller in California and Europe. </w:t>
      </w:r>
      <w:r w:rsidR="00C92188">
        <w:t xml:space="preserve">They have agreed to both sell in the rest of the world, and the state of New York. </w:t>
      </w:r>
      <w:commentRangeStart w:id="0"/>
      <w:r w:rsidR="001E554C">
        <w:t xml:space="preserve">This </w:t>
      </w:r>
      <w:r w:rsidR="00374AD2">
        <w:t xml:space="preserve">is </w:t>
      </w:r>
      <w:r w:rsidR="006F7701">
        <w:t xml:space="preserve">division of markets among competitors and is an </w:t>
      </w:r>
      <w:r w:rsidR="0027503D">
        <w:t>antitrust</w:t>
      </w:r>
      <w:r w:rsidR="006F7701">
        <w:t xml:space="preserve"> violation.</w:t>
      </w:r>
      <w:commentRangeEnd w:id="0"/>
      <w:r w:rsidR="006F7701">
        <w:rPr>
          <w:rStyle w:val="CommentReference"/>
        </w:rPr>
        <w:commentReference w:id="0"/>
      </w:r>
    </w:p>
    <w:p w14:paraId="44D9A8AE" w14:textId="500A2E91" w:rsidR="009E4592" w:rsidRDefault="00C91705" w:rsidP="009B5F3F">
      <w:pPr>
        <w:spacing w:line="480" w:lineRule="auto"/>
      </w:pPr>
      <w:r>
        <w:tab/>
      </w:r>
      <w:r w:rsidRPr="00C91705">
        <w:rPr>
          <w:b/>
        </w:rPr>
        <w:t>Patent Tie-out.</w:t>
      </w:r>
      <w:r>
        <w:rPr>
          <w:b/>
        </w:rPr>
        <w:t xml:space="preserve"> </w:t>
      </w:r>
      <w:r w:rsidR="00D64A79">
        <w:t>Third issue concerns patent tie-out</w:t>
      </w:r>
      <w:r w:rsidR="0027695C">
        <w:t xml:space="preserve">: </w:t>
      </w:r>
      <w:r w:rsidR="006F5DF0">
        <w:t>Acme insist</w:t>
      </w:r>
      <w:r w:rsidR="0027695C">
        <w:t>ed</w:t>
      </w:r>
      <w:r w:rsidR="006F5DF0">
        <w:t xml:space="preserve"> that Zeta </w:t>
      </w:r>
      <w:r w:rsidR="009B5F3F">
        <w:t>not sell phones in California or New York that do not contain the Fold Plus Display.</w:t>
      </w:r>
      <w:r w:rsidR="00AA5347">
        <w:t xml:space="preserve"> </w:t>
      </w:r>
      <w:r w:rsidR="00C951EB">
        <w:t>Patent tie-out</w:t>
      </w:r>
      <w:r w:rsidR="00532138">
        <w:t xml:space="preserve"> is a form of patent misuse in which a </w:t>
      </w:r>
      <w:r w:rsidR="00182D38">
        <w:t>licensor conditions granting a license on the licensee</w:t>
      </w:r>
      <w:r w:rsidR="003A6FC4">
        <w:t xml:space="preserve"> agreeing to not to purchase, use, or sell another article of commerce not within the scope of the patent. </w:t>
      </w:r>
      <w:r w:rsidR="003A6FC4">
        <w:rPr>
          <w:i/>
        </w:rPr>
        <w:lastRenderedPageBreak/>
        <w:t>Zenith Radio Corp. v. Hazeltine Research, Inc.</w:t>
      </w:r>
      <w:r w:rsidR="003A6FC4">
        <w:t xml:space="preserve">, </w:t>
      </w:r>
      <w:r w:rsidR="00E52024">
        <w:t xml:space="preserve">395 U.S. 100 (1969). </w:t>
      </w:r>
      <w:r w:rsidR="005E5F4A">
        <w:t>Like other patent misuse, it is subject to § 271(d)5</w:t>
      </w:r>
      <w:r w:rsidR="0031624E">
        <w:t>, which is met here because Acme has 70% of the smartphone market, and arguably has strong market</w:t>
      </w:r>
      <w:r w:rsidR="00192ED8">
        <w:t xml:space="preserve"> </w:t>
      </w:r>
      <w:r w:rsidR="0031624E">
        <w:t xml:space="preserve">power. </w:t>
      </w:r>
      <w:r w:rsidR="00BF7BE9">
        <w:t xml:space="preserve">This is not </w:t>
      </w:r>
      <w:r w:rsidR="00BF7BE9" w:rsidRPr="00A74228">
        <w:rPr>
          <w:i/>
        </w:rPr>
        <w:t>per se</w:t>
      </w:r>
      <w:r w:rsidR="00BF7BE9">
        <w:t xml:space="preserve"> </w:t>
      </w:r>
      <w:r w:rsidR="00192ED8">
        <w:t>misuse;</w:t>
      </w:r>
      <w:r w:rsidR="00BF7BE9">
        <w:t xml:space="preserve"> </w:t>
      </w:r>
      <w:r w:rsidR="00192ED8">
        <w:t>however,</w:t>
      </w:r>
      <w:r w:rsidR="00BF7BE9">
        <w:t xml:space="preserve"> it does broaden the scope of the patent because it prevents Zeta from practicing </w:t>
      </w:r>
      <w:r w:rsidR="00DA2408">
        <w:t xml:space="preserve">other technologies. </w:t>
      </w:r>
      <w:r w:rsidR="00D656E2">
        <w:t>It is important to</w:t>
      </w:r>
      <w:r w:rsidR="00AB0DAC">
        <w:t xml:space="preserve"> apply </w:t>
      </w:r>
      <w:r w:rsidR="00D656E2">
        <w:t xml:space="preserve">the </w:t>
      </w:r>
      <w:r w:rsidR="00AB0DAC">
        <w:t xml:space="preserve">rule of reason to determine </w:t>
      </w:r>
      <w:r w:rsidR="00880555">
        <w:t xml:space="preserve">if there is an anti-competitive effect. </w:t>
      </w:r>
      <w:r w:rsidR="00A80C20">
        <w:t>There is likely anti-competitive effect because it forces consumers to only buy a single type of phone, broadening the sale of the Fold Plus Display</w:t>
      </w:r>
      <w:r w:rsidR="00871FDC">
        <w:t xml:space="preserve">, and forces Zeta to forgo selling other products in California and New York. </w:t>
      </w:r>
      <w:r w:rsidR="00D47500">
        <w:t>Additionally,</w:t>
      </w:r>
      <w:r w:rsidR="00871FDC">
        <w:t xml:space="preserve"> it is important to know if </w:t>
      </w:r>
      <w:proofErr w:type="gramStart"/>
      <w:r w:rsidR="00871FDC">
        <w:t>Zeta was coerced by Acme</w:t>
      </w:r>
      <w:proofErr w:type="gramEnd"/>
      <w:r w:rsidR="00871FDC">
        <w:t xml:space="preserve"> to do this. </w:t>
      </w:r>
      <w:r w:rsidR="000E158B">
        <w:t>There are little facts one way or the other</w:t>
      </w:r>
      <w:r w:rsidR="004726B1">
        <w:t>: both companies have technology helpful to the other and strong market shares in different areas</w:t>
      </w:r>
      <w:r w:rsidR="00D47500">
        <w:t xml:space="preserve">. </w:t>
      </w:r>
      <w:r w:rsidR="00FC227F">
        <w:t>It is likely a</w:t>
      </w:r>
      <w:r w:rsidR="007E2B3B">
        <w:t>n</w:t>
      </w:r>
      <w:r w:rsidR="00FC227F">
        <w:t xml:space="preserve"> </w:t>
      </w:r>
      <w:r w:rsidR="0027503D">
        <w:t>antitrust</w:t>
      </w:r>
      <w:r w:rsidR="00FC227F">
        <w:t xml:space="preserve"> </w:t>
      </w:r>
      <w:r w:rsidR="007E2B3B">
        <w:t>violation but</w:t>
      </w:r>
      <w:r w:rsidR="00FC227F">
        <w:t xml:space="preserve"> </w:t>
      </w:r>
      <w:r w:rsidR="00D30C3A">
        <w:t xml:space="preserve">could possibly be acceptable. </w:t>
      </w:r>
    </w:p>
    <w:p w14:paraId="1FD87EBE" w14:textId="718CD501" w:rsidR="00D47500" w:rsidRPr="00DF0EB8" w:rsidRDefault="00D47500" w:rsidP="009B5F3F">
      <w:pPr>
        <w:spacing w:line="480" w:lineRule="auto"/>
      </w:pPr>
      <w:r>
        <w:tab/>
      </w:r>
      <w:r>
        <w:rPr>
          <w:b/>
        </w:rPr>
        <w:t>Price Fixing.</w:t>
      </w:r>
      <w:r>
        <w:t xml:space="preserve"> </w:t>
      </w:r>
      <w:r w:rsidR="007C5996">
        <w:t xml:space="preserve">The next issue </w:t>
      </w:r>
      <w:r w:rsidR="0027503D">
        <w:t>concerns</w:t>
      </w:r>
      <w:r w:rsidR="007C5996">
        <w:t xml:space="preserve"> </w:t>
      </w:r>
      <w:r w:rsidR="003B36A7">
        <w:t xml:space="preserve">fixing a minimum sale price for the Fold Plus Display phones at $800. This is horizontal price fixing, which is another </w:t>
      </w:r>
      <w:r w:rsidR="003B36A7">
        <w:rPr>
          <w:i/>
        </w:rPr>
        <w:t>per se</w:t>
      </w:r>
      <w:r w:rsidR="00C05F6D">
        <w:t xml:space="preserve"> violation of </w:t>
      </w:r>
      <w:r w:rsidR="0027503D">
        <w:t>antitrust</w:t>
      </w:r>
      <w:r w:rsidR="00C05F6D">
        <w:t xml:space="preserve"> law. </w:t>
      </w:r>
      <w:r w:rsidR="00DF0EB8">
        <w:rPr>
          <w:i/>
        </w:rPr>
        <w:t>United States v. Socony-Vacuum Oil Co.</w:t>
      </w:r>
      <w:r w:rsidR="00DF0EB8">
        <w:t xml:space="preserve">, 310 U.S. 150 (1940). </w:t>
      </w:r>
      <w:r w:rsidR="00151954">
        <w:t xml:space="preserve">Competitors cannot agree to set minimum sales prices, </w:t>
      </w:r>
      <w:r w:rsidR="008C280B">
        <w:t xml:space="preserve">this is an </w:t>
      </w:r>
      <w:r w:rsidR="0027503D">
        <w:t>antitrust</w:t>
      </w:r>
      <w:r w:rsidR="008C280B">
        <w:t xml:space="preserve"> violation. </w:t>
      </w:r>
    </w:p>
    <w:p w14:paraId="07F8F58F" w14:textId="6DFFDBD1" w:rsidR="00235805" w:rsidRPr="0040616E" w:rsidRDefault="00827FEE" w:rsidP="00436A43">
      <w:pPr>
        <w:pStyle w:val="ListParagraph"/>
        <w:spacing w:line="480" w:lineRule="auto"/>
        <w:ind w:left="0" w:firstLine="720"/>
      </w:pPr>
      <w:r>
        <w:rPr>
          <w:b/>
        </w:rPr>
        <w:t xml:space="preserve">Assignment and License of </w:t>
      </w:r>
      <w:r w:rsidR="00B84447" w:rsidRPr="00B84447">
        <w:rPr>
          <w:b/>
        </w:rPr>
        <w:t xml:space="preserve">Improvements. </w:t>
      </w:r>
      <w:r w:rsidR="005633B0">
        <w:t xml:space="preserve">The next issue concerns the </w:t>
      </w:r>
      <w:r w:rsidR="00436A43">
        <w:t xml:space="preserve">conditions on improvements. </w:t>
      </w:r>
      <w:r w:rsidR="00A71FFD">
        <w:t xml:space="preserve">Zeta’s granting of a non-exclusive license back to Acme on any improvements to the display </w:t>
      </w:r>
      <w:r w:rsidR="008657DE">
        <w:t xml:space="preserve">is not an </w:t>
      </w:r>
      <w:r w:rsidR="0027503D">
        <w:t>antitrust</w:t>
      </w:r>
      <w:r w:rsidR="008657DE">
        <w:t xml:space="preserve"> violation. </w:t>
      </w:r>
      <w:r w:rsidR="00B255DA">
        <w:rPr>
          <w:i/>
        </w:rPr>
        <w:t>See United States v. Huck Mfg., Co.</w:t>
      </w:r>
      <w:r w:rsidR="00B255DA">
        <w:t>, 227 F. Supp. 791 804 (E.D. M</w:t>
      </w:r>
      <w:r w:rsidR="00270A2C">
        <w:t>i</w:t>
      </w:r>
      <w:r w:rsidR="00B255DA">
        <w:t>ch. 196</w:t>
      </w:r>
      <w:r w:rsidR="008E29E1">
        <w:t xml:space="preserve">4), </w:t>
      </w:r>
      <w:r w:rsidR="008E29E1">
        <w:rPr>
          <w:i/>
        </w:rPr>
        <w:t>aff’d</w:t>
      </w:r>
      <w:r w:rsidR="008E29E1">
        <w:t xml:space="preserve">, 387 U.S. 197 (1965). </w:t>
      </w:r>
      <w:r w:rsidR="0065475E">
        <w:t>Grant backs of non-</w:t>
      </w:r>
      <w:r w:rsidR="00156E5A">
        <w:t>exclusive</w:t>
      </w:r>
      <w:r w:rsidR="0065475E">
        <w:t xml:space="preserve"> licenses to the licensors </w:t>
      </w:r>
      <w:proofErr w:type="gramStart"/>
      <w:r w:rsidR="0065475E">
        <w:t>are seen as</w:t>
      </w:r>
      <w:proofErr w:type="gramEnd"/>
      <w:r w:rsidR="0065475E">
        <w:t xml:space="preserve"> pro-competitive, because they encourage the licensor to grant the license. </w:t>
      </w:r>
      <w:r w:rsidR="00156E5A">
        <w:rPr>
          <w:i/>
        </w:rPr>
        <w:t>Id.</w:t>
      </w:r>
      <w:r w:rsidR="00156E5A">
        <w:t xml:space="preserve"> </w:t>
      </w:r>
      <w:r w:rsidR="00F175ED">
        <w:t xml:space="preserve">However, Acme assignment of improvements on the plastic may </w:t>
      </w:r>
      <w:r w:rsidR="00D6275F">
        <w:t>be</w:t>
      </w:r>
      <w:r w:rsidR="00FB463E">
        <w:t xml:space="preserve"> problematic. </w:t>
      </w:r>
      <w:r w:rsidR="005B28DA">
        <w:rPr>
          <w:i/>
        </w:rPr>
        <w:t>Transparent-Wrap Machine Corp. v. Stokes &amp; Smith Co.</w:t>
      </w:r>
      <w:r w:rsidR="005B28DA">
        <w:t xml:space="preserve">, </w:t>
      </w:r>
      <w:r w:rsidR="008662FC">
        <w:t xml:space="preserve">329 U.S. 637 (1947). While not per se illegal, these assignments should be agreed to with caution, </w:t>
      </w:r>
      <w:r w:rsidR="009A6E9B">
        <w:t xml:space="preserve">in two situations: 1) </w:t>
      </w:r>
      <w:r w:rsidR="00413333">
        <w:t xml:space="preserve">if the </w:t>
      </w:r>
      <w:r w:rsidR="00413333">
        <w:lastRenderedPageBreak/>
        <w:t>improvement definition extends beyond the scope of the license technology</w:t>
      </w:r>
      <w:r w:rsidR="009A6E9B">
        <w:t xml:space="preserve"> leading to potential patent misuse</w:t>
      </w:r>
      <w:r w:rsidR="0040616E">
        <w:t xml:space="preserve"> by extending the scope of that patent</w:t>
      </w:r>
      <w:r w:rsidR="009A6E9B">
        <w:t>, and 2)</w:t>
      </w:r>
      <w:r w:rsidR="00413333">
        <w:t xml:space="preserve"> the grant back provision is in numerous nonexclusive licenses</w:t>
      </w:r>
      <w:r w:rsidR="0040616E">
        <w:t xml:space="preserve">, placing all improvement technology in the licensor’s possession. </w:t>
      </w:r>
      <w:r w:rsidR="0040616E">
        <w:rPr>
          <w:i/>
        </w:rPr>
        <w:t>Id.</w:t>
      </w:r>
      <w:r w:rsidR="00B41A89">
        <w:t xml:space="preserve"> Here, we would need to know more about the planned scope of the definition of “Improvements” in the agreement, and </w:t>
      </w:r>
      <w:r w:rsidR="00EA46E0">
        <w:t>how improvements are</w:t>
      </w:r>
      <w:r w:rsidR="00270A2C">
        <w:t xml:space="preserve"> assigned back in the various sublicenses. </w:t>
      </w:r>
    </w:p>
    <w:p w14:paraId="61D9A23A" w14:textId="0646E766" w:rsidR="0083363E" w:rsidRDefault="00827FEE" w:rsidP="00493DEE">
      <w:pPr>
        <w:pStyle w:val="ListParagraph"/>
        <w:spacing w:line="480" w:lineRule="auto"/>
        <w:ind w:left="0" w:firstLine="720"/>
      </w:pPr>
      <w:r w:rsidRPr="00827FEE">
        <w:rPr>
          <w:b/>
        </w:rPr>
        <w:t>Sublicenses.</w:t>
      </w:r>
      <w:r w:rsidR="00493DEE">
        <w:t xml:space="preserve"> </w:t>
      </w:r>
      <w:r w:rsidR="000A4191">
        <w:t>T</w:t>
      </w:r>
      <w:commentRangeStart w:id="1"/>
      <w:r w:rsidR="00A5329F">
        <w:t xml:space="preserve">here </w:t>
      </w:r>
      <w:r w:rsidR="007A25C2">
        <w:t>are</w:t>
      </w:r>
      <w:r w:rsidR="00A5329F">
        <w:t xml:space="preserve"> no </w:t>
      </w:r>
      <w:r w:rsidR="0027503D">
        <w:t>antitrust</w:t>
      </w:r>
      <w:r w:rsidR="00A5329F">
        <w:t xml:space="preserve"> concerns when each participate holds unilateral right to grant licenses under its own </w:t>
      </w:r>
      <w:r w:rsidR="006C0005">
        <w:t>patents</w:t>
      </w:r>
      <w:r w:rsidR="00A5329F">
        <w:t xml:space="preserve"> to order parties outside of the cross-license</w:t>
      </w:r>
      <w:r w:rsidR="00493DEE">
        <w:t xml:space="preserve"> or pooling arrangement. However, if </w:t>
      </w:r>
      <w:r w:rsidR="00391937">
        <w:t xml:space="preserve">granting a license requires approval of the other </w:t>
      </w:r>
      <w:r w:rsidR="006C0005">
        <w:t>participants</w:t>
      </w:r>
      <w:r w:rsidR="00391937">
        <w:t xml:space="preserve">, the agreement may present </w:t>
      </w:r>
      <w:r w:rsidR="0027503D">
        <w:t>antitrust</w:t>
      </w:r>
      <w:r w:rsidR="00391937">
        <w:t xml:space="preserve"> issues. </w:t>
      </w:r>
      <w:commentRangeEnd w:id="1"/>
      <w:r w:rsidR="00056301">
        <w:rPr>
          <w:rStyle w:val="CommentReference"/>
        </w:rPr>
        <w:commentReference w:id="1"/>
      </w:r>
      <w:r w:rsidR="003B4177">
        <w:t>Here</w:t>
      </w:r>
      <w:r w:rsidR="00474C08">
        <w:t xml:space="preserve">, Acme and Zeta </w:t>
      </w:r>
      <w:proofErr w:type="gramStart"/>
      <w:r w:rsidR="00474C08">
        <w:t>are allowed to</w:t>
      </w:r>
      <w:proofErr w:type="gramEnd"/>
      <w:r w:rsidR="00474C08">
        <w:t xml:space="preserve"> grant sublicenses on their respective patents, but each requires</w:t>
      </w:r>
      <w:r w:rsidR="0070409E">
        <w:t xml:space="preserve"> the approval of the other to sublicense the rights to any maker, </w:t>
      </w:r>
      <w:r w:rsidR="0070409E">
        <w:rPr>
          <w:i/>
        </w:rPr>
        <w:t>even their own patents</w:t>
      </w:r>
      <w:r w:rsidR="0070409E">
        <w:t xml:space="preserve">. </w:t>
      </w:r>
      <w:r w:rsidR="00A73B8A">
        <w:t>Because of this restraint</w:t>
      </w:r>
      <w:r w:rsidR="002E6CD8">
        <w:t xml:space="preserve"> on each company licensing their respective patents, there may be </w:t>
      </w:r>
      <w:r w:rsidR="0027503D">
        <w:t>antitrust</w:t>
      </w:r>
      <w:r w:rsidR="002E6CD8">
        <w:t xml:space="preserve"> concerns. Acme and Zeta should consider this provision with caution. </w:t>
      </w:r>
    </w:p>
    <w:p w14:paraId="2F069B2B" w14:textId="1E895C43" w:rsidR="004A702E" w:rsidRDefault="00050530" w:rsidP="00493DEE">
      <w:pPr>
        <w:pStyle w:val="ListParagraph"/>
        <w:spacing w:line="480" w:lineRule="auto"/>
        <w:ind w:left="0" w:firstLine="720"/>
      </w:pPr>
      <w:r w:rsidRPr="00050530">
        <w:rPr>
          <w:b/>
        </w:rPr>
        <w:t>Tying with Acme Headphones</w:t>
      </w:r>
      <w:r w:rsidR="00664F11">
        <w:rPr>
          <w:b/>
        </w:rPr>
        <w:t>.</w:t>
      </w:r>
      <w:r w:rsidR="00FF3AE7">
        <w:t xml:space="preserve"> </w:t>
      </w:r>
      <w:r w:rsidR="00CB47B8">
        <w:t>Conditioning</w:t>
      </w:r>
      <w:r w:rsidR="00FF3AE7">
        <w:t xml:space="preserve"> the sale of Acme’s patent to the sale of its headphones is likely an </w:t>
      </w:r>
      <w:r w:rsidR="0027503D">
        <w:t>antitrust</w:t>
      </w:r>
      <w:r w:rsidR="00FF3AE7">
        <w:t xml:space="preserve"> violation. </w:t>
      </w:r>
      <w:r w:rsidR="00FC731E">
        <w:t xml:space="preserve">Tying occurs where an entity or individual with market power uses that power to coerce another to </w:t>
      </w:r>
      <w:r w:rsidR="003F4134">
        <w:t xml:space="preserve">take an unwanted action affecting competition in another market. </w:t>
      </w:r>
      <w:r w:rsidR="003B3519">
        <w:rPr>
          <w:i/>
        </w:rPr>
        <w:t>International Salt Co. v. United States</w:t>
      </w:r>
      <w:r w:rsidR="003B3519">
        <w:t>, 332 U.S. 392 (1947)</w:t>
      </w:r>
      <w:r w:rsidR="0083316C">
        <w:t>.</w:t>
      </w:r>
      <w:r w:rsidR="003B3519">
        <w:rPr>
          <w:i/>
        </w:rPr>
        <w:t xml:space="preserve"> </w:t>
      </w:r>
      <w:r w:rsidR="002D4FFE">
        <w:t xml:space="preserve">Patents alone do not </w:t>
      </w:r>
      <w:r w:rsidR="00FF3AE7">
        <w:t xml:space="preserve">confer market </w:t>
      </w:r>
      <w:r w:rsidR="003950E6">
        <w:t>power;</w:t>
      </w:r>
      <w:r w:rsidR="00FF3AE7">
        <w:t xml:space="preserve"> the patent owner must have actual market power</w:t>
      </w:r>
      <w:r w:rsidR="00FF3AE7" w:rsidRPr="00547C24">
        <w:rPr>
          <w:i/>
        </w:rPr>
        <w:t xml:space="preserve">. </w:t>
      </w:r>
      <w:r w:rsidR="00547C24" w:rsidRPr="00547C24">
        <w:rPr>
          <w:i/>
        </w:rPr>
        <w:t>Illinois Tool Works, Inc. v. Independent Ink, Inc.</w:t>
      </w:r>
      <w:r w:rsidR="00547C24" w:rsidRPr="00547C24">
        <w:t>, 547 US. 28, 77 USPQ2d 1801 (2006).</w:t>
      </w:r>
      <w:r w:rsidR="00547C24">
        <w:t xml:space="preserve"> </w:t>
      </w:r>
      <w:r w:rsidR="00CB47B8">
        <w:t xml:space="preserve">An essential element of improper tying lies in the seller’s forcing the </w:t>
      </w:r>
      <w:r w:rsidR="003950E6">
        <w:t>b</w:t>
      </w:r>
      <w:r w:rsidR="00CB47B8">
        <w:t xml:space="preserve">uyer into the purchase </w:t>
      </w:r>
      <w:r w:rsidR="003950E6">
        <w:t xml:space="preserve">of a product the buyer did not </w:t>
      </w:r>
      <w:r w:rsidR="00B706A6">
        <w:t>want or</w:t>
      </w:r>
      <w:r w:rsidR="003950E6">
        <w:t xml:space="preserve"> would have purchases elsewhere on different terms</w:t>
      </w:r>
      <w:r w:rsidR="00F47F65">
        <w:t xml:space="preserve">. </w:t>
      </w:r>
      <w:r w:rsidR="00B706A6" w:rsidRPr="00B706A6">
        <w:rPr>
          <w:i/>
        </w:rPr>
        <w:t>Jefferson Parish Hosp. Dist. No. 2 v. Hyde</w:t>
      </w:r>
      <w:r w:rsidR="00B706A6" w:rsidRPr="00B706A6">
        <w:t>, 466 US. 2 (1984).</w:t>
      </w:r>
      <w:r w:rsidR="00CD0C00">
        <w:t xml:space="preserve"> Additionally, tying must be judged under the rule of reason.</w:t>
      </w:r>
      <w:r w:rsidR="00931E65">
        <w:t xml:space="preserve"> </w:t>
      </w:r>
      <w:r w:rsidR="00182B0B">
        <w:t>T</w:t>
      </w:r>
      <w:r w:rsidR="00931E65">
        <w:t xml:space="preserve">here </w:t>
      </w:r>
      <w:r w:rsidR="00182B0B">
        <w:lastRenderedPageBreak/>
        <w:t xml:space="preserve">are four elements to tying: 1) </w:t>
      </w:r>
      <w:r w:rsidR="00185B72">
        <w:t>the tier must have</w:t>
      </w:r>
      <w:r w:rsidR="00931E65">
        <w:t xml:space="preserve"> market power, </w:t>
      </w:r>
      <w:r w:rsidR="00185B72">
        <w:t xml:space="preserve">2) there must be </w:t>
      </w:r>
      <w:r w:rsidR="00931E65">
        <w:t xml:space="preserve">coercion, </w:t>
      </w:r>
      <w:r w:rsidR="00185B72">
        <w:t xml:space="preserve">3) </w:t>
      </w:r>
      <w:r w:rsidR="00931E65">
        <w:t xml:space="preserve">the items must be separable, and </w:t>
      </w:r>
      <w:r w:rsidR="00185B72">
        <w:t xml:space="preserve">4) </w:t>
      </w:r>
      <w:r w:rsidR="00931E65">
        <w:t xml:space="preserve">must affect commerce. </w:t>
      </w:r>
    </w:p>
    <w:p w14:paraId="7B8B78FD" w14:textId="39CC5B4F" w:rsidR="009161C8" w:rsidRDefault="00586B10" w:rsidP="00493DEE">
      <w:pPr>
        <w:pStyle w:val="ListParagraph"/>
        <w:spacing w:line="480" w:lineRule="auto"/>
        <w:ind w:left="0" w:firstLine="720"/>
      </w:pPr>
      <w:r>
        <w:t xml:space="preserve">Here, Acme conditioned the </w:t>
      </w:r>
      <w:r w:rsidR="00A64531">
        <w:t xml:space="preserve">licensing of its patent on the condition that Zeta purchase its headphones from Acme. Acme has strong market power, with </w:t>
      </w:r>
      <w:r w:rsidR="009E69B4">
        <w:t xml:space="preserve">70% of the United States smart phone market under its control. We would need more evidence </w:t>
      </w:r>
      <w:r w:rsidR="0068745B">
        <w:t xml:space="preserve">and details regarding the </w:t>
      </w:r>
      <w:r w:rsidR="001C631A">
        <w:t xml:space="preserve">negotiations, </w:t>
      </w:r>
      <w:r w:rsidR="009E69B4">
        <w:t>but the language of your email suggests</w:t>
      </w:r>
      <w:r w:rsidR="0068745B">
        <w:t xml:space="preserve"> there was coercion, as Acme “refused to enter the deal unless Zeta agreed.”</w:t>
      </w:r>
      <w:r w:rsidR="009E69B4">
        <w:t xml:space="preserve"> </w:t>
      </w:r>
      <w:r w:rsidR="001C631A">
        <w:t xml:space="preserve">The items were clearly separable: headphones are not an essential piece of Acme’s foldable screen, and there is no advantage of Acme’s headphones </w:t>
      </w:r>
      <w:r w:rsidR="002243A6">
        <w:t xml:space="preserve">over others. Zeta likely would be able to get the headphones from another source. </w:t>
      </w:r>
      <w:r w:rsidR="00D22247">
        <w:t xml:space="preserve">Additionally, </w:t>
      </w:r>
      <w:r w:rsidR="004D0B5A">
        <w:t xml:space="preserve">tying under patent issue </w:t>
      </w:r>
      <w:r w:rsidR="004A702E">
        <w:t>inquiries</w:t>
      </w:r>
      <w:r w:rsidR="004D0B5A">
        <w:t xml:space="preserve"> into if the item is a </w:t>
      </w:r>
      <w:r w:rsidR="004A702E">
        <w:t>staple</w:t>
      </w:r>
      <w:r w:rsidR="004D0B5A">
        <w:t xml:space="preserve"> of commerce. The headphones have a non</w:t>
      </w:r>
      <w:r w:rsidR="00105858">
        <w:t xml:space="preserve">-infringing use, so it would likely </w:t>
      </w:r>
      <w:proofErr w:type="gramStart"/>
      <w:r w:rsidR="00105858">
        <w:t>be seen as</w:t>
      </w:r>
      <w:proofErr w:type="gramEnd"/>
      <w:r w:rsidR="00105858">
        <w:t xml:space="preserve"> </w:t>
      </w:r>
      <w:r w:rsidR="001A017B">
        <w:t xml:space="preserve">improper </w:t>
      </w:r>
      <w:r w:rsidR="00105858">
        <w:t xml:space="preserve">tying. </w:t>
      </w:r>
      <w:r w:rsidR="00C76442">
        <w:t xml:space="preserve">We would need further details concerning the affect of the market, but likely due to Acme’s large market share, it would </w:t>
      </w:r>
      <w:r w:rsidR="00005352">
        <w:t xml:space="preserve">affect the headphone market, however it may not as users frequently do not use the headphones that come with their phones, buying </w:t>
      </w:r>
      <w:r w:rsidR="00DC39AC">
        <w:t xml:space="preserve">or using higher qualify headphones from other sources. </w:t>
      </w:r>
      <w:r w:rsidR="00105858">
        <w:t xml:space="preserve">With these facts, it highly suggests there is improper tying. </w:t>
      </w:r>
    </w:p>
    <w:p w14:paraId="3EB0C03F" w14:textId="636E1409" w:rsidR="004A702E" w:rsidRPr="001A017B" w:rsidRDefault="004A702E" w:rsidP="005D7827">
      <w:pPr>
        <w:pStyle w:val="ListParagraph"/>
        <w:spacing w:line="480" w:lineRule="auto"/>
        <w:ind w:left="0" w:firstLine="720"/>
      </w:pPr>
      <w:r w:rsidRPr="00902A35">
        <w:rPr>
          <w:b/>
        </w:rPr>
        <w:t>Standard Essential Patents and SSO</w:t>
      </w:r>
      <w:r w:rsidR="00902A35" w:rsidRPr="00902A35">
        <w:rPr>
          <w:b/>
        </w:rPr>
        <w:t>s.</w:t>
      </w:r>
      <w:r w:rsidR="00902A35">
        <w:rPr>
          <w:b/>
        </w:rPr>
        <w:t xml:space="preserve"> </w:t>
      </w:r>
      <w:r w:rsidR="00A851C9">
        <w:t xml:space="preserve">Acme have acted improperly by refusing to grant Zeta </w:t>
      </w:r>
      <w:r w:rsidR="002944CD">
        <w:t>a license to Acme’s standard essential LTE patents.</w:t>
      </w:r>
      <w:r w:rsidR="00C506C5">
        <w:t xml:space="preserve"> Standards </w:t>
      </w:r>
      <w:r w:rsidR="004673D0">
        <w:t>d</w:t>
      </w:r>
      <w:r w:rsidR="00C506C5">
        <w:t xml:space="preserve">o eliminate some competition, but it allows for efficiency and technical advancements </w:t>
      </w:r>
      <w:r w:rsidR="004673D0">
        <w:t>and</w:t>
      </w:r>
      <w:r w:rsidR="00C506C5">
        <w:t xml:space="preserve"> so are </w:t>
      </w:r>
      <w:r w:rsidR="004673D0">
        <w:t xml:space="preserve">viewed as pro-competitive. </w:t>
      </w:r>
      <w:r w:rsidR="00397B57">
        <w:t>Anyone wishing to practice the standard, must do so under license</w:t>
      </w:r>
      <w:r w:rsidR="00C55049">
        <w:t xml:space="preserve">, Stand Setting Organizations (SSOs) therefore require participants in the standard setting process to commit to a free or reasonable and nondiscriminatory (RAND) license. </w:t>
      </w:r>
      <w:r w:rsidR="005D7827" w:rsidRPr="005D7827">
        <w:rPr>
          <w:i/>
        </w:rPr>
        <w:t>See, e.g.</w:t>
      </w:r>
      <w:r w:rsidR="005D7827">
        <w:t>, ANSI Patent Policy (2014), available at http://publicaaansi.org/sites/apdll</w:t>
      </w:r>
      <w:r w:rsidR="002078A8">
        <w:t>/</w:t>
      </w:r>
      <w:r w:rsidR="005D7827">
        <w:t xml:space="preserve">Documents/Forms. Here, Zeta </w:t>
      </w:r>
      <w:r w:rsidR="00FE3C85">
        <w:t xml:space="preserve">did not participate in the standard setting process, and so </w:t>
      </w:r>
      <w:r w:rsidR="00B41827">
        <w:t xml:space="preserve">its refusal to grant Acme a license to its standard essential </w:t>
      </w:r>
      <w:r w:rsidR="00B41827">
        <w:lastRenderedPageBreak/>
        <w:t xml:space="preserve">patents on LTE may be acceptable. However, </w:t>
      </w:r>
      <w:r w:rsidR="005E4A8C">
        <w:t xml:space="preserve">Acme participated in the standard setting process and so must grant Zeta a RAND </w:t>
      </w:r>
      <w:r w:rsidR="002913F0">
        <w:t xml:space="preserve">or even a free </w:t>
      </w:r>
      <w:r w:rsidR="005E4A8C">
        <w:t xml:space="preserve">license to practice its </w:t>
      </w:r>
      <w:r w:rsidR="00DC3F75">
        <w:t xml:space="preserve">standard essential patents. </w:t>
      </w:r>
      <w:r w:rsidR="00965AF0">
        <w:rPr>
          <w:i/>
        </w:rPr>
        <w:t>Id.</w:t>
      </w:r>
    </w:p>
    <w:p w14:paraId="09B3A244" w14:textId="0F239523" w:rsidR="00FF4F82" w:rsidRPr="00BF34C3" w:rsidRDefault="00485232" w:rsidP="00032A3B">
      <w:pPr>
        <w:pStyle w:val="ListParagraph"/>
        <w:spacing w:line="480" w:lineRule="auto"/>
        <w:ind w:left="0" w:firstLine="720"/>
      </w:pPr>
      <w:r w:rsidRPr="00485232">
        <w:rPr>
          <w:b/>
        </w:rPr>
        <w:t>Refusals to Deal</w:t>
      </w:r>
      <w:r w:rsidR="00F9318B">
        <w:rPr>
          <w:b/>
        </w:rPr>
        <w:t xml:space="preserve"> / Group Boycotts</w:t>
      </w:r>
      <w:r>
        <w:rPr>
          <w:b/>
        </w:rPr>
        <w:t>.</w:t>
      </w:r>
      <w:r w:rsidR="00031D2C">
        <w:rPr>
          <w:b/>
        </w:rPr>
        <w:t xml:space="preserve"> </w:t>
      </w:r>
      <w:r w:rsidR="00031D2C">
        <w:t xml:space="preserve">Refusals to deal are </w:t>
      </w:r>
      <w:r w:rsidR="00032A3B">
        <w:t xml:space="preserve">concerning when a party has monopoly power. </w:t>
      </w:r>
      <w:r w:rsidR="00B0612E">
        <w:rPr>
          <w:i/>
        </w:rPr>
        <w:t>Image Technical Services, Inc. v. Eastman Kodak</w:t>
      </w:r>
      <w:r w:rsidR="007278FD">
        <w:t>, 125 F.3d 1195 (9th Cir. 1997)</w:t>
      </w:r>
      <w:r w:rsidR="00B0612E">
        <w:rPr>
          <w:i/>
        </w:rPr>
        <w:t xml:space="preserve">. Co. </w:t>
      </w:r>
      <w:r w:rsidR="00032A3B">
        <w:t>Acme</w:t>
      </w:r>
      <w:r w:rsidR="00CB4A99">
        <w:t xml:space="preserve"> does not have monopoly power, but it does have a large amount of market power</w:t>
      </w:r>
      <w:r w:rsidR="0000614B">
        <w:t xml:space="preserve"> (70% of </w:t>
      </w:r>
      <w:r w:rsidR="007A25C2">
        <w:t xml:space="preserve">the </w:t>
      </w:r>
      <w:r w:rsidR="0000614B">
        <w:t xml:space="preserve">U.S. cell phone market). Zeta also has large amounts of market power, albeit outside the United States. </w:t>
      </w:r>
      <w:r w:rsidR="00F9318B">
        <w:t xml:space="preserve">Acme </w:t>
      </w:r>
      <w:r w:rsidR="00A4717A">
        <w:t xml:space="preserve">and Zeta have decided to license to each other exclusively, and this refusal to deal with others does raise </w:t>
      </w:r>
      <w:r w:rsidR="0027503D">
        <w:t>antitrust</w:t>
      </w:r>
      <w:r w:rsidR="00A4717A">
        <w:t xml:space="preserve"> </w:t>
      </w:r>
      <w:r w:rsidR="000F727C">
        <w:t xml:space="preserve">concerns. </w:t>
      </w:r>
      <w:r w:rsidR="00C72766">
        <w:t>Additionally,</w:t>
      </w:r>
      <w:r w:rsidR="00FA139A">
        <w:t xml:space="preserve"> as they are working together to </w:t>
      </w:r>
      <w:r w:rsidR="00727DD2">
        <w:t xml:space="preserve">deny others license, a concerted refusal to deal </w:t>
      </w:r>
      <w:r w:rsidR="00B61DA0">
        <w:t>is</w:t>
      </w:r>
      <w:bookmarkStart w:id="2" w:name="_GoBack"/>
      <w:bookmarkEnd w:id="2"/>
      <w:r w:rsidR="00727DD2">
        <w:t xml:space="preserve"> a group boycott, a per se </w:t>
      </w:r>
      <w:r w:rsidR="0027503D">
        <w:t>antitrust</w:t>
      </w:r>
      <w:r w:rsidR="00727DD2">
        <w:t xml:space="preserve"> violation. </w:t>
      </w:r>
    </w:p>
    <w:sectPr w:rsidR="00FF4F82" w:rsidRPr="00BF34C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th guthrie" w:date="2019-03-27T14:51:00Z" w:initials="GSK">
    <w:p w14:paraId="4ADB6E63" w14:textId="51833D5C" w:rsidR="00560691" w:rsidRDefault="006F7701">
      <w:pPr>
        <w:pStyle w:val="CommentText"/>
      </w:pPr>
      <w:r>
        <w:rPr>
          <w:rStyle w:val="CommentReference"/>
        </w:rPr>
        <w:annotationRef/>
      </w:r>
      <w:r>
        <w:t xml:space="preserve">Would it be possible to avoid </w:t>
      </w:r>
      <w:r w:rsidR="00560691">
        <w:t>this if they granted broader licenses?</w:t>
      </w:r>
    </w:p>
  </w:comment>
  <w:comment w:id="1" w:author="seth guthrie" w:date="2019-03-27T16:33:00Z" w:initials="GSK">
    <w:p w14:paraId="58918A56" w14:textId="2CB023F0" w:rsidR="00056301" w:rsidRDefault="00056301">
      <w:pPr>
        <w:pStyle w:val="CommentText"/>
      </w:pPr>
      <w:r>
        <w:rPr>
          <w:rStyle w:val="CommentReference"/>
        </w:rPr>
        <w:annotationRef/>
      </w:r>
      <w:r>
        <w:t xml:space="preserve">Need Case Citation.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B6E63" w15:done="0"/>
  <w15:commentEx w15:paraId="58918A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DB6E63" w16cid:durableId="20460C6F"/>
  <w16cid:commentId w16cid:paraId="58918A56" w16cid:durableId="204624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1A96B" w14:textId="77777777" w:rsidR="00013969" w:rsidRDefault="00013969" w:rsidP="00916659">
      <w:pPr>
        <w:spacing w:after="0" w:line="240" w:lineRule="auto"/>
      </w:pPr>
      <w:r>
        <w:separator/>
      </w:r>
    </w:p>
  </w:endnote>
  <w:endnote w:type="continuationSeparator" w:id="0">
    <w:p w14:paraId="171C6EB1" w14:textId="77777777" w:rsidR="00013969" w:rsidRDefault="00013969" w:rsidP="0091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9352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0A2E4" w14:textId="173F8AC0" w:rsidR="00916659" w:rsidRDefault="009166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3A5D8" w14:textId="77777777" w:rsidR="00916659" w:rsidRDefault="00916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9AF78" w14:textId="77777777" w:rsidR="00013969" w:rsidRDefault="00013969" w:rsidP="00916659">
      <w:pPr>
        <w:spacing w:after="0" w:line="240" w:lineRule="auto"/>
      </w:pPr>
      <w:r>
        <w:separator/>
      </w:r>
    </w:p>
  </w:footnote>
  <w:footnote w:type="continuationSeparator" w:id="0">
    <w:p w14:paraId="5B2071CB" w14:textId="77777777" w:rsidR="00013969" w:rsidRDefault="00013969" w:rsidP="00916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CB10" w14:textId="327BB99F" w:rsidR="00916659" w:rsidRDefault="00916659">
    <w:pPr>
      <w:pStyle w:val="Header"/>
    </w:pPr>
    <w:r>
      <w:t>G40673027</w:t>
    </w:r>
    <w:r>
      <w:tab/>
    </w:r>
    <w:r w:rsidR="00560AEB">
      <w:t>Drafting Assignment B</w:t>
    </w:r>
    <w:r>
      <w:tab/>
    </w:r>
    <w:r w:rsidR="00096AAC">
      <w:fldChar w:fldCharType="begin"/>
    </w:r>
    <w:r w:rsidR="00096AAC">
      <w:instrText xml:space="preserve"> DATE \@ "M/d/yyyy" </w:instrText>
    </w:r>
    <w:r w:rsidR="00096AAC">
      <w:fldChar w:fldCharType="separate"/>
    </w:r>
    <w:r w:rsidR="00295D32">
      <w:rPr>
        <w:noProof/>
      </w:rPr>
      <w:t>3/28/2019</w:t>
    </w:r>
    <w:r w:rsidR="00096AA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5CFD"/>
    <w:multiLevelType w:val="hybridMultilevel"/>
    <w:tmpl w:val="724E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6118"/>
    <w:multiLevelType w:val="hybridMultilevel"/>
    <w:tmpl w:val="724E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th guthrie">
    <w15:presenceInfo w15:providerId="Windows Live" w15:userId="02d674730e27a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02"/>
    <w:rsid w:val="00005352"/>
    <w:rsid w:val="0000614B"/>
    <w:rsid w:val="00010851"/>
    <w:rsid w:val="00011E6A"/>
    <w:rsid w:val="00013969"/>
    <w:rsid w:val="0001754D"/>
    <w:rsid w:val="0002021C"/>
    <w:rsid w:val="00023D09"/>
    <w:rsid w:val="00031D2C"/>
    <w:rsid w:val="00032A3B"/>
    <w:rsid w:val="00047DFD"/>
    <w:rsid w:val="00050530"/>
    <w:rsid w:val="00056301"/>
    <w:rsid w:val="00067BA2"/>
    <w:rsid w:val="00075DE7"/>
    <w:rsid w:val="00080438"/>
    <w:rsid w:val="0008329A"/>
    <w:rsid w:val="00096AAC"/>
    <w:rsid w:val="000A1A1D"/>
    <w:rsid w:val="000A291D"/>
    <w:rsid w:val="000A3F2C"/>
    <w:rsid w:val="000A4191"/>
    <w:rsid w:val="000B0082"/>
    <w:rsid w:val="000C6080"/>
    <w:rsid w:val="000D171F"/>
    <w:rsid w:val="000D7780"/>
    <w:rsid w:val="000E158B"/>
    <w:rsid w:val="000E4BBE"/>
    <w:rsid w:val="000F727C"/>
    <w:rsid w:val="00101A63"/>
    <w:rsid w:val="00104261"/>
    <w:rsid w:val="00104F0C"/>
    <w:rsid w:val="00105858"/>
    <w:rsid w:val="00126FCA"/>
    <w:rsid w:val="00146381"/>
    <w:rsid w:val="00151954"/>
    <w:rsid w:val="00156E5A"/>
    <w:rsid w:val="00167BF2"/>
    <w:rsid w:val="001739E3"/>
    <w:rsid w:val="00175F4C"/>
    <w:rsid w:val="00182B0B"/>
    <w:rsid w:val="00182D38"/>
    <w:rsid w:val="00185B72"/>
    <w:rsid w:val="00192ED8"/>
    <w:rsid w:val="00197931"/>
    <w:rsid w:val="001A017B"/>
    <w:rsid w:val="001A1EB9"/>
    <w:rsid w:val="001B6082"/>
    <w:rsid w:val="001C631A"/>
    <w:rsid w:val="001E549F"/>
    <w:rsid w:val="001E554C"/>
    <w:rsid w:val="001F31EA"/>
    <w:rsid w:val="0020295C"/>
    <w:rsid w:val="002078A8"/>
    <w:rsid w:val="002117C8"/>
    <w:rsid w:val="0021785F"/>
    <w:rsid w:val="002243A6"/>
    <w:rsid w:val="00235805"/>
    <w:rsid w:val="00254DAB"/>
    <w:rsid w:val="00255A76"/>
    <w:rsid w:val="0026223E"/>
    <w:rsid w:val="00270A2C"/>
    <w:rsid w:val="0027503D"/>
    <w:rsid w:val="002752EC"/>
    <w:rsid w:val="0027695C"/>
    <w:rsid w:val="002913F0"/>
    <w:rsid w:val="002944CD"/>
    <w:rsid w:val="00295D32"/>
    <w:rsid w:val="00297ADA"/>
    <w:rsid w:val="002A2D7A"/>
    <w:rsid w:val="002B2FF5"/>
    <w:rsid w:val="002B46F7"/>
    <w:rsid w:val="002C0268"/>
    <w:rsid w:val="002D4FFE"/>
    <w:rsid w:val="002E6CD8"/>
    <w:rsid w:val="002F7668"/>
    <w:rsid w:val="00300369"/>
    <w:rsid w:val="0031624E"/>
    <w:rsid w:val="003202FD"/>
    <w:rsid w:val="00335F8B"/>
    <w:rsid w:val="003678B6"/>
    <w:rsid w:val="00367FD2"/>
    <w:rsid w:val="00374AD2"/>
    <w:rsid w:val="0038724D"/>
    <w:rsid w:val="00391937"/>
    <w:rsid w:val="0039235B"/>
    <w:rsid w:val="003950E6"/>
    <w:rsid w:val="00396B11"/>
    <w:rsid w:val="00397B57"/>
    <w:rsid w:val="003A01C6"/>
    <w:rsid w:val="003A6FC4"/>
    <w:rsid w:val="003B2152"/>
    <w:rsid w:val="003B3519"/>
    <w:rsid w:val="003B36A7"/>
    <w:rsid w:val="003B4177"/>
    <w:rsid w:val="003B460F"/>
    <w:rsid w:val="003C2DFC"/>
    <w:rsid w:val="003E05D1"/>
    <w:rsid w:val="003F4134"/>
    <w:rsid w:val="003F564E"/>
    <w:rsid w:val="00400C48"/>
    <w:rsid w:val="00403820"/>
    <w:rsid w:val="0040616E"/>
    <w:rsid w:val="00413333"/>
    <w:rsid w:val="00424A5D"/>
    <w:rsid w:val="00434D48"/>
    <w:rsid w:val="00436A43"/>
    <w:rsid w:val="00442102"/>
    <w:rsid w:val="004673D0"/>
    <w:rsid w:val="0047245D"/>
    <w:rsid w:val="004726B1"/>
    <w:rsid w:val="00474C08"/>
    <w:rsid w:val="00485232"/>
    <w:rsid w:val="00493DEE"/>
    <w:rsid w:val="004A702E"/>
    <w:rsid w:val="004B5ED6"/>
    <w:rsid w:val="004C2F9A"/>
    <w:rsid w:val="004D0B5A"/>
    <w:rsid w:val="004D1965"/>
    <w:rsid w:val="004D7CDE"/>
    <w:rsid w:val="004E439D"/>
    <w:rsid w:val="004E6BEF"/>
    <w:rsid w:val="00513B45"/>
    <w:rsid w:val="00522DDD"/>
    <w:rsid w:val="00525340"/>
    <w:rsid w:val="00532138"/>
    <w:rsid w:val="005342A5"/>
    <w:rsid w:val="0054160D"/>
    <w:rsid w:val="00541C76"/>
    <w:rsid w:val="00547C24"/>
    <w:rsid w:val="00547D06"/>
    <w:rsid w:val="00552972"/>
    <w:rsid w:val="00555023"/>
    <w:rsid w:val="00556B20"/>
    <w:rsid w:val="00560691"/>
    <w:rsid w:val="00560AEB"/>
    <w:rsid w:val="005633B0"/>
    <w:rsid w:val="00577CE8"/>
    <w:rsid w:val="005857A8"/>
    <w:rsid w:val="00586B10"/>
    <w:rsid w:val="00587A0B"/>
    <w:rsid w:val="005A0138"/>
    <w:rsid w:val="005A05DF"/>
    <w:rsid w:val="005A2ACA"/>
    <w:rsid w:val="005A579C"/>
    <w:rsid w:val="005B28DA"/>
    <w:rsid w:val="005B57AE"/>
    <w:rsid w:val="005C24C8"/>
    <w:rsid w:val="005D7827"/>
    <w:rsid w:val="005E4A8C"/>
    <w:rsid w:val="005E5F4A"/>
    <w:rsid w:val="005F0AF3"/>
    <w:rsid w:val="005F3B38"/>
    <w:rsid w:val="00623967"/>
    <w:rsid w:val="00635467"/>
    <w:rsid w:val="0065475E"/>
    <w:rsid w:val="00660886"/>
    <w:rsid w:val="00664F11"/>
    <w:rsid w:val="0066713E"/>
    <w:rsid w:val="0068745B"/>
    <w:rsid w:val="006973DB"/>
    <w:rsid w:val="006A0529"/>
    <w:rsid w:val="006C0005"/>
    <w:rsid w:val="006D64BB"/>
    <w:rsid w:val="006F5DF0"/>
    <w:rsid w:val="006F7701"/>
    <w:rsid w:val="0070409E"/>
    <w:rsid w:val="00713179"/>
    <w:rsid w:val="007173C2"/>
    <w:rsid w:val="007278FD"/>
    <w:rsid w:val="00727DD2"/>
    <w:rsid w:val="00740749"/>
    <w:rsid w:val="00747F98"/>
    <w:rsid w:val="00755248"/>
    <w:rsid w:val="00757FCF"/>
    <w:rsid w:val="00762535"/>
    <w:rsid w:val="00765B80"/>
    <w:rsid w:val="0077280F"/>
    <w:rsid w:val="00773123"/>
    <w:rsid w:val="00794FFA"/>
    <w:rsid w:val="007A1DB7"/>
    <w:rsid w:val="007A1E50"/>
    <w:rsid w:val="007A25C2"/>
    <w:rsid w:val="007A294D"/>
    <w:rsid w:val="007C418B"/>
    <w:rsid w:val="007C5996"/>
    <w:rsid w:val="007D127B"/>
    <w:rsid w:val="007D36F0"/>
    <w:rsid w:val="007D655B"/>
    <w:rsid w:val="007E2A82"/>
    <w:rsid w:val="007E2B3B"/>
    <w:rsid w:val="007E6914"/>
    <w:rsid w:val="007E751B"/>
    <w:rsid w:val="007F66E9"/>
    <w:rsid w:val="008061B0"/>
    <w:rsid w:val="00825CB3"/>
    <w:rsid w:val="00827FEE"/>
    <w:rsid w:val="0083316C"/>
    <w:rsid w:val="0083363E"/>
    <w:rsid w:val="0083693D"/>
    <w:rsid w:val="00843E49"/>
    <w:rsid w:val="00854A80"/>
    <w:rsid w:val="008657DE"/>
    <w:rsid w:val="008662FC"/>
    <w:rsid w:val="00866567"/>
    <w:rsid w:val="00870016"/>
    <w:rsid w:val="00870D9F"/>
    <w:rsid w:val="00871FDC"/>
    <w:rsid w:val="00880555"/>
    <w:rsid w:val="008814AA"/>
    <w:rsid w:val="008945D3"/>
    <w:rsid w:val="008A4D9C"/>
    <w:rsid w:val="008A5D4A"/>
    <w:rsid w:val="008B093C"/>
    <w:rsid w:val="008C280B"/>
    <w:rsid w:val="008E29E1"/>
    <w:rsid w:val="009018C2"/>
    <w:rsid w:val="00902A35"/>
    <w:rsid w:val="00911D3E"/>
    <w:rsid w:val="009161C8"/>
    <w:rsid w:val="00916659"/>
    <w:rsid w:val="0091748B"/>
    <w:rsid w:val="009217C4"/>
    <w:rsid w:val="00923E92"/>
    <w:rsid w:val="00931E65"/>
    <w:rsid w:val="009336C5"/>
    <w:rsid w:val="00937C00"/>
    <w:rsid w:val="009424F4"/>
    <w:rsid w:val="00942F4E"/>
    <w:rsid w:val="00950425"/>
    <w:rsid w:val="00965680"/>
    <w:rsid w:val="00965AF0"/>
    <w:rsid w:val="00995E27"/>
    <w:rsid w:val="009A6E9B"/>
    <w:rsid w:val="009A709F"/>
    <w:rsid w:val="009A7F35"/>
    <w:rsid w:val="009B44DB"/>
    <w:rsid w:val="009B5F3F"/>
    <w:rsid w:val="009C0C80"/>
    <w:rsid w:val="009C1815"/>
    <w:rsid w:val="009E4592"/>
    <w:rsid w:val="009E69B4"/>
    <w:rsid w:val="009F13A3"/>
    <w:rsid w:val="009F5C0B"/>
    <w:rsid w:val="00A12577"/>
    <w:rsid w:val="00A269E1"/>
    <w:rsid w:val="00A42213"/>
    <w:rsid w:val="00A451B6"/>
    <w:rsid w:val="00A4717A"/>
    <w:rsid w:val="00A5286E"/>
    <w:rsid w:val="00A5329F"/>
    <w:rsid w:val="00A57DC9"/>
    <w:rsid w:val="00A64531"/>
    <w:rsid w:val="00A71FFD"/>
    <w:rsid w:val="00A73B8A"/>
    <w:rsid w:val="00A74228"/>
    <w:rsid w:val="00A80C20"/>
    <w:rsid w:val="00A851C9"/>
    <w:rsid w:val="00AA3574"/>
    <w:rsid w:val="00AA5347"/>
    <w:rsid w:val="00AB0DAC"/>
    <w:rsid w:val="00AB321E"/>
    <w:rsid w:val="00AB40CE"/>
    <w:rsid w:val="00AB6456"/>
    <w:rsid w:val="00AD3703"/>
    <w:rsid w:val="00AD691F"/>
    <w:rsid w:val="00AD79E8"/>
    <w:rsid w:val="00AE448A"/>
    <w:rsid w:val="00AE5466"/>
    <w:rsid w:val="00AE55B1"/>
    <w:rsid w:val="00AF7A58"/>
    <w:rsid w:val="00B02968"/>
    <w:rsid w:val="00B0612E"/>
    <w:rsid w:val="00B15997"/>
    <w:rsid w:val="00B255DA"/>
    <w:rsid w:val="00B2652C"/>
    <w:rsid w:val="00B27A0C"/>
    <w:rsid w:val="00B31072"/>
    <w:rsid w:val="00B40ECB"/>
    <w:rsid w:val="00B41827"/>
    <w:rsid w:val="00B41A89"/>
    <w:rsid w:val="00B61DA0"/>
    <w:rsid w:val="00B706A6"/>
    <w:rsid w:val="00B70C39"/>
    <w:rsid w:val="00B817EF"/>
    <w:rsid w:val="00B84447"/>
    <w:rsid w:val="00B955BF"/>
    <w:rsid w:val="00BB4F95"/>
    <w:rsid w:val="00BD06C8"/>
    <w:rsid w:val="00BD1012"/>
    <w:rsid w:val="00BD250B"/>
    <w:rsid w:val="00BD4CC5"/>
    <w:rsid w:val="00BE7F00"/>
    <w:rsid w:val="00BF34C3"/>
    <w:rsid w:val="00BF7BE9"/>
    <w:rsid w:val="00C05F6D"/>
    <w:rsid w:val="00C111C0"/>
    <w:rsid w:val="00C21085"/>
    <w:rsid w:val="00C23202"/>
    <w:rsid w:val="00C36143"/>
    <w:rsid w:val="00C506C5"/>
    <w:rsid w:val="00C51C09"/>
    <w:rsid w:val="00C55049"/>
    <w:rsid w:val="00C55766"/>
    <w:rsid w:val="00C70B7A"/>
    <w:rsid w:val="00C72766"/>
    <w:rsid w:val="00C76442"/>
    <w:rsid w:val="00C82B9C"/>
    <w:rsid w:val="00C84B72"/>
    <w:rsid w:val="00C85A78"/>
    <w:rsid w:val="00C909AF"/>
    <w:rsid w:val="00C91705"/>
    <w:rsid w:val="00C92188"/>
    <w:rsid w:val="00C93B68"/>
    <w:rsid w:val="00C951EB"/>
    <w:rsid w:val="00CB28F5"/>
    <w:rsid w:val="00CB47B8"/>
    <w:rsid w:val="00CB4A99"/>
    <w:rsid w:val="00CC4F1C"/>
    <w:rsid w:val="00CD04F9"/>
    <w:rsid w:val="00CD0C00"/>
    <w:rsid w:val="00CD62CE"/>
    <w:rsid w:val="00CE1242"/>
    <w:rsid w:val="00CF5504"/>
    <w:rsid w:val="00D07886"/>
    <w:rsid w:val="00D22247"/>
    <w:rsid w:val="00D30219"/>
    <w:rsid w:val="00D30C3A"/>
    <w:rsid w:val="00D47500"/>
    <w:rsid w:val="00D521F2"/>
    <w:rsid w:val="00D53A09"/>
    <w:rsid w:val="00D54B6C"/>
    <w:rsid w:val="00D6275F"/>
    <w:rsid w:val="00D64A79"/>
    <w:rsid w:val="00D656E2"/>
    <w:rsid w:val="00D727A8"/>
    <w:rsid w:val="00D742D2"/>
    <w:rsid w:val="00D83CC9"/>
    <w:rsid w:val="00D8690D"/>
    <w:rsid w:val="00D96912"/>
    <w:rsid w:val="00DA1E1B"/>
    <w:rsid w:val="00DA2408"/>
    <w:rsid w:val="00DA6BC8"/>
    <w:rsid w:val="00DC39AC"/>
    <w:rsid w:val="00DC3F75"/>
    <w:rsid w:val="00DD2179"/>
    <w:rsid w:val="00DE353A"/>
    <w:rsid w:val="00DF08C8"/>
    <w:rsid w:val="00DF0EB8"/>
    <w:rsid w:val="00E043C5"/>
    <w:rsid w:val="00E12062"/>
    <w:rsid w:val="00E14651"/>
    <w:rsid w:val="00E326E9"/>
    <w:rsid w:val="00E358F2"/>
    <w:rsid w:val="00E42975"/>
    <w:rsid w:val="00E52024"/>
    <w:rsid w:val="00E90EC9"/>
    <w:rsid w:val="00E94E81"/>
    <w:rsid w:val="00EA46E0"/>
    <w:rsid w:val="00EB13F7"/>
    <w:rsid w:val="00EC3B55"/>
    <w:rsid w:val="00EC58D8"/>
    <w:rsid w:val="00ED4147"/>
    <w:rsid w:val="00EF6622"/>
    <w:rsid w:val="00F10F1F"/>
    <w:rsid w:val="00F175ED"/>
    <w:rsid w:val="00F330C1"/>
    <w:rsid w:val="00F361A8"/>
    <w:rsid w:val="00F47F65"/>
    <w:rsid w:val="00F64789"/>
    <w:rsid w:val="00F74FCE"/>
    <w:rsid w:val="00F835CD"/>
    <w:rsid w:val="00F91579"/>
    <w:rsid w:val="00F92330"/>
    <w:rsid w:val="00F9318B"/>
    <w:rsid w:val="00FA139A"/>
    <w:rsid w:val="00FB0C9E"/>
    <w:rsid w:val="00FB15D0"/>
    <w:rsid w:val="00FB463E"/>
    <w:rsid w:val="00FB637C"/>
    <w:rsid w:val="00FC227F"/>
    <w:rsid w:val="00FC731E"/>
    <w:rsid w:val="00FC77AE"/>
    <w:rsid w:val="00FE3C85"/>
    <w:rsid w:val="00FE4265"/>
    <w:rsid w:val="00FE7FE3"/>
    <w:rsid w:val="00FF3AE7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1693"/>
  <w15:chartTrackingRefBased/>
  <w15:docId w15:val="{B366D41C-1370-4F74-B850-C241E2BD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3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5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872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1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2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24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24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A52F-27B5-4808-9002-443D772F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Seth K</dc:creator>
  <cp:keywords/>
  <dc:description/>
  <cp:lastModifiedBy>Guthrie, Seth K</cp:lastModifiedBy>
  <cp:revision>382</cp:revision>
  <dcterms:created xsi:type="dcterms:W3CDTF">2019-03-19T15:14:00Z</dcterms:created>
  <dcterms:modified xsi:type="dcterms:W3CDTF">2019-03-28T05:40:00Z</dcterms:modified>
</cp:coreProperties>
</file>