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200" w:after="60" w:line="260" w:lineRule="auto"/>
      </w:pPr>
      <w:r>
        <w:rPr>
          <w:b/>
          <w:color w:val="8B1C1C"/>
          <w:sz w:val="32"/>
          <w:szCs w:val="32"/>
        </w:rPr>
        <w:t xml:space="preserve">CITIZENS BANK PLC (CZB)</w:t>
      </w:r>
    </w:p>
    <w:p>
      <w:pPr>
        <w:jc w:val="center"/>
        <w:spacing w:before="0" w:after="120" w:line="260" w:lineRule="auto"/>
      </w:pPr>
      <w:r>
        <w:rPr>
          <w:b/>
          <w:color w:val="0A3871"/>
          <w:sz w:val="22"/>
          <w:szCs w:val="22"/>
        </w:rPr>
        <w:t xml:space="preserve">CloudNet Corporate Dynamic Internet Banking Platform</w:t>
      </w:r>
    </w:p>
    <w:p>
      <w:pPr>
        <w:jc w:val="center"/>
        <w:spacing w:before="0" w:after="80" w:line="260" w:lineRule="auto"/>
      </w:pPr>
      <w:r>
        <w:rPr>
          <w:b/>
          <w:color w:val="1E3A8A"/>
          <w:sz w:val="28"/>
          <w:szCs w:val="28"/>
        </w:rPr>
        <w:t xml:space="preserve">CORPORATE USER OPERATIONS MANUAL</w:t>
      </w:r>
    </w:p>
    <w:p>
      <w:pPr>
        <w:jc w:val="center"/>
        <w:spacing w:before="0" w:after="240" w:line="260" w:lineRule="auto"/>
      </w:pPr>
      <w:r>
        <w:rPr>
          <w:i/>
          <w:color w:val="64748B"/>
          <w:sz w:val="19"/>
          <w:szCs w:val="19"/>
        </w:rPr>
        <w:t xml:space="preserve">Standard Operating Procedures, Field Specifications &amp; Procedural Guide for Corporate Operators</w:t>
      </w:r>
    </w:p>
    <w:p>
      <w:pPr>
        <w:pBdr>
          <w:bottom w:val="single" w:sz="8" w:space="1" w:color="E2E8F0"/>
        </w:pBdr>
        <w:spacing w:before="120" w:after="160"/>
      </w:pPr>
    </w:p>
    <w:tbl>
      <w:tblPr>
        <w:tblW w:w="936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00" w:type="dxa"/>
          <w:left w:w="140" w:type="dxa"/>
          <w:bottom w:w="100" w:type="dxa"/>
          <w:right w:w="140" w:type="dxa"/>
        </w:tblCellMar>
      </w:tblPr>
      <w:tblGrid>
        <w:gridCol w:w="2800"/>
        <w:gridCol w:w="6560"/>
      </w:tblGrid>
      <w:tr>
        <w:trPr>
          <w:tblHeader/>
        </w:trPr>
        <w:tc>
          <w:tcPr>
            <w:tcW w:w="2800" w:type="dxa"/>
            <w:shd w:val="clear" w:color="auto" w:fill="0A3871"/>
          </w:tcPr>
          <w:p>
            <w:pPr>
              <w:spacing w:before="60" w:after="60"/>
            </w:pPr>
            <w:r>
              <w:rPr>
                <w:b/>
                <w:color w:val="FFFFFF"/>
                <w:sz w:val="20"/>
                <w:szCs w:val="20"/>
              </w:rPr>
              <w:t>Parameter</w:t>
            </w:r>
          </w:p>
        </w:tc>
        <w:tc>
          <w:tcPr>
            <w:tcW w:w="6560" w:type="dxa"/>
            <w:shd w:val="clear" w:color="auto" w:fill="0A3871"/>
          </w:tcPr>
          <w:p>
            <w:pPr>
              <w:spacing w:before="60" w:after="60"/>
            </w:pPr>
            <w:r>
              <w:rPr>
                <w:b/>
                <w:color w:val="FFFFFF"/>
                <w:sz w:val="20"/>
                <w:szCs w:val="20"/>
              </w:rPr>
              <w:t>Operational Details</w:t>
            </w:r>
          </w:p>
        </w:tc>
      </w:tr>
      <w:tr>
        <w:tc>
          <w:tcPr>
            <w:tcW w:w="2800" w:type="dxa"/>
            <w:shd w:val="clear" w:color="auto" w:fill="FFFFFF"/>
          </w:tcPr>
          <w:p>
            <w:pPr>
              <w:spacing w:before="40" w:after="40" w:line="220" w:lineRule="auto"/>
            </w:pPr>
            <w:r>
              <w:rPr>
                <w:color w:val="1F2937"/>
                <w:sz w:val="19"/>
                <w:szCs w:val="19"/>
              </w:rPr>
              <w:t>Financial Institution</w:t>
            </w:r>
          </w:p>
        </w:tc>
        <w:tc>
          <w:tcPr>
            <w:tcW w:w="6560" w:type="dxa"/>
            <w:shd w:val="clear" w:color="auto" w:fill="FFFFFF"/>
          </w:tcPr>
          <w:p>
            <w:pPr>
              <w:spacing w:before="40" w:after="40" w:line="220" w:lineRule="auto"/>
            </w:pPr>
            <w:r>
              <w:rPr>
                <w:color w:val="1F2937"/>
                <w:sz w:val="19"/>
                <w:szCs w:val="19"/>
              </w:rPr>
              <w:t>Citizens Bank PLC (CZB)</w:t>
            </w:r>
          </w:p>
        </w:tc>
      </w:tr>
      <w:tr>
        <w:tc>
          <w:tcPr>
            <w:tcW w:w="2800" w:type="dxa"/>
            <w:shd w:val="clear" w:color="auto" w:fill="F8FAFC"/>
          </w:tcPr>
          <w:p>
            <w:pPr>
              <w:spacing w:before="40" w:after="40" w:line="220" w:lineRule="auto"/>
            </w:pPr>
            <w:r>
              <w:rPr>
                <w:color w:val="1F2937"/>
                <w:sz w:val="19"/>
                <w:szCs w:val="19"/>
              </w:rPr>
              <w:t>Platform Engine</w:t>
            </w:r>
          </w:p>
        </w:tc>
        <w:tc>
          <w:tcPr>
            <w:tcW w:w="6560" w:type="dxa"/>
            <w:shd w:val="clear" w:color="auto" w:fill="F8FAFC"/>
          </w:tcPr>
          <w:p>
            <w:pPr>
              <w:spacing w:before="40" w:after="40" w:line="220" w:lineRule="auto"/>
            </w:pPr>
            <w:r>
              <w:rPr>
                <w:color w:val="1F2937"/>
                <w:sz w:val="19"/>
                <w:szCs w:val="19"/>
              </w:rPr>
              <w:t>CloudNet Corporate Dynamic Internet Banking (Angular 15 SPA)</w:t>
            </w:r>
          </w:p>
        </w:tc>
      </w:tr>
      <w:tr>
        <w:tc>
          <w:tcPr>
            <w:tcW w:w="2800" w:type="dxa"/>
            <w:shd w:val="clear" w:color="auto" w:fill="FFFFFF"/>
          </w:tcPr>
          <w:p>
            <w:pPr>
              <w:spacing w:before="40" w:after="40" w:line="220" w:lineRule="auto"/>
            </w:pPr>
            <w:r>
              <w:rPr>
                <w:color w:val="1F2937"/>
                <w:sz w:val="19"/>
                <w:szCs w:val="19"/>
              </w:rPr>
              <w:t>Portal UAT / Staging URL</w:t>
            </w:r>
          </w:p>
        </w:tc>
        <w:tc>
          <w:tcPr>
            <w:tcW w:w="6560" w:type="dxa"/>
            <w:shd w:val="clear" w:color="auto" w:fill="FFFFFF"/>
          </w:tcPr>
          <w:p>
            <w:pPr>
              <w:spacing w:before="40" w:after="40" w:line="220" w:lineRule="auto"/>
            </w:pPr>
            <w:r>
              <w:rPr>
                <w:color w:val="1F2937"/>
                <w:sz w:val="19"/>
                <w:szCs w:val="19"/>
              </w:rPr>
              <w:t>https://ibanktest.citizensbankbd.com/CorporateCBPLCUAT/login</w:t>
            </w:r>
          </w:p>
        </w:tc>
      </w:tr>
      <w:tr>
        <w:tc>
          <w:tcPr>
            <w:tcW w:w="2800" w:type="dxa"/>
            <w:shd w:val="clear" w:color="auto" w:fill="F8FAFC"/>
          </w:tcPr>
          <w:p>
            <w:pPr>
              <w:spacing w:before="40" w:after="40" w:line="220" w:lineRule="auto"/>
            </w:pPr>
            <w:r>
              <w:rPr>
                <w:color w:val="1F2937"/>
                <w:sz w:val="19"/>
                <w:szCs w:val="19"/>
              </w:rPr>
              <w:t>Production Access URL</w:t>
            </w:r>
          </w:p>
        </w:tc>
        <w:tc>
          <w:tcPr>
            <w:tcW w:w="6560" w:type="dxa"/>
            <w:shd w:val="clear" w:color="auto" w:fill="F8FAFC"/>
          </w:tcPr>
          <w:p>
            <w:pPr>
              <w:spacing w:before="40" w:after="40" w:line="220" w:lineRule="auto"/>
            </w:pPr>
            <w:r>
              <w:rPr>
                <w:color w:val="1F2937"/>
                <w:sz w:val="19"/>
                <w:szCs w:val="19"/>
              </w:rPr>
              <w:t>https://corporate.citizensbankbd.com/ (or /corporate/)</w:t>
            </w:r>
          </w:p>
        </w:tc>
      </w:tr>
      <w:tr>
        <w:tc>
          <w:tcPr>
            <w:tcW w:w="2800" w:type="dxa"/>
            <w:shd w:val="clear" w:color="auto" w:fill="FFFFFF"/>
          </w:tcPr>
          <w:p>
            <w:pPr>
              <w:spacing w:before="40" w:after="40" w:line="220" w:lineRule="auto"/>
            </w:pPr>
            <w:r>
              <w:rPr>
                <w:color w:val="1F2937"/>
                <w:sz w:val="19"/>
                <w:szCs w:val="19"/>
              </w:rPr>
              <w:t>Client Reference Account</w:t>
            </w:r>
          </w:p>
        </w:tc>
        <w:tc>
          <w:tcPr>
            <w:tcW w:w="6560" w:type="dxa"/>
            <w:shd w:val="clear" w:color="auto" w:fill="FFFFFF"/>
          </w:tcPr>
          <w:p>
            <w:pPr>
              <w:spacing w:before="40" w:after="40" w:line="220" w:lineRule="auto"/>
            </w:pPr>
            <w:r>
              <w:rPr>
                <w:color w:val="1F2937"/>
                <w:sz w:val="19"/>
                <w:szCs w:val="19"/>
              </w:rPr>
              <w:t>ttml2023 (Corporate Institutional Client Profile)</w:t>
            </w:r>
          </w:p>
        </w:tc>
      </w:tr>
      <w:tr>
        <w:tc>
          <w:tcPr>
            <w:tcW w:w="2800" w:type="dxa"/>
            <w:shd w:val="clear" w:color="auto" w:fill="F8FAFC"/>
          </w:tcPr>
          <w:p>
            <w:pPr>
              <w:spacing w:before="40" w:after="40" w:line="220" w:lineRule="auto"/>
            </w:pPr>
            <w:r>
              <w:rPr>
                <w:color w:val="1F2937"/>
                <w:sz w:val="19"/>
                <w:szCs w:val="19"/>
              </w:rPr>
              <w:t>Initial Access Credential</w:t>
            </w:r>
          </w:p>
        </w:tc>
        <w:tc>
          <w:tcPr>
            <w:tcW w:w="6560" w:type="dxa"/>
            <w:shd w:val="clear" w:color="auto" w:fill="F8FAFC"/>
          </w:tcPr>
          <w:p>
            <w:pPr>
              <w:spacing w:before="40" w:after="40" w:line="220" w:lineRule="auto"/>
            </w:pPr>
            <w:r>
              <w:rPr>
                <w:color w:val="1F2937"/>
                <w:sz w:val="19"/>
                <w:szCs w:val="19"/>
              </w:rPr>
              <w:t>User ID: ttml2023  |  Password: 1 (Requires Mandatory Change)</w:t>
            </w:r>
          </w:p>
        </w:tc>
      </w:tr>
      <w:tr>
        <w:tc>
          <w:tcPr>
            <w:tcW w:w="2800" w:type="dxa"/>
            <w:shd w:val="clear" w:color="auto" w:fill="FFFFFF"/>
          </w:tcPr>
          <w:p>
            <w:pPr>
              <w:spacing w:before="40" w:after="40" w:line="220" w:lineRule="auto"/>
            </w:pPr>
            <w:r>
              <w:rPr>
                <w:color w:val="1F2937"/>
                <w:sz w:val="19"/>
                <w:szCs w:val="19"/>
              </w:rPr>
              <w:t>Document Scope</w:t>
            </w:r>
          </w:p>
        </w:tc>
        <w:tc>
          <w:tcPr>
            <w:tcW w:w="6560" w:type="dxa"/>
            <w:shd w:val="clear" w:color="auto" w:fill="FFFFFF"/>
          </w:tcPr>
          <w:p>
            <w:pPr>
              <w:spacing w:before="40" w:after="40" w:line="220" w:lineRule="auto"/>
            </w:pPr>
            <w:r>
              <w:rPr>
                <w:color w:val="1F2937"/>
                <w:sz w:val="19"/>
                <w:szCs w:val="19"/>
              </w:rPr>
              <w:t>Complete End-to-End User Operations Manual with Screen Walkthroughs</w:t>
            </w:r>
          </w:p>
        </w:tc>
      </w:tr>
      <w:tr>
        <w:tc>
          <w:tcPr>
            <w:tcW w:w="2800" w:type="dxa"/>
            <w:shd w:val="clear" w:color="auto" w:fill="F8FAFC"/>
          </w:tcPr>
          <w:p>
            <w:pPr>
              <w:spacing w:before="40" w:after="40" w:line="220" w:lineRule="auto"/>
            </w:pPr>
            <w:r>
              <w:rPr>
                <w:color w:val="1F2937"/>
                <w:sz w:val="19"/>
                <w:szCs w:val="19"/>
              </w:rPr>
              <w:t>Document Version</w:t>
            </w:r>
          </w:p>
        </w:tc>
        <w:tc>
          <w:tcPr>
            <w:tcW w:w="6560" w:type="dxa"/>
            <w:shd w:val="clear" w:color="auto" w:fill="F8FAFC"/>
          </w:tcPr>
          <w:p>
            <w:pPr>
              <w:spacing w:before="40" w:after="40" w:line="220" w:lineRule="auto"/>
            </w:pPr>
            <w:r>
              <w:rPr>
                <w:color w:val="1F2937"/>
                <w:sz w:val="19"/>
                <w:szCs w:val="19"/>
              </w:rPr>
              <w:t>Version 2.0 (Enterprise Release with UI Screenshots)</w:t>
            </w:r>
          </w:p>
        </w:tc>
      </w:tr>
      <w:tr>
        <w:tc>
          <w:tcPr>
            <w:tcW w:w="2800" w:type="dxa"/>
            <w:shd w:val="clear" w:color="auto" w:fill="FFFFFF"/>
          </w:tcPr>
          <w:p>
            <w:pPr>
              <w:spacing w:before="40" w:after="40" w:line="220" w:lineRule="auto"/>
            </w:pPr>
            <w:r>
              <w:rPr>
                <w:color w:val="1F2937"/>
                <w:sz w:val="19"/>
                <w:szCs w:val="19"/>
              </w:rPr>
              <w:t>Corporate Banking Helpline</w:t>
            </w:r>
          </w:p>
        </w:tc>
        <w:tc>
          <w:tcPr>
            <w:tcW w:w="6560" w:type="dxa"/>
            <w:shd w:val="clear" w:color="auto" w:fill="FFFFFF"/>
          </w:tcPr>
          <w:p>
            <w:pPr>
              <w:spacing w:before="40" w:after="40" w:line="220" w:lineRule="auto"/>
            </w:pPr>
            <w:r>
              <w:rPr>
                <w:color w:val="1F2937"/>
                <w:sz w:val="19"/>
                <w:szCs w:val="19"/>
              </w:rPr>
              <w:t>16222 (24/7 Dedicated Corporate Helpdesk)</w:t>
            </w:r>
          </w:p>
        </w:tc>
      </w:tr>
      <w:tr>
        <w:tc>
          <w:tcPr>
            <w:tcW w:w="2800" w:type="dxa"/>
            <w:shd w:val="clear" w:color="auto" w:fill="F8FAFC"/>
          </w:tcPr>
          <w:p>
            <w:pPr>
              <w:spacing w:before="40" w:after="40" w:line="220" w:lineRule="auto"/>
            </w:pPr>
            <w:r>
              <w:rPr>
                <w:color w:val="1F2937"/>
                <w:sz w:val="19"/>
                <w:szCs w:val="19"/>
              </w:rPr>
              <w:t>Corporate Support Email</w:t>
            </w:r>
          </w:p>
        </w:tc>
        <w:tc>
          <w:tcPr>
            <w:tcW w:w="6560" w:type="dxa"/>
            <w:shd w:val="clear" w:color="auto" w:fill="F8FAFC"/>
          </w:tcPr>
          <w:p>
            <w:pPr>
              <w:spacing w:before="40" w:after="40" w:line="220" w:lineRule="auto"/>
            </w:pPr>
            <w:r>
              <w:rPr>
                <w:color w:val="1F2937"/>
                <w:sz w:val="19"/>
                <w:szCs w:val="19"/>
              </w:rPr>
              <w:t>corporate.support@citizensbankbd.com</w:t>
            </w:r>
          </w:p>
        </w:tc>
      </w:tr>
    </w:tbl>
    <w:p>
      <w:pPr>
        <w:jc w:val="left"/>
        <w:spacing w:before="0" w:after="120" w:line="260" w:lineRule="auto"/>
      </w:pPr>
      <w:r>
        <w:rPr>
          <w:color w:val="1F2937"/>
          <w:sz w:val="22"/>
          <w:szCs w:val="22"/>
        </w:rPr>
        <w:t xml:space="preserve"/>
      </w:r>
    </w:p>
    <w:tbl>
      <w:tblPr>
        <w:tblW w:w="9360" w:type="dxa"/>
        <w:tblBorders>
          <w:top w:val="none" w:sz="0" w:space="0" w:color="auto"/>
          <w:left w:val="single" w:sz="24" w:space="0" w:color="8B1C1C"/>
          <w:bottom w:val="none" w:sz="0" w:space="0" w:color="auto"/>
          <w:right w:val="none" w:sz="0" w:space="0" w:color="auto"/>
          <w:insideH w:val="none"/>
          <w:insideV w:val="none"/>
        </w:tblBorders>
        <w:tblCellMar>
          <w:top w:w="140" w:type="dxa"/>
          <w:left w:w="220" w:type="dxa"/>
          <w:bottom w:w="140" w:type="dxa"/>
          <w:right w:w="220" w:type="dxa"/>
        </w:tblCellMar>
      </w:tblPr>
      <w:tblGrid>
        <w:gridCol w:w="9360"/>
      </w:tblGrid>
      <w:tr>
        <w:tc>
          <w:tcPr>
            <w:tcW w:w="9360" w:type="dxa"/>
            <w:shd w:val="clear" w:color="auto" w:fill="FFF5F5"/>
          </w:tcPr>
          <w:p>
            <w:pPr>
              <w:spacing w:before="0" w:after="60"/>
            </w:pPr>
            <w:r>
              <w:rPr>
                <w:b/>
                <w:color w:val="8B1C1C"/>
                <w:sz w:val="20"/>
                <w:szCs w:val="20"/>
              </w:rPr>
              <w:t>[SECURITY NOTICE]  ENTERPRISE SECURITY &amp; GOVERNANCE ADVISORY</w:t>
            </w:r>
          </w:p>
          <w:p>
            <w:pPr>
              <w:spacing w:before="0" w:after="0" w:line="240" w:lineRule="auto"/>
            </w:pPr>
            <w:r>
              <w:rPr>
                <w:color w:val="334155"/>
                <w:sz w:val="21"/>
                <w:szCs w:val="21"/>
              </w:rPr>
              <w:t>This User Operations Manual is the property of Citizens Bank PLC. It details standard operating procedures for corporate cash management, bulk payroll, maker-checker authorization, and account administration. Corporate operators must strictly adhere to internal financial controls and never share login credentials, OTP codes, or security tokens.</w:t>
            </w:r>
          </w:p>
        </w:tc>
      </w:tr>
    </w:tbl>
    <w:p>
      <w:pPr>
        <w:jc w:val="left"/>
        <w:spacing w:before="0" w:after="120" w:line="260" w:lineRule="auto"/>
      </w:pPr>
      <w:r>
        <w:rPr>
          <w:color w:val="1F2937"/>
          <w:sz w:val="22"/>
          <w:szCs w:val="22"/>
        </w:rPr>
        <w:t xml:space="preserve"/>
      </w:r>
    </w:p>
    <w:p>
      <w:pPr>
        <w:pStyle w:val="Heading1"/>
        <w:spacing w:before="360" w:after="160"/>
      </w:pPr>
      <w:r>
        <w:br w:type="page"/>
      </w:r>
      <w:r>
        <w:rPr>
          <w:b/>
          <w:color w:val="0A3871"/>
          <w:sz w:val="34"/>
          <w:szCs w:val="34"/>
        </w:rPr>
        <w:t>Chapter 1: Platform Overview, Security Architecture &amp; Governance</w:t>
      </w:r>
    </w:p>
    <w:p>
      <w:pPr>
        <w:jc w:val="left"/>
        <w:spacing w:before="0" w:after="120" w:line="260" w:lineRule="auto"/>
      </w:pPr>
      <w:r>
        <w:rPr>
          <w:color w:val="1F2937"/>
          <w:sz w:val="22"/>
          <w:szCs w:val="22"/>
        </w:rPr>
        <w:t xml:space="preserve">Welcome to the Citizens Bank PLC CloudNet Corporate Dynamic Internet Banking Platform. Engineered specifically for corporate institutions, commercial enterprises, manufacturing conglomerates, government agencies, and educational institutions, the portal provides high-speed treasury operations, high-volume bulk disbursements, trade finance requisitions, and multi-level authorization governance.</w:t>
      </w:r>
    </w:p>
    <w:p>
      <w:pPr>
        <w:pStyle w:val="Heading2"/>
        <w:spacing w:before="240" w:after="120"/>
      </w:pPr>
      <w:r>
        <w:rPr>
          <w:b/>
          <w:color w:val="1E3A8A"/>
          <w:sz w:val="28"/>
          <w:szCs w:val="28"/>
        </w:rPr>
        <w:t>1.1 The Maker-Checker Dual-Control Principle</w:t>
      </w:r>
    </w:p>
    <w:p>
      <w:pPr>
        <w:jc w:val="left"/>
        <w:spacing w:before="0" w:after="120" w:line="260" w:lineRule="auto"/>
      </w:pPr>
      <w:r>
        <w:rPr>
          <w:color w:val="1F2937"/>
          <w:sz w:val="22"/>
          <w:szCs w:val="22"/>
        </w:rPr>
        <w:t xml:space="preserve">In strict compliance with Bangladesh Bank Guidelines on ICT Security for Scheduled Banks, all financial movements and administrative changes enforce the Maker-Checker Dual Approval Framework:</w:t>
      </w:r>
    </w:p>
    <w:p>
      <w:pPr>
        <w:ind w:left="480" w:hanging="240"/>
        <w:spacing w:before="40" w:after="80" w:line="240" w:lineRule="auto"/>
      </w:pPr>
      <w:r>
        <w:rPr>
          <w:b/>
          <w:color w:val="0A3871"/>
          <w:sz w:val="22"/>
          <w:szCs w:val="22"/>
        </w:rPr>
        <w:t xml:space="preserve">•  Corporate Maker (Operator): </w:t>
      </w:r>
      <w:r>
        <w:rPr>
          <w:color w:val="1F2937"/>
          <w:sz w:val="22"/>
          <w:szCs w:val="22"/>
        </w:rPr>
        <w:t xml:space="preserve">The initiator responsible for drafting single fund transfers, uploading bulk payroll spreadsheets, creating beneficiaries, and initiating service requests. A Maker cannot debit funds or finalize transactions.</w:t>
      </w:r>
    </w:p>
    <w:p>
      <w:pPr>
        <w:ind w:left="480" w:hanging="240"/>
        <w:spacing w:before="40" w:after="80" w:line="240" w:lineRule="auto"/>
      </w:pPr>
      <w:r>
        <w:rPr>
          <w:b/>
          <w:color w:val="0A3871"/>
          <w:sz w:val="22"/>
          <w:szCs w:val="22"/>
        </w:rPr>
        <w:t xml:space="preserve">•  Corporate Checker (Authorizer): </w:t>
      </w:r>
      <w:r>
        <w:rPr>
          <w:color w:val="1F2937"/>
          <w:sz w:val="22"/>
          <w:szCs w:val="22"/>
        </w:rPr>
        <w:t xml:space="preserve">The authorized signatory responsible for inspecting transaction details, recipient account titles, routing codes, and total amounts in both figures and words before providing cryptographic 2FA OTP sign-off. A Checker cannot authorize transactions they initiated.</w:t>
      </w:r>
    </w:p>
    <w:p>
      <w:pPr>
        <w:ind w:left="480" w:hanging="240"/>
        <w:spacing w:before="40" w:after="80" w:line="240" w:lineRule="auto"/>
      </w:pPr>
      <w:r>
        <w:rPr>
          <w:b/>
          <w:color w:val="0A3871"/>
          <w:sz w:val="22"/>
          <w:szCs w:val="22"/>
        </w:rPr>
        <w:t xml:space="preserve">•  Corporate Viewer (Auditor): </w:t>
      </w:r>
      <w:r>
        <w:rPr>
          <w:color w:val="1F2937"/>
          <w:sz w:val="22"/>
          <w:szCs w:val="22"/>
        </w:rPr>
        <w:t xml:space="preserve">Internal auditors and finance viewers granted read-only visibility over account balances, transaction histories, receipts, and audit logs without financial movement capabilities.</w:t>
      </w:r>
    </w:p>
    <w:p>
      <w:pPr>
        <w:ind w:left="480" w:hanging="240"/>
        <w:spacing w:before="40" w:after="80" w:line="240" w:lineRule="auto"/>
      </w:pPr>
      <w:r>
        <w:rPr>
          <w:b/>
          <w:color w:val="0A3871"/>
          <w:sz w:val="22"/>
          <w:szCs w:val="22"/>
        </w:rPr>
        <w:t xml:space="preserve">•  Corporate Administrator: </w:t>
      </w:r>
      <w:r>
        <w:rPr>
          <w:color w:val="1F2937"/>
          <w:sz w:val="22"/>
          <w:szCs w:val="22"/>
        </w:rPr>
        <w:t xml:space="preserve">The corporate domain master managing child operator accounts, setting account-level transaction caps, and mapping ERP spreadsheet formats.</w:t>
      </w:r>
    </w:p>
    <w:p>
      <w:pPr>
        <w:pStyle w:val="Heading2"/>
        <w:spacing w:before="240" w:after="120"/>
      </w:pPr>
      <w:r>
        <w:rPr>
          <w:b/>
          <w:color w:val="1E3A8A"/>
          <w:sz w:val="28"/>
          <w:szCs w:val="28"/>
        </w:rPr>
        <w:t>1.2 Tiered Monetary Approval Slabs</w:t>
      </w:r>
    </w:p>
    <w:p>
      <w:pPr>
        <w:jc w:val="left"/>
        <w:spacing w:before="0" w:after="120" w:line="260" w:lineRule="auto"/>
      </w:pPr>
      <w:r>
        <w:rPr>
          <w:color w:val="1F2937"/>
          <w:sz w:val="22"/>
          <w:szCs w:val="22"/>
        </w:rPr>
        <w:t xml:space="preserve">Transactions are automatically routed through dynamic approval workflows based on amount thresholds:</w:t>
      </w:r>
    </w:p>
    <w:tbl>
      <w:tblPr>
        <w:tblW w:w="936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00" w:type="dxa"/>
          <w:left w:w="140" w:type="dxa"/>
          <w:bottom w:w="100" w:type="dxa"/>
          <w:right w:w="140" w:type="dxa"/>
        </w:tblCellMar>
      </w:tblPr>
      <w:tblGrid>
        <w:gridCol w:w="2600"/>
        <w:gridCol w:w="2200"/>
        <w:gridCol w:w="2360"/>
        <w:gridCol w:w="2200"/>
      </w:tblGrid>
      <w:tr>
        <w:trPr>
          <w:tblHeader/>
        </w:trPr>
        <w:tc>
          <w:tcPr>
            <w:tcW w:w="2600" w:type="dxa"/>
            <w:shd w:val="clear" w:color="auto" w:fill="0A3871"/>
          </w:tcPr>
          <w:p>
            <w:pPr>
              <w:spacing w:before="60" w:after="60"/>
            </w:pPr>
            <w:r>
              <w:rPr>
                <w:b/>
                <w:color w:val="FFFFFF"/>
                <w:sz w:val="20"/>
                <w:szCs w:val="20"/>
              </w:rPr>
              <w:t>Monetary Slab Threshold</w:t>
            </w:r>
          </w:p>
        </w:tc>
        <w:tc>
          <w:tcPr>
            <w:tcW w:w="2200" w:type="dxa"/>
            <w:shd w:val="clear" w:color="auto" w:fill="0A3871"/>
          </w:tcPr>
          <w:p>
            <w:pPr>
              <w:spacing w:before="60" w:after="60"/>
            </w:pPr>
            <w:r>
              <w:rPr>
                <w:b/>
                <w:color w:val="FFFFFF"/>
                <w:sz w:val="20"/>
                <w:szCs w:val="20"/>
              </w:rPr>
              <w:t>Required Approval Flow</w:t>
            </w:r>
          </w:p>
        </w:tc>
        <w:tc>
          <w:tcPr>
            <w:tcW w:w="2360" w:type="dxa"/>
            <w:shd w:val="clear" w:color="auto" w:fill="0A3871"/>
          </w:tcPr>
          <w:p>
            <w:pPr>
              <w:spacing w:before="60" w:after="60"/>
            </w:pPr>
            <w:r>
              <w:rPr>
                <w:b/>
                <w:color w:val="FFFFFF"/>
                <w:sz w:val="20"/>
                <w:szCs w:val="20"/>
              </w:rPr>
              <w:t>Authorizer Designations</w:t>
            </w:r>
          </w:p>
        </w:tc>
        <w:tc>
          <w:tcPr>
            <w:tcW w:w="2200" w:type="dxa"/>
            <w:shd w:val="clear" w:color="auto" w:fill="0A3871"/>
          </w:tcPr>
          <w:p>
            <w:pPr>
              <w:spacing w:before="60" w:after="60"/>
            </w:pPr>
            <w:r>
              <w:rPr>
                <w:b/>
                <w:color w:val="FFFFFF"/>
                <w:sz w:val="20"/>
                <w:szCs w:val="20"/>
              </w:rPr>
              <w:t>Enforcement Rule</w:t>
            </w:r>
          </w:p>
        </w:tc>
      </w:tr>
      <w:tr>
        <w:tc>
          <w:tcPr>
            <w:tcW w:w="2600" w:type="dxa"/>
            <w:shd w:val="clear" w:color="auto" w:fill="FFFFFF"/>
          </w:tcPr>
          <w:p>
            <w:pPr>
              <w:spacing w:before="40" w:after="40" w:line="220" w:lineRule="auto"/>
            </w:pPr>
            <w:r>
              <w:rPr>
                <w:color w:val="1F2937"/>
                <w:sz w:val="19"/>
                <w:szCs w:val="19"/>
              </w:rPr>
              <w:t>BDT 0.01 – BDT 500,000</w:t>
            </w:r>
          </w:p>
        </w:tc>
        <w:tc>
          <w:tcPr>
            <w:tcW w:w="2200" w:type="dxa"/>
            <w:shd w:val="clear" w:color="auto" w:fill="FFFFFF"/>
          </w:tcPr>
          <w:p>
            <w:pPr>
              <w:spacing w:before="40" w:after="40" w:line="220" w:lineRule="auto"/>
            </w:pPr>
            <w:r>
              <w:rPr>
                <w:color w:val="1F2937"/>
                <w:sz w:val="19"/>
                <w:szCs w:val="19"/>
              </w:rPr>
              <w:t>Single Level Approval (1-of-1)</w:t>
            </w:r>
          </w:p>
        </w:tc>
        <w:tc>
          <w:tcPr>
            <w:tcW w:w="2360" w:type="dxa"/>
            <w:shd w:val="clear" w:color="auto" w:fill="FFFFFF"/>
          </w:tcPr>
          <w:p>
            <w:pPr>
              <w:spacing w:before="40" w:after="40" w:line="220" w:lineRule="auto"/>
            </w:pPr>
            <w:r>
              <w:rPr>
                <w:color w:val="1F2937"/>
                <w:sz w:val="19"/>
                <w:szCs w:val="19"/>
              </w:rPr>
              <w:t>Level 1 Authorizer</w:t>
            </w:r>
          </w:p>
        </w:tc>
        <w:tc>
          <w:tcPr>
            <w:tcW w:w="2200" w:type="dxa"/>
            <w:shd w:val="clear" w:color="auto" w:fill="FFFFFF"/>
          </w:tcPr>
          <w:p>
            <w:pPr>
              <w:spacing w:before="40" w:after="40" w:line="220" w:lineRule="auto"/>
            </w:pPr>
            <w:r>
              <w:rPr>
                <w:color w:val="1F2937"/>
                <w:sz w:val="19"/>
                <w:szCs w:val="19"/>
              </w:rPr>
              <w:t>Approved by any Level 1 Checker</w:t>
            </w:r>
          </w:p>
        </w:tc>
      </w:tr>
      <w:tr>
        <w:tc>
          <w:tcPr>
            <w:tcW w:w="2600" w:type="dxa"/>
            <w:shd w:val="clear" w:color="auto" w:fill="F8FAFC"/>
          </w:tcPr>
          <w:p>
            <w:pPr>
              <w:spacing w:before="40" w:after="40" w:line="220" w:lineRule="auto"/>
            </w:pPr>
            <w:r>
              <w:rPr>
                <w:color w:val="1F2937"/>
                <w:sz w:val="19"/>
                <w:szCs w:val="19"/>
              </w:rPr>
              <w:t>BDT 500,000.01 – BDT 5,000,000</w:t>
            </w:r>
          </w:p>
        </w:tc>
        <w:tc>
          <w:tcPr>
            <w:tcW w:w="2200" w:type="dxa"/>
            <w:shd w:val="clear" w:color="auto" w:fill="F8FAFC"/>
          </w:tcPr>
          <w:p>
            <w:pPr>
              <w:spacing w:before="40" w:after="40" w:line="220" w:lineRule="auto"/>
            </w:pPr>
            <w:r>
              <w:rPr>
                <w:color w:val="1F2937"/>
                <w:sz w:val="19"/>
                <w:szCs w:val="19"/>
              </w:rPr>
              <w:t>Dual Level Approval (2-of-2)</w:t>
            </w:r>
          </w:p>
        </w:tc>
        <w:tc>
          <w:tcPr>
            <w:tcW w:w="2360" w:type="dxa"/>
            <w:shd w:val="clear" w:color="auto" w:fill="F8FAFC"/>
          </w:tcPr>
          <w:p>
            <w:pPr>
              <w:spacing w:before="40" w:after="40" w:line="220" w:lineRule="auto"/>
            </w:pPr>
            <w:r>
              <w:rPr>
                <w:color w:val="1F2937"/>
                <w:sz w:val="19"/>
                <w:szCs w:val="19"/>
              </w:rPr>
              <w:t>Level 1 + Level 2 Authorizers</w:t>
            </w:r>
          </w:p>
        </w:tc>
        <w:tc>
          <w:tcPr>
            <w:tcW w:w="2200" w:type="dxa"/>
            <w:shd w:val="clear" w:color="auto" w:fill="F8FAFC"/>
          </w:tcPr>
          <w:p>
            <w:pPr>
              <w:spacing w:before="40" w:after="40" w:line="220" w:lineRule="auto"/>
            </w:pPr>
            <w:r>
              <w:rPr>
                <w:color w:val="1F2937"/>
                <w:sz w:val="19"/>
                <w:szCs w:val="19"/>
              </w:rPr>
              <w:t>Sequential: Level 1 signs first, then Level 2 signs off</w:t>
            </w:r>
          </w:p>
        </w:tc>
      </w:tr>
      <w:tr>
        <w:tc>
          <w:tcPr>
            <w:tcW w:w="2600" w:type="dxa"/>
            <w:shd w:val="clear" w:color="auto" w:fill="FFFFFF"/>
          </w:tcPr>
          <w:p>
            <w:pPr>
              <w:spacing w:before="40" w:after="40" w:line="220" w:lineRule="auto"/>
            </w:pPr>
            <w:r>
              <w:rPr>
                <w:color w:val="1F2937"/>
                <w:sz w:val="19"/>
                <w:szCs w:val="19"/>
              </w:rPr>
              <w:t>BDT 5,000,000.01 – BDT 50,000,000</w:t>
            </w:r>
          </w:p>
        </w:tc>
        <w:tc>
          <w:tcPr>
            <w:tcW w:w="2200" w:type="dxa"/>
            <w:shd w:val="clear" w:color="auto" w:fill="FFFFFF"/>
          </w:tcPr>
          <w:p>
            <w:pPr>
              <w:spacing w:before="40" w:after="40" w:line="220" w:lineRule="auto"/>
            </w:pPr>
            <w:r>
              <w:rPr>
                <w:color w:val="1F2937"/>
                <w:sz w:val="19"/>
                <w:szCs w:val="19"/>
              </w:rPr>
              <w:t>Triple Level Approval (3-of-3)</w:t>
            </w:r>
          </w:p>
        </w:tc>
        <w:tc>
          <w:tcPr>
            <w:tcW w:w="2360" w:type="dxa"/>
            <w:shd w:val="clear" w:color="auto" w:fill="FFFFFF"/>
          </w:tcPr>
          <w:p>
            <w:pPr>
              <w:spacing w:before="40" w:after="40" w:line="220" w:lineRule="auto"/>
            </w:pPr>
            <w:r>
              <w:rPr>
                <w:color w:val="1F2937"/>
                <w:sz w:val="19"/>
                <w:szCs w:val="19"/>
              </w:rPr>
              <w:t>Level 1 + Level 2 + Level 3 Authorizers</w:t>
            </w:r>
          </w:p>
        </w:tc>
        <w:tc>
          <w:tcPr>
            <w:tcW w:w="2200" w:type="dxa"/>
            <w:shd w:val="clear" w:color="auto" w:fill="FFFFFF"/>
          </w:tcPr>
          <w:p>
            <w:pPr>
              <w:spacing w:before="40" w:after="40" w:line="220" w:lineRule="auto"/>
            </w:pPr>
            <w:r>
              <w:rPr>
                <w:color w:val="1F2937"/>
                <w:sz w:val="19"/>
                <w:szCs w:val="19"/>
              </w:rPr>
              <w:t>Sequential or Parallel approval requiring all 3 levels</w:t>
            </w:r>
          </w:p>
        </w:tc>
      </w:tr>
      <w:tr>
        <w:tc>
          <w:tcPr>
            <w:tcW w:w="2600" w:type="dxa"/>
            <w:shd w:val="clear" w:color="auto" w:fill="F8FAFC"/>
          </w:tcPr>
          <w:p>
            <w:pPr>
              <w:spacing w:before="40" w:after="40" w:line="220" w:lineRule="auto"/>
            </w:pPr>
            <w:r>
              <w:rPr>
                <w:color w:val="1F2937"/>
                <w:sz w:val="19"/>
                <w:szCs w:val="19"/>
              </w:rPr>
              <w:t>Above BDT 50,000,000</w:t>
            </w:r>
          </w:p>
        </w:tc>
        <w:tc>
          <w:tcPr>
            <w:tcW w:w="2200" w:type="dxa"/>
            <w:shd w:val="clear" w:color="auto" w:fill="F8FAFC"/>
          </w:tcPr>
          <w:p>
            <w:pPr>
              <w:spacing w:before="40" w:after="40" w:line="220" w:lineRule="auto"/>
            </w:pPr>
            <w:r>
              <w:rPr>
                <w:color w:val="1F2937"/>
                <w:sz w:val="19"/>
                <w:szCs w:val="19"/>
              </w:rPr>
              <w:t>Executive Board Slab</w:t>
            </w:r>
          </w:p>
        </w:tc>
        <w:tc>
          <w:tcPr>
            <w:tcW w:w="2360" w:type="dxa"/>
            <w:shd w:val="clear" w:color="auto" w:fill="F8FAFC"/>
          </w:tcPr>
          <w:p>
            <w:pPr>
              <w:spacing w:before="40" w:after="40" w:line="220" w:lineRule="auto"/>
            </w:pPr>
            <w:r>
              <w:rPr>
                <w:color w:val="1F2937"/>
                <w:sz w:val="19"/>
                <w:szCs w:val="19"/>
              </w:rPr>
              <w:t>Level 3 + Managing Director / Signatory</w:t>
            </w:r>
          </w:p>
        </w:tc>
        <w:tc>
          <w:tcPr>
            <w:tcW w:w="2200" w:type="dxa"/>
            <w:shd w:val="clear" w:color="auto" w:fill="F8FAFC"/>
          </w:tcPr>
          <w:p>
            <w:pPr>
              <w:spacing w:before="40" w:after="40" w:line="220" w:lineRule="auto"/>
            </w:pPr>
            <w:r>
              <w:rPr>
                <w:color w:val="1F2937"/>
                <w:sz w:val="19"/>
                <w:szCs w:val="19"/>
              </w:rPr>
              <w:t>Mandatory dual Level 3 signing with executive OTP</w:t>
            </w:r>
          </w:p>
        </w:tc>
      </w:tr>
    </w:tbl>
    <w:p>
      <w:pPr>
        <w:jc w:val="left"/>
        <w:spacing w:before="0" w:after="120" w:line="260" w:lineRule="auto"/>
      </w:pPr>
      <w:r>
        <w:rPr>
          <w:color w:val="1F2937"/>
          <w:sz w:val="22"/>
          <w:szCs w:val="22"/>
        </w:rPr>
        <w:t xml:space="preserve"/>
      </w:r>
    </w:p>
    <w:p>
      <w:pPr>
        <w:pStyle w:val="Heading1"/>
        <w:spacing w:before="360" w:after="160"/>
      </w:pPr>
      <w:r>
        <w:br w:type="page"/>
      </w:r>
      <w:r>
        <w:rPr>
          <w:b/>
          <w:color w:val="0A3871"/>
          <w:sz w:val="34"/>
          <w:szCs w:val="34"/>
        </w:rPr>
        <w:t>Chapter 2: Accessing the Portal, Login &amp; Authentication</w:t>
      </w:r>
    </w:p>
    <w:p>
      <w:pPr>
        <w:jc w:val="left"/>
        <w:spacing w:before="0" w:after="120" w:line="260" w:lineRule="auto"/>
      </w:pPr>
      <w:r>
        <w:rPr>
          <w:color w:val="1F2937"/>
          <w:sz w:val="22"/>
          <w:szCs w:val="22"/>
        </w:rPr>
        <w:t xml:space="preserve">To access the Citizens Bank Corporate Portal, open a modern web browser (Google Chrome, Microsoft Edge, Mozilla Firefox, or Apple Safari) and navigate to the portal login page:</w:t>
      </w:r>
    </w:p>
    <w:p>
      <w:pPr>
        <w:jc w:val="left"/>
        <w:spacing w:before="0" w:after="120" w:line="260" w:lineRule="auto"/>
      </w:pPr>
      <w:r>
        <w:rPr>
          <w:b/>
          <w:color w:val="0A3871"/>
          <w:sz w:val="22"/>
          <w:szCs w:val="22"/>
        </w:rPr>
        <w:t xml:space="preserve">Portal URL: https://ibanktest.citizensbankbd.com/CorporateCBPLCUAT/login</w:t>
      </w:r>
    </w:p>
    <w:p>
      <w:pPr>
        <w:pStyle w:val="Heading2"/>
        <w:spacing w:before="240" w:after="120"/>
      </w:pPr>
      <w:r>
        <w:rPr>
          <w:b/>
          <w:color w:val="1E3A8A"/>
          <w:sz w:val="28"/>
          <w:szCs w:val="28"/>
        </w:rPr>
        <w:t>2.1 Step-by-Step Login Procedure</w:t>
      </w:r>
    </w:p>
    <w:p>
      <w:pPr>
        <w:ind w:left="480" w:hanging="240"/>
        <w:spacing w:before="40" w:after="80" w:line="240" w:lineRule="auto"/>
      </w:pPr>
      <w:r>
        <w:rPr>
          <w:b/>
          <w:color w:val="0A3871"/>
          <w:sz w:val="22"/>
          <w:szCs w:val="22"/>
        </w:rPr>
        <w:t xml:space="preserve">•  Step 1 - User ID: </w:t>
      </w:r>
      <w:r>
        <w:rPr>
          <w:color w:val="1F2937"/>
          <w:sz w:val="22"/>
          <w:szCs w:val="22"/>
        </w:rPr>
        <w:t xml:space="preserve">Enter your assigned Corporate User ID in the 'User ID' field (e.g., ttml2023).</w:t>
      </w:r>
    </w:p>
    <w:p>
      <w:pPr>
        <w:ind w:left="480" w:hanging="240"/>
        <w:spacing w:before="40" w:after="80" w:line="240" w:lineRule="auto"/>
      </w:pPr>
      <w:r>
        <w:rPr>
          <w:b/>
          <w:color w:val="0A3871"/>
          <w:sz w:val="22"/>
          <w:szCs w:val="22"/>
        </w:rPr>
        <w:t xml:space="preserve">•  Step 2 - Password: </w:t>
      </w:r>
      <w:r>
        <w:rPr>
          <w:color w:val="1F2937"/>
          <w:sz w:val="22"/>
          <w:szCs w:val="22"/>
        </w:rPr>
        <w:t xml:space="preserve">Enter your password in the 'Password' field (e.g., initial assigned password 1).</w:t>
      </w:r>
    </w:p>
    <w:p>
      <w:pPr>
        <w:ind w:left="480" w:hanging="240"/>
        <w:spacing w:before="40" w:after="80" w:line="240" w:lineRule="auto"/>
      </w:pPr>
      <w:r>
        <w:rPr>
          <w:b/>
          <w:color w:val="0A3871"/>
          <w:sz w:val="22"/>
          <w:szCs w:val="22"/>
        </w:rPr>
        <w:t xml:space="preserve">•  Step 3 - Captcha: </w:t>
      </w:r>
      <w:r>
        <w:rPr>
          <w:color w:val="1F2937"/>
          <w:sz w:val="22"/>
          <w:szCs w:val="22"/>
        </w:rPr>
        <w:t xml:space="preserve">Solve the displayed cryptographic Captcha challenge to confirm human interaction.</w:t>
      </w:r>
    </w:p>
    <w:p>
      <w:pPr>
        <w:ind w:left="480" w:hanging="240"/>
        <w:spacing w:before="40" w:after="80" w:line="240" w:lineRule="auto"/>
      </w:pPr>
      <w:r>
        <w:rPr>
          <w:b/>
          <w:color w:val="0A3871"/>
          <w:sz w:val="22"/>
          <w:szCs w:val="22"/>
        </w:rPr>
        <w:t xml:space="preserve">•  Step 4 - Submit: </w:t>
      </w:r>
      <w:r>
        <w:rPr>
          <w:color w:val="1F2937"/>
          <w:sz w:val="22"/>
          <w:szCs w:val="22"/>
        </w:rPr>
        <w:t xml:space="preserve">Click the prominent 'LOGIN' button. The system validates credentials against the Core Banking API.</w:t>
      </w:r>
    </w:p>
    <w:p>
      <w:pPr>
        <w:ind w:left="480" w:hanging="240"/>
        <w:spacing w:before="40" w:after="80" w:line="240" w:lineRule="auto"/>
      </w:pPr>
      <w:r>
        <w:rPr>
          <w:b/>
          <w:color w:val="0A3871"/>
          <w:sz w:val="22"/>
          <w:szCs w:val="22"/>
        </w:rPr>
        <w:t xml:space="preserve">•  Step 5 - 2FA Verification: </w:t>
      </w:r>
      <w:r>
        <w:rPr>
          <w:color w:val="1F2937"/>
          <w:sz w:val="22"/>
          <w:szCs w:val="22"/>
        </w:rPr>
        <w:t xml:space="preserve">The system prompts an OTP challenge. Retrieve the 6-digit OTP sent to your registered mobile and corporate email, input the digits, and confirm within the 120-second timer.</w:t>
      </w:r>
    </w:p>
    <w:p>
      <w:pPr>
        <w:jc w:val="center"/>
        <w:spacing w:before="160" w:after="80"/>
      </w:pPr>
      <w:r>
        <w:drawing>
          <wp:inline xmlns:wp="http://schemas.openxmlformats.org/drawingml/2006/wordprocessingDrawing" distT="0" distB="0" distL="0" distR="0">
            <wp:extent cx="5486400" cy="3169950"/>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xmlns:r="http://schemas.openxmlformats.org/officeDocument/2006/relationships" r:embed="rIdImg1"/>
                    <a:stretch>
                      <a:fillRect/>
                    </a:stretch>
                  </pic:blipFill>
                  <pic:spPr>
                    <a:xfrm>
                      <a:off x="0" y="0"/>
                      <a:ext cx="5486400" cy="3169950"/>
                    </a:xfrm>
                    <a:prstGeom prst="rect">
                      <a:avLst/>
                    </a:prstGeom>
                  </pic:spPr>
                </pic:pic>
              </a:graphicData>
            </a:graphic>
          </wp:inline>
        </w:drawing>
      </w:r>
    </w:p>
    <w:p>
      <w:pPr>
        <w:jc w:val="center"/>
        <w:spacing w:before="40" w:after="160"/>
      </w:pPr>
      <w:r>
        <w:rPr>
          <w:i/>
          <w:b/>
          <w:color w:val="0A3871"/>
          <w:sz w:val="18"/>
          <w:szCs w:val="18"/>
        </w:rPr>
        <w:t xml:space="preserve">Figure 1: Citizens Bank Corporate Login Portal (User ID: ttml2023, Captcha Challenge, and 2FA Verification)</w:t>
      </w:r>
    </w:p>
    <w:p>
      <w:pPr>
        <w:pStyle w:val="Heading2"/>
        <w:spacing w:before="240" w:after="120"/>
      </w:pPr>
      <w:r>
        <w:rPr>
          <w:b/>
          <w:color w:val="1E3A8A"/>
          <w:sz w:val="28"/>
          <w:szCs w:val="28"/>
        </w:rPr>
        <w:t>2.2 First-Time Login &amp; Mandatory Password Change</w:t>
      </w:r>
    </w:p>
    <w:p>
      <w:pPr>
        <w:jc w:val="left"/>
        <w:spacing w:before="0" w:after="120" w:line="260" w:lineRule="auto"/>
      </w:pPr>
      <w:r>
        <w:rPr>
          <w:color w:val="1F2937"/>
          <w:sz w:val="22"/>
          <w:szCs w:val="22"/>
        </w:rPr>
        <w:t xml:space="preserve">Upon first login with a temporary password (e.g., password '1'), the portal immediately redirects to the Mandatory Password Change screen (/account/changepassword). You must set a permanent high-entropy password satisfying the bank's security policy:</w:t>
      </w:r>
    </w:p>
    <w:p>
      <w:pPr>
        <w:ind w:left="480" w:hanging="240"/>
        <w:spacing w:before="40" w:after="80" w:line="240" w:lineRule="auto"/>
      </w:pPr>
      <w:r>
        <w:rPr>
          <w:b/>
          <w:color w:val="0A3871"/>
          <w:sz w:val="22"/>
          <w:szCs w:val="22"/>
        </w:rPr>
        <w:t xml:space="preserve">•  Rule 1: </w:t>
      </w:r>
      <w:r>
        <w:rPr>
          <w:color w:val="1F2937"/>
          <w:sz w:val="22"/>
          <w:szCs w:val="22"/>
        </w:rPr>
        <w:t xml:space="preserve">Minimum Length: At least 12 characters.</w:t>
      </w:r>
    </w:p>
    <w:p>
      <w:pPr>
        <w:ind w:left="480" w:hanging="240"/>
        <w:spacing w:before="40" w:after="80" w:line="240" w:lineRule="auto"/>
      </w:pPr>
      <w:r>
        <w:rPr>
          <w:b/>
          <w:color w:val="0A3871"/>
          <w:sz w:val="22"/>
          <w:szCs w:val="22"/>
        </w:rPr>
        <w:t xml:space="preserve">•  Rule 2: </w:t>
      </w:r>
      <w:r>
        <w:rPr>
          <w:color w:val="1F2937"/>
          <w:sz w:val="22"/>
          <w:szCs w:val="22"/>
        </w:rPr>
        <w:t xml:space="preserve">Complexity: Must include at least 3 of 4 character classes: Uppercase (A-Z), Lowercase (a-z), Numeric (0-9), and Special Characters (@&amp;.-_!#^*()+).</w:t>
      </w:r>
    </w:p>
    <w:p>
      <w:pPr>
        <w:ind w:left="480" w:hanging="240"/>
        <w:spacing w:before="40" w:after="80" w:line="240" w:lineRule="auto"/>
      </w:pPr>
      <w:r>
        <w:rPr>
          <w:b/>
          <w:color w:val="0A3871"/>
          <w:sz w:val="22"/>
          <w:szCs w:val="22"/>
        </w:rPr>
        <w:t xml:space="preserve">•  Rule 3: </w:t>
      </w:r>
      <w:r>
        <w:rPr>
          <w:color w:val="1F2937"/>
          <w:sz w:val="22"/>
          <w:szCs w:val="22"/>
        </w:rPr>
        <w:t xml:space="preserve">History Lock: Cannot be identical to any of your previous 4 passwords.</w:t>
      </w:r>
    </w:p>
    <w:p>
      <w:pPr>
        <w:ind w:left="480" w:hanging="240"/>
        <w:spacing w:before="40" w:after="80" w:line="240" w:lineRule="auto"/>
      </w:pPr>
      <w:r>
        <w:rPr>
          <w:b/>
          <w:color w:val="0A3871"/>
          <w:sz w:val="22"/>
          <w:szCs w:val="22"/>
        </w:rPr>
        <w:t xml:space="preserve">•  Rule 4: </w:t>
      </w:r>
      <w:r>
        <w:rPr>
          <w:color w:val="1F2937"/>
          <w:sz w:val="22"/>
          <w:szCs w:val="22"/>
        </w:rPr>
        <w:t xml:space="preserve">Validity Period: Passwords remain valid for 90 days before a scheduled change is enforced.</w:t>
      </w:r>
    </w:p>
    <w:p>
      <w:pPr>
        <w:pStyle w:val="Heading1"/>
        <w:spacing w:before="360" w:after="160"/>
      </w:pPr>
      <w:r>
        <w:br w:type="page"/>
      </w:r>
      <w:r>
        <w:rPr>
          <w:b/>
          <w:color w:val="0A3871"/>
          <w:sz w:val="34"/>
          <w:szCs w:val="34"/>
        </w:rPr>
        <w:t>Chapter 3: Corporate Dashboard Navigation &amp; Liquidity Overview</w:t>
      </w:r>
    </w:p>
    <w:p>
      <w:pPr>
        <w:jc w:val="left"/>
        <w:spacing w:before="0" w:after="120" w:line="260" w:lineRule="auto"/>
      </w:pPr>
      <w:r>
        <w:rPr>
          <w:color w:val="1F2937"/>
          <w:sz w:val="22"/>
          <w:szCs w:val="22"/>
        </w:rPr>
        <w:t xml:space="preserve">Upon successful authentication, operators land on the Corporate Dashboard (/). The interface provides an executive summary of the company's financial status and pending action items:</w:t>
      </w:r>
    </w:p>
    <w:p>
      <w:pPr>
        <w:ind w:left="480" w:hanging="240"/>
        <w:spacing w:before="40" w:after="80" w:line="240" w:lineRule="auto"/>
      </w:pPr>
      <w:r>
        <w:rPr>
          <w:b/>
          <w:color w:val="0A3871"/>
          <w:sz w:val="22"/>
          <w:szCs w:val="22"/>
        </w:rPr>
        <w:t xml:space="preserve">•  Liquidity Balance Widgets: </w:t>
      </w:r>
      <w:r>
        <w:rPr>
          <w:color w:val="1F2937"/>
          <w:sz w:val="22"/>
          <w:szCs w:val="22"/>
        </w:rPr>
        <w:t xml:space="preserve">Displays total available funds, ledger balances, and currency across all operating accounts, time deposits, and loan facilities.</w:t>
      </w:r>
    </w:p>
    <w:p>
      <w:pPr>
        <w:ind w:left="480" w:hanging="240"/>
        <w:spacing w:before="40" w:after="80" w:line="240" w:lineRule="auto"/>
      </w:pPr>
      <w:r>
        <w:rPr>
          <w:b/>
          <w:color w:val="0A3871"/>
          <w:sz w:val="22"/>
          <w:szCs w:val="22"/>
        </w:rPr>
        <w:t xml:space="preserve">•  Pending Authorization Center: </w:t>
      </w:r>
      <w:r>
        <w:rPr>
          <w:color w:val="1F2937"/>
          <w:sz w:val="22"/>
          <w:szCs w:val="22"/>
        </w:rPr>
        <w:t xml:space="preserve">Prominently alerts Checkers to the exact count and cumulative monetary value of pending transfers waiting for their sign-off.</w:t>
      </w:r>
    </w:p>
    <w:p>
      <w:pPr>
        <w:ind w:left="480" w:hanging="240"/>
        <w:spacing w:before="40" w:after="80" w:line="240" w:lineRule="auto"/>
      </w:pPr>
      <w:r>
        <w:rPr>
          <w:b/>
          <w:color w:val="0A3871"/>
          <w:sz w:val="22"/>
          <w:szCs w:val="22"/>
        </w:rPr>
        <w:t xml:space="preserve">•  Quick Action Shortcuts: </w:t>
      </w:r>
      <w:r>
        <w:rPr>
          <w:color w:val="1F2937"/>
          <w:sz w:val="22"/>
          <w:szCs w:val="22"/>
        </w:rPr>
        <w:t xml:space="preserve">One-click access to Single Fund Transfer, Bulk Payroll, Beneficiary Directory, Statement Inquiry, and Cheque Services.</w:t>
      </w:r>
    </w:p>
    <w:p>
      <w:pPr>
        <w:ind w:left="480" w:hanging="240"/>
        <w:spacing w:before="40" w:after="80" w:line="240" w:lineRule="auto"/>
      </w:pPr>
      <w:r>
        <w:rPr>
          <w:b/>
          <w:color w:val="0A3871"/>
          <w:sz w:val="22"/>
          <w:szCs w:val="22"/>
        </w:rPr>
        <w:t xml:space="preserve">•  Notification Center: </w:t>
      </w:r>
      <w:r>
        <w:rPr>
          <w:color w:val="1F2937"/>
          <w:sz w:val="22"/>
          <w:szCs w:val="22"/>
        </w:rPr>
        <w:t xml:space="preserve">Bell icon in top bar showing unread bank operational notices, clearing cutoff updates, and scheduled maintenance alerts.</w:t>
      </w:r>
    </w:p>
    <w:p>
      <w:pPr>
        <w:jc w:val="center"/>
        <w:spacing w:before="160" w:after="80"/>
      </w:pPr>
      <w:r>
        <w:drawing>
          <wp:inline xmlns:wp="http://schemas.openxmlformats.org/drawingml/2006/wordprocessingDrawing" distT="0" distB="0" distL="0" distR="0">
            <wp:extent cx="5486400" cy="316995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xmlns:r="http://schemas.openxmlformats.org/officeDocument/2006/relationships" r:embed="rIdImg2"/>
                    <a:stretch>
                      <a:fillRect/>
                    </a:stretch>
                  </pic:blipFill>
                  <pic:spPr>
                    <a:xfrm>
                      <a:off x="0" y="0"/>
                      <a:ext cx="5486400" cy="3169950"/>
                    </a:xfrm>
                    <a:prstGeom prst="rect">
                      <a:avLst/>
                    </a:prstGeom>
                  </pic:spPr>
                </pic:pic>
              </a:graphicData>
            </a:graphic>
          </wp:inline>
        </w:drawing>
      </w:r>
    </w:p>
    <w:p>
      <w:pPr>
        <w:jc w:val="center"/>
        <w:spacing w:before="40" w:after="160"/>
      </w:pPr>
      <w:r>
        <w:rPr>
          <w:i/>
          <w:b/>
          <w:color w:val="0A3871"/>
          <w:sz w:val="18"/>
          <w:szCs w:val="18"/>
        </w:rPr>
        <w:t xml:space="preserve">Figure 2: Corporate Dashboard — Real-time Account Liquidity, Pending Approvals Badge, and Quick Action Center</w:t>
      </w:r>
    </w:p>
    <w:p>
      <w:pPr>
        <w:pStyle w:val="Heading1"/>
        <w:spacing w:before="360" w:after="160"/>
      </w:pPr>
      <w:r>
        <w:br w:type="page"/>
      </w:r>
      <w:r>
        <w:rPr>
          <w:b/>
          <w:color w:val="0A3871"/>
          <w:sz w:val="34"/>
          <w:szCs w:val="34"/>
        </w:rPr>
        <w:t>Chapter 4: Single Fund Transfers &amp; Interbank Clearing Rails</w:t>
      </w:r>
    </w:p>
    <w:p>
      <w:pPr>
        <w:jc w:val="left"/>
        <w:spacing w:before="0" w:after="120" w:line="260" w:lineRule="auto"/>
      </w:pPr>
      <w:r>
        <w:rPr>
          <w:color w:val="1F2937"/>
          <w:sz w:val="22"/>
          <w:szCs w:val="22"/>
        </w:rPr>
        <w:t xml:space="preserve">Navigate to Transactions -&gt; Fund Transfer (/transactions/fundtransfer) to initiate individual disbursements:</w:t>
      </w:r>
    </w:p>
    <w:p>
      <w:pPr>
        <w:pStyle w:val="Heading2"/>
        <w:spacing w:before="240" w:after="120"/>
      </w:pPr>
      <w:r>
        <w:rPr>
          <w:b/>
          <w:color w:val="1E3A8A"/>
          <w:sz w:val="28"/>
          <w:szCs w:val="28"/>
        </w:rPr>
        <w:t>4.1 Own Account Transfers (Intra-Company Rebalancing)</w:t>
      </w:r>
    </w:p>
    <w:p>
      <w:pPr>
        <w:jc w:val="left"/>
        <w:spacing w:before="0" w:after="120" w:line="260" w:lineRule="auto"/>
      </w:pPr>
      <w:r>
        <w:rPr>
          <w:color w:val="1F2937"/>
          <w:sz w:val="22"/>
          <w:szCs w:val="22"/>
        </w:rPr>
        <w:t xml:space="preserve">Move funds instantly between corporate operating, collection, and payroll accounts within Citizens Bank PLC. Select Source Account, select Destination Account, input the Amount and Narration, and click Submit. Real-time balance validation ensures sufficient funds are maintained.</w:t>
      </w:r>
    </w:p>
    <w:p>
      <w:pPr>
        <w:pStyle w:val="Heading2"/>
        <w:spacing w:before="240" w:after="120"/>
      </w:pPr>
      <w:r>
        <w:rPr>
          <w:b/>
          <w:color w:val="1E3A8A"/>
          <w:sz w:val="28"/>
          <w:szCs w:val="28"/>
        </w:rPr>
        <w:t>4.2 Third-Party Citizens Bank Account Transfers</w:t>
      </w:r>
    </w:p>
    <w:p>
      <w:pPr>
        <w:jc w:val="left"/>
        <w:spacing w:before="0" w:after="120" w:line="260" w:lineRule="auto"/>
      </w:pPr>
      <w:r>
        <w:rPr>
          <w:color w:val="1F2937"/>
          <w:sz w:val="22"/>
          <w:szCs w:val="22"/>
        </w:rPr>
        <w:t xml:space="preserve">Transfer funds to vendor or supplier accounts maintained at any branch of Citizens Bank PLC. When the Maker selects or inputs the 13-digit destination account number, the portal automatically triggers an asynchronous CBS title lookup. The official registered Account Holder Name is displayed in a highlighted green badge. The Maker must visually verify the recipient title before submitting.</w:t>
      </w:r>
    </w:p>
    <w:p>
      <w:pPr>
        <w:jc w:val="center"/>
        <w:spacing w:before="160" w:after="80"/>
      </w:pPr>
      <w:r>
        <w:drawing>
          <wp:inline xmlns:wp="http://schemas.openxmlformats.org/drawingml/2006/wordprocessingDrawing" distT="0" distB="0" distL="0" distR="0">
            <wp:extent cx="5486400" cy="3169950"/>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pic:nvPicPr>
                  <pic:blipFill>
                    <a:blip xmlns:r="http://schemas.openxmlformats.org/officeDocument/2006/relationships" r:embed="rIdImg3"/>
                    <a:stretch>
                      <a:fillRect/>
                    </a:stretch>
                  </pic:blipFill>
                  <pic:spPr>
                    <a:xfrm>
                      <a:off x="0" y="0"/>
                      <a:ext cx="5486400" cy="3169950"/>
                    </a:xfrm>
                    <a:prstGeom prst="rect">
                      <a:avLst/>
                    </a:prstGeom>
                  </pic:spPr>
                </pic:pic>
              </a:graphicData>
            </a:graphic>
          </wp:inline>
        </w:drawing>
      </w:r>
    </w:p>
    <w:p>
      <w:pPr>
        <w:jc w:val="center"/>
        <w:spacing w:before="40" w:after="160"/>
      </w:pPr>
      <w:r>
        <w:rPr>
          <w:i/>
          <w:b/>
          <w:color w:val="0A3871"/>
          <w:sz w:val="18"/>
          <w:szCs w:val="18"/>
        </w:rPr>
        <w:t xml:space="preserve">Figure 3: Single Fund Transfer Console with Real-time CBS Account Title Lookup &amp; Validation Badge</w:t>
      </w:r>
    </w:p>
    <w:p>
      <w:pPr>
        <w:pStyle w:val="Heading2"/>
        <w:spacing w:before="240" w:after="120"/>
      </w:pPr>
      <w:r>
        <w:rPr>
          <w:b/>
          <w:color w:val="1E3A8A"/>
          <w:sz w:val="28"/>
          <w:szCs w:val="28"/>
        </w:rPr>
        <w:t>4.3 National Interbank Clearing Rails (Other Bank)</w:t>
      </w:r>
    </w:p>
    <w:tbl>
      <w:tblPr>
        <w:tblW w:w="936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00" w:type="dxa"/>
          <w:left w:w="140" w:type="dxa"/>
          <w:bottom w:w="100" w:type="dxa"/>
          <w:right w:w="140" w:type="dxa"/>
        </w:tblCellMar>
      </w:tblPr>
      <w:tblGrid>
        <w:gridCol w:w="1400"/>
        <w:gridCol w:w="2200"/>
        <w:gridCol w:w="2000"/>
        <w:gridCol w:w="2000"/>
        <w:gridCol w:w="1760"/>
      </w:tblGrid>
      <w:tr>
        <w:trPr>
          <w:tblHeader/>
        </w:trPr>
        <w:tc>
          <w:tcPr>
            <w:tcW w:w="1400" w:type="dxa"/>
            <w:shd w:val="clear" w:color="auto" w:fill="0A3871"/>
          </w:tcPr>
          <w:p>
            <w:pPr>
              <w:spacing w:before="60" w:after="60"/>
            </w:pPr>
            <w:r>
              <w:rPr>
                <w:b/>
                <w:color w:val="FFFFFF"/>
                <w:sz w:val="20"/>
                <w:szCs w:val="20"/>
              </w:rPr>
              <w:t>Clearing Rail</w:t>
            </w:r>
          </w:p>
        </w:tc>
        <w:tc>
          <w:tcPr>
            <w:tcW w:w="2200" w:type="dxa"/>
            <w:shd w:val="clear" w:color="auto" w:fill="0A3871"/>
          </w:tcPr>
          <w:p>
            <w:pPr>
              <w:spacing w:before="60" w:after="60"/>
            </w:pPr>
            <w:r>
              <w:rPr>
                <w:b/>
                <w:color w:val="FFFFFF"/>
                <w:sz w:val="20"/>
                <w:szCs w:val="20"/>
              </w:rPr>
              <w:t>Processing Speed</w:t>
            </w:r>
          </w:p>
        </w:tc>
        <w:tc>
          <w:tcPr>
            <w:tcW w:w="2000" w:type="dxa"/>
            <w:shd w:val="clear" w:color="auto" w:fill="0A3871"/>
          </w:tcPr>
          <w:p>
            <w:pPr>
              <w:spacing w:before="60" w:after="60"/>
            </w:pPr>
            <w:r>
              <w:rPr>
                <w:b/>
                <w:color w:val="FFFFFF"/>
                <w:sz w:val="20"/>
                <w:szCs w:val="20"/>
              </w:rPr>
              <w:t>Amount Floor &amp; Caps</w:t>
            </w:r>
          </w:p>
        </w:tc>
        <w:tc>
          <w:tcPr>
            <w:tcW w:w="2000" w:type="dxa"/>
            <w:shd w:val="clear" w:color="auto" w:fill="0A3871"/>
          </w:tcPr>
          <w:p>
            <w:pPr>
              <w:spacing w:before="60" w:after="60"/>
            </w:pPr>
            <w:r>
              <w:rPr>
                <w:b/>
                <w:color w:val="FFFFFF"/>
                <w:sz w:val="20"/>
                <w:szCs w:val="20"/>
              </w:rPr>
              <w:t>Operational Window</w:t>
            </w:r>
          </w:p>
        </w:tc>
        <w:tc>
          <w:tcPr>
            <w:tcW w:w="1760" w:type="dxa"/>
            <w:shd w:val="clear" w:color="auto" w:fill="0A3871"/>
          </w:tcPr>
          <w:p>
            <w:pPr>
              <w:spacing w:before="60" w:after="60"/>
            </w:pPr>
            <w:r>
              <w:rPr>
                <w:b/>
                <w:color w:val="FFFFFF"/>
                <w:sz w:val="20"/>
                <w:szCs w:val="20"/>
              </w:rPr>
              <w:t>Recommended Use Case</w:t>
            </w:r>
          </w:p>
        </w:tc>
      </w:tr>
      <w:tr>
        <w:tc>
          <w:tcPr>
            <w:tcW w:w="1400" w:type="dxa"/>
            <w:shd w:val="clear" w:color="auto" w:fill="FFFFFF"/>
          </w:tcPr>
          <w:p>
            <w:pPr>
              <w:spacing w:before="40" w:after="40" w:line="220" w:lineRule="auto"/>
            </w:pPr>
            <w:r>
              <w:rPr>
                <w:color w:val="1F2937"/>
                <w:sz w:val="19"/>
                <w:szCs w:val="19"/>
              </w:rPr>
              <w:t>BEFTN</w:t>
            </w:r>
          </w:p>
        </w:tc>
        <w:tc>
          <w:tcPr>
            <w:tcW w:w="2200" w:type="dxa"/>
            <w:shd w:val="clear" w:color="auto" w:fill="FFFFFF"/>
          </w:tcPr>
          <w:p>
            <w:pPr>
              <w:spacing w:before="40" w:after="40" w:line="220" w:lineRule="auto"/>
            </w:pPr>
            <w:r>
              <w:rPr>
                <w:color w:val="1F2937"/>
                <w:sz w:val="19"/>
                <w:szCs w:val="19"/>
              </w:rPr>
              <w:t>Batch Settlement (Same/Next Day)</w:t>
            </w:r>
          </w:p>
        </w:tc>
        <w:tc>
          <w:tcPr>
            <w:tcW w:w="2000" w:type="dxa"/>
            <w:shd w:val="clear" w:color="auto" w:fill="FFFFFF"/>
          </w:tcPr>
          <w:p>
            <w:pPr>
              <w:spacing w:before="40" w:after="40" w:line="220" w:lineRule="auto"/>
            </w:pPr>
            <w:r>
              <w:rPr>
                <w:color w:val="1F2937"/>
                <w:sz w:val="19"/>
                <w:szCs w:val="19"/>
              </w:rPr>
              <w:t>No minimum amount floor</w:t>
            </w:r>
          </w:p>
        </w:tc>
        <w:tc>
          <w:tcPr>
            <w:tcW w:w="2000" w:type="dxa"/>
            <w:shd w:val="clear" w:color="auto" w:fill="FFFFFF"/>
          </w:tcPr>
          <w:p>
            <w:pPr>
              <w:spacing w:before="40" w:after="40" w:line="220" w:lineRule="auto"/>
            </w:pPr>
            <w:r>
              <w:rPr>
                <w:color w:val="1F2937"/>
                <w:sz w:val="19"/>
                <w:szCs w:val="19"/>
              </w:rPr>
              <w:t>2 Central Bank Sessions / Day</w:t>
            </w:r>
          </w:p>
        </w:tc>
        <w:tc>
          <w:tcPr>
            <w:tcW w:w="1760" w:type="dxa"/>
            <w:shd w:val="clear" w:color="auto" w:fill="FFFFFF"/>
          </w:tcPr>
          <w:p>
            <w:pPr>
              <w:spacing w:before="40" w:after="40" w:line="220" w:lineRule="auto"/>
            </w:pPr>
            <w:r>
              <w:rPr>
                <w:color w:val="1F2937"/>
                <w:sz w:val="19"/>
                <w:szCs w:val="19"/>
              </w:rPr>
              <w:t>Routine vendor payments, dividend payouts</w:t>
            </w:r>
          </w:p>
        </w:tc>
      </w:tr>
      <w:tr>
        <w:tc>
          <w:tcPr>
            <w:tcW w:w="1400" w:type="dxa"/>
            <w:shd w:val="clear" w:color="auto" w:fill="F8FAFC"/>
          </w:tcPr>
          <w:p>
            <w:pPr>
              <w:spacing w:before="40" w:after="40" w:line="220" w:lineRule="auto"/>
            </w:pPr>
            <w:r>
              <w:rPr>
                <w:color w:val="1F2937"/>
                <w:sz w:val="19"/>
                <w:szCs w:val="19"/>
              </w:rPr>
              <w:t>NPSB</w:t>
            </w:r>
          </w:p>
        </w:tc>
        <w:tc>
          <w:tcPr>
            <w:tcW w:w="2200" w:type="dxa"/>
            <w:shd w:val="clear" w:color="auto" w:fill="F8FAFC"/>
          </w:tcPr>
          <w:p>
            <w:pPr>
              <w:spacing w:before="40" w:after="40" w:line="220" w:lineRule="auto"/>
            </w:pPr>
            <w:r>
              <w:rPr>
                <w:color w:val="1F2937"/>
                <w:sz w:val="19"/>
                <w:szCs w:val="19"/>
              </w:rPr>
              <w:t>Instant Real-Time (Seconds)</w:t>
            </w:r>
          </w:p>
        </w:tc>
        <w:tc>
          <w:tcPr>
            <w:tcW w:w="2000" w:type="dxa"/>
            <w:shd w:val="clear" w:color="auto" w:fill="F8FAFC"/>
          </w:tcPr>
          <w:p>
            <w:pPr>
              <w:spacing w:before="40" w:after="40" w:line="220" w:lineRule="auto"/>
            </w:pPr>
            <w:r>
              <w:rPr>
                <w:color w:val="1F2937"/>
                <w:sz w:val="19"/>
                <w:szCs w:val="19"/>
              </w:rPr>
              <w:t>Up to BDT 300,000 per txn</w:t>
            </w:r>
          </w:p>
        </w:tc>
        <w:tc>
          <w:tcPr>
            <w:tcW w:w="2000" w:type="dxa"/>
            <w:shd w:val="clear" w:color="auto" w:fill="F8FAFC"/>
          </w:tcPr>
          <w:p>
            <w:pPr>
              <w:spacing w:before="40" w:after="40" w:line="220" w:lineRule="auto"/>
            </w:pPr>
            <w:r>
              <w:rPr>
                <w:color w:val="1F2937"/>
                <w:sz w:val="19"/>
                <w:szCs w:val="19"/>
              </w:rPr>
              <w:t>24/7/365 Continuous</w:t>
            </w:r>
          </w:p>
        </w:tc>
        <w:tc>
          <w:tcPr>
            <w:tcW w:w="1760" w:type="dxa"/>
            <w:shd w:val="clear" w:color="auto" w:fill="F8FAFC"/>
          </w:tcPr>
          <w:p>
            <w:pPr>
              <w:spacing w:before="40" w:after="40" w:line="220" w:lineRule="auto"/>
            </w:pPr>
            <w:r>
              <w:rPr>
                <w:color w:val="1F2937"/>
                <w:sz w:val="19"/>
                <w:szCs w:val="19"/>
              </w:rPr>
              <w:t>Urgent contractor fees, emergency vendor settlements</w:t>
            </w:r>
          </w:p>
        </w:tc>
      </w:tr>
      <w:tr>
        <w:tc>
          <w:tcPr>
            <w:tcW w:w="1400" w:type="dxa"/>
            <w:shd w:val="clear" w:color="auto" w:fill="FFFFFF"/>
          </w:tcPr>
          <w:p>
            <w:pPr>
              <w:spacing w:before="40" w:after="40" w:line="220" w:lineRule="auto"/>
            </w:pPr>
            <w:r>
              <w:rPr>
                <w:color w:val="1F2937"/>
                <w:sz w:val="19"/>
                <w:szCs w:val="19"/>
              </w:rPr>
              <w:t>RTGS</w:t>
            </w:r>
          </w:p>
        </w:tc>
        <w:tc>
          <w:tcPr>
            <w:tcW w:w="2200" w:type="dxa"/>
            <w:shd w:val="clear" w:color="auto" w:fill="FFFFFF"/>
          </w:tcPr>
          <w:p>
            <w:pPr>
              <w:spacing w:before="40" w:after="40" w:line="220" w:lineRule="auto"/>
            </w:pPr>
            <w:r>
              <w:rPr>
                <w:color w:val="1F2937"/>
                <w:sz w:val="19"/>
                <w:szCs w:val="19"/>
              </w:rPr>
              <w:t>Instant Gross Settlement</w:t>
            </w:r>
          </w:p>
        </w:tc>
        <w:tc>
          <w:tcPr>
            <w:tcW w:w="2000" w:type="dxa"/>
            <w:shd w:val="clear" w:color="auto" w:fill="FFFFFF"/>
          </w:tcPr>
          <w:p>
            <w:pPr>
              <w:spacing w:before="40" w:after="40" w:line="220" w:lineRule="auto"/>
            </w:pPr>
            <w:r>
              <w:rPr>
                <w:color w:val="1F2937"/>
                <w:sz w:val="19"/>
                <w:szCs w:val="19"/>
              </w:rPr>
              <w:t>Minimum floor: &gt;= BDT 100,000</w:t>
            </w:r>
          </w:p>
        </w:tc>
        <w:tc>
          <w:tcPr>
            <w:tcW w:w="2000" w:type="dxa"/>
            <w:shd w:val="clear" w:color="auto" w:fill="FFFFFF"/>
          </w:tcPr>
          <w:p>
            <w:pPr>
              <w:spacing w:before="40" w:after="40" w:line="220" w:lineRule="auto"/>
            </w:pPr>
            <w:r>
              <w:rPr>
                <w:color w:val="1F2937"/>
                <w:sz w:val="19"/>
                <w:szCs w:val="19"/>
              </w:rPr>
              <w:t>10:00 AM – 03:00 PM (Sun–Thu)</w:t>
            </w:r>
          </w:p>
        </w:tc>
        <w:tc>
          <w:tcPr>
            <w:tcW w:w="1760" w:type="dxa"/>
            <w:shd w:val="clear" w:color="auto" w:fill="FFFFFF"/>
          </w:tcPr>
          <w:p>
            <w:pPr>
              <w:spacing w:before="40" w:after="40" w:line="220" w:lineRule="auto"/>
            </w:pPr>
            <w:r>
              <w:rPr>
                <w:color w:val="1F2937"/>
                <w:sz w:val="19"/>
                <w:szCs w:val="19"/>
              </w:rPr>
              <w:t>High-value corporate treasury &amp; supplier settlements</w:t>
            </w:r>
          </w:p>
        </w:tc>
      </w:tr>
    </w:tbl>
    <w:p>
      <w:pPr>
        <w:jc w:val="left"/>
        <w:spacing w:before="0" w:after="120" w:line="260" w:lineRule="auto"/>
      </w:pPr>
      <w:r>
        <w:rPr>
          <w:color w:val="1F2937"/>
          <w:sz w:val="22"/>
          <w:szCs w:val="22"/>
        </w:rPr>
        <w:t xml:space="preserve"/>
      </w:r>
    </w:p>
    <w:p>
      <w:pPr>
        <w:pStyle w:val="Heading2"/>
        <w:spacing w:before="240" w:after="120"/>
      </w:pPr>
      <w:r>
        <w:rPr>
          <w:b/>
          <w:color w:val="1E3A8A"/>
          <w:sz w:val="28"/>
          <w:szCs w:val="28"/>
        </w:rPr>
        <w:t>4.4 Mobile Financial Services (MFS) Corporate Disbursements</w:t>
      </w:r>
    </w:p>
    <w:p>
      <w:pPr>
        <w:jc w:val="left"/>
        <w:spacing w:before="0" w:after="120" w:line="260" w:lineRule="auto"/>
      </w:pPr>
      <w:r>
        <w:rPr>
          <w:color w:val="1F2937"/>
          <w:sz w:val="22"/>
          <w:szCs w:val="22"/>
        </w:rPr>
        <w:t xml:space="preserve">Disburse funds directly to mobile wallets: bKash, Nagad, Rocket, Upay, and TAP. The system enforces wallet syntax rules (11 digits for bKash/Nagad/Upay/TAP, and strictly 12 digits for Rocket wallets). To eliminate typographical errors, direct manual typing of wallet numbers is restricted; users must select an enrolled, pre-authorized MFS payee.</w:t>
      </w:r>
    </w:p>
    <w:p>
      <w:pPr>
        <w:pStyle w:val="Heading1"/>
        <w:spacing w:before="360" w:after="160"/>
      </w:pPr>
      <w:r>
        <w:br w:type="page"/>
      </w:r>
      <w:r>
        <w:rPr>
          <w:b/>
          <w:color w:val="0A3871"/>
          <w:sz w:val="34"/>
          <w:szCs w:val="34"/>
        </w:rPr>
        <w:t>Chapter 5: Enterprise Bulk Fund Transfer &amp; Corporate Payroll Engine</w:t>
      </w:r>
    </w:p>
    <w:p>
      <w:pPr>
        <w:jc w:val="left"/>
        <w:spacing w:before="0" w:after="120" w:line="260" w:lineRule="auto"/>
      </w:pPr>
      <w:r>
        <w:rPr>
          <w:color w:val="1F2937"/>
          <w:sz w:val="22"/>
          <w:szCs w:val="22"/>
        </w:rPr>
        <w:t xml:space="preserve">The Bulk Fund Transfer console (/transactions/bulk-transfer) is engineered for high-volume salary disbursements, contractor fees, and shareholder dividends, supporting up to 10,000 transactions per file.</w:t>
      </w:r>
    </w:p>
    <w:p>
      <w:pPr>
        <w:pStyle w:val="Heading2"/>
        <w:spacing w:before="240" w:after="120"/>
      </w:pPr>
      <w:r>
        <w:rPr>
          <w:b/>
          <w:color w:val="1E3A8A"/>
          <w:sz w:val="28"/>
          <w:szCs w:val="28"/>
        </w:rPr>
        <w:t>5.1 Dynamic File Mapping Engine (/settings/dynamic-file-mapping)</w:t>
      </w:r>
    </w:p>
    <w:p>
      <w:pPr>
        <w:jc w:val="left"/>
        <w:spacing w:before="0" w:after="120" w:line="260" w:lineRule="auto"/>
      </w:pPr>
      <w:r>
        <w:rPr>
          <w:color w:val="1F2937"/>
          <w:sz w:val="22"/>
          <w:szCs w:val="22"/>
        </w:rPr>
        <w:t xml:space="preserve">Corporate clients can upload spreadsheets directly from SAP, Oracle, Tally, or custom HRMS without manual reformatting:</w:t>
      </w:r>
    </w:p>
    <w:p>
      <w:pPr>
        <w:ind w:left="480" w:hanging="240"/>
        <w:spacing w:before="40" w:after="80" w:line="240" w:lineRule="auto"/>
      </w:pPr>
      <w:r>
        <w:rPr>
          <w:b/>
          <w:color w:val="0A3871"/>
          <w:sz w:val="22"/>
          <w:szCs w:val="22"/>
        </w:rPr>
        <w:t xml:space="preserve">•  File Support: </w:t>
      </w:r>
      <w:r>
        <w:rPr>
          <w:color w:val="1F2937"/>
          <w:sz w:val="22"/>
          <w:szCs w:val="22"/>
        </w:rPr>
        <w:t xml:space="preserve">ed Formats: Microsoft Excel (.xlsx, .xls) and Comma-Separated Values (.csv).</w:t>
      </w:r>
    </w:p>
    <w:p>
      <w:pPr>
        <w:ind w:left="480" w:hanging="240"/>
        <w:spacing w:before="40" w:after="80" w:line="240" w:lineRule="auto"/>
      </w:pPr>
      <w:r>
        <w:rPr>
          <w:b/>
          <w:color w:val="0A3871"/>
          <w:sz w:val="22"/>
          <w:szCs w:val="22"/>
        </w:rPr>
        <w:t xml:space="preserve">•  Column Mapping: </w:t>
      </w:r>
      <w:r>
        <w:rPr>
          <w:color w:val="1F2937"/>
          <w:sz w:val="22"/>
          <w:szCs w:val="22"/>
        </w:rPr>
        <w:t xml:space="preserve">Visual Column Mapping: Map spreadsheet headers to Core Banking target fields: Account Number, Account Title, Bank Name, Branch Name, Routing Number, Payment Amount, and Narration.</w:t>
      </w:r>
    </w:p>
    <w:p>
      <w:pPr>
        <w:ind w:left="480" w:hanging="240"/>
        <w:spacing w:before="40" w:after="80" w:line="240" w:lineRule="auto"/>
      </w:pPr>
      <w:r>
        <w:rPr>
          <w:b/>
          <w:color w:val="0A3871"/>
          <w:sz w:val="22"/>
          <w:szCs w:val="22"/>
        </w:rPr>
        <w:t xml:space="preserve">•  Substring Rules: </w:t>
      </w:r>
      <w:r>
        <w:rPr>
          <w:color w:val="1F2937"/>
          <w:sz w:val="22"/>
          <w:szCs w:val="22"/>
        </w:rPr>
        <w:t xml:space="preserve">Substring Extraction Rules: Define character range rules (e.g., extract 13 digits starting from index 5 in composite ERP strings like 'EMP-0012345678901-SAL').</w:t>
      </w:r>
    </w:p>
    <w:p>
      <w:pPr>
        <w:ind w:left="480" w:hanging="240"/>
        <w:spacing w:before="40" w:after="80" w:line="240" w:lineRule="auto"/>
      </w:pPr>
      <w:r>
        <w:rPr>
          <w:b/>
          <w:color w:val="0A3871"/>
          <w:sz w:val="22"/>
          <w:szCs w:val="22"/>
        </w:rPr>
        <w:t xml:space="preserve">•  Named Profiles: </w:t>
      </w:r>
      <w:r>
        <w:rPr>
          <w:color w:val="1F2937"/>
          <w:sz w:val="22"/>
          <w:szCs w:val="22"/>
        </w:rPr>
        <w:t xml:space="preserve">Saved Profiles: Save named profiles (e.g., 'SAP Factory Payroll', 'Head Office Monthly Salary') for one-click reuse.</w:t>
      </w:r>
    </w:p>
    <w:p>
      <w:pPr>
        <w:pStyle w:val="Heading2"/>
        <w:spacing w:before="240" w:after="120"/>
      </w:pPr>
      <w:r>
        <w:rPr>
          <w:b/>
          <w:color w:val="1E3A8A"/>
          <w:sz w:val="28"/>
          <w:szCs w:val="28"/>
        </w:rPr>
        <w:t>5.2 Pre-Execution Validation &amp; Error Handling</w:t>
      </w:r>
    </w:p>
    <w:p>
      <w:pPr>
        <w:jc w:val="left"/>
        <w:spacing w:before="0" w:after="120" w:line="260" w:lineRule="auto"/>
      </w:pPr>
      <w:r>
        <w:rPr>
          <w:color w:val="1F2937"/>
          <w:sz w:val="22"/>
          <w:szCs w:val="22"/>
        </w:rPr>
        <w:t xml:space="preserve">Upon file upload, the engine pre-validates every row: syntax checks, routing number resolution, and real-time core banking status verification for internal Citizens Bank accounts (verifying accounts are Active and not dormant or frozen). If errors exist, an interactive Error Grid highlights specific row numbers and error descriptions with an option to download the error report for correction.</w:t>
      </w:r>
    </w:p>
    <w:p>
      <w:pPr>
        <w:jc w:val="center"/>
        <w:spacing w:before="160" w:after="80"/>
      </w:pPr>
      <w:r>
        <w:drawing>
          <wp:inline xmlns:wp="http://schemas.openxmlformats.org/drawingml/2006/wordprocessingDrawing" distT="0" distB="0" distL="0" distR="0">
            <wp:extent cx="5486400" cy="316995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pic:nvPicPr>
                  <pic:blipFill>
                    <a:blip xmlns:r="http://schemas.openxmlformats.org/officeDocument/2006/relationships" r:embed="rIdImg4"/>
                    <a:stretch>
                      <a:fillRect/>
                    </a:stretch>
                  </pic:blipFill>
                  <pic:spPr>
                    <a:xfrm>
                      <a:off x="0" y="0"/>
                      <a:ext cx="5486400" cy="3169950"/>
                    </a:xfrm>
                    <a:prstGeom prst="rect">
                      <a:avLst/>
                    </a:prstGeom>
                  </pic:spPr>
                </pic:pic>
              </a:graphicData>
            </a:graphic>
          </wp:inline>
        </w:drawing>
      </w:r>
    </w:p>
    <w:p>
      <w:pPr>
        <w:jc w:val="center"/>
        <w:spacing w:before="40" w:after="160"/>
      </w:pPr>
      <w:r>
        <w:rPr>
          <w:i/>
          <w:b/>
          <w:color w:val="0A3871"/>
          <w:sz w:val="18"/>
          <w:szCs w:val="18"/>
        </w:rPr>
        <w:t xml:space="preserve">Figure 4: Bulk Payroll Transfer Engine with Dynamic Column Mapping, Substring Parsing &amp; Pre-Execution Validation</w:t>
      </w:r>
    </w:p>
    <w:p>
      <w:pPr>
        <w:pStyle w:val="Heading2"/>
        <w:spacing w:before="240" w:after="120"/>
      </w:pPr>
      <w:r>
        <w:rPr>
          <w:b/>
          <w:color w:val="1E3A8A"/>
          <w:sz w:val="28"/>
          <w:szCs w:val="28"/>
        </w:rPr>
        <w:t>5.3 Batch Total in Figures &amp; Words and Maker Submission</w:t>
      </w:r>
    </w:p>
    <w:p>
      <w:pPr>
        <w:jc w:val="left"/>
        <w:spacing w:before="0" w:after="120" w:line="260" w:lineRule="auto"/>
      </w:pPr>
      <w:r>
        <w:rPr>
          <w:color w:val="1F2937"/>
          <w:sz w:val="22"/>
          <w:szCs w:val="22"/>
        </w:rPr>
        <w:t xml:space="preserve">Upon validation, the portal displays a Batch Summary Card showing Total Records, Total Amount in Figures, and the total converted into words (e.g., 'BDT Two Crore Forty Lac Fifty Thousand Only'). The Maker reviews the summary and clicks 'Submit Batch', generating a Batch Reference Number (e.g., BATCH-CZB-20261007-0042) and routing it to the authorization queue.</w:t>
      </w:r>
    </w:p>
    <w:p>
      <w:pPr>
        <w:pStyle w:val="Heading1"/>
        <w:spacing w:before="360" w:after="160"/>
      </w:pPr>
      <w:r>
        <w:br w:type="page"/>
      </w:r>
      <w:r>
        <w:rPr>
          <w:b/>
          <w:color w:val="0A3871"/>
          <w:sz w:val="34"/>
          <w:szCs w:val="34"/>
        </w:rPr>
        <w:t>Chapter 6: Dual-Control &amp; Multi-Level Authorization (Checker Guide)</w:t>
      </w:r>
    </w:p>
    <w:p>
      <w:pPr>
        <w:jc w:val="left"/>
        <w:spacing w:before="0" w:after="120" w:line="260" w:lineRule="auto"/>
      </w:pPr>
      <w:r>
        <w:rPr>
          <w:color w:val="1F2937"/>
          <w:sz w:val="22"/>
          <w:szCs w:val="22"/>
        </w:rPr>
        <w:t xml:space="preserve">Checkers log in to /transactions/ftauthorization to inspect and sign off on pending single transfers, bulk payroll batches, and service requests.</w:t>
      </w:r>
    </w:p>
    <w:p>
      <w:pPr>
        <w:pStyle w:val="Heading2"/>
        <w:spacing w:before="240" w:after="120"/>
      </w:pPr>
      <w:r>
        <w:rPr>
          <w:b/>
          <w:color w:val="1E3A8A"/>
          <w:sz w:val="28"/>
          <w:szCs w:val="28"/>
        </w:rPr>
        <w:t>6.1 Step-by-Step Approval Workflow</w:t>
      </w:r>
    </w:p>
    <w:p>
      <w:pPr>
        <w:ind w:left="480" w:hanging="240"/>
        <w:spacing w:before="40" w:after="80" w:line="240" w:lineRule="auto"/>
      </w:pPr>
      <w:r>
        <w:rPr>
          <w:b/>
          <w:color w:val="0A3871"/>
          <w:sz w:val="22"/>
          <w:szCs w:val="22"/>
        </w:rPr>
        <w:t xml:space="preserve">•  Step 1 - Inspect Queue: </w:t>
      </w:r>
      <w:r>
        <w:rPr>
          <w:color w:val="1F2937"/>
          <w:sz w:val="22"/>
          <w:szCs w:val="22"/>
        </w:rPr>
        <w:t xml:space="preserve">Locate the pending transaction or batch in the queue. Inspect Value Date, Batch Reference, Debit Account, Channel, and Total Amount.</w:t>
      </w:r>
    </w:p>
    <w:p>
      <w:pPr>
        <w:ind w:left="480" w:hanging="240"/>
        <w:spacing w:before="40" w:after="80" w:line="240" w:lineRule="auto"/>
      </w:pPr>
      <w:r>
        <w:rPr>
          <w:b/>
          <w:color w:val="0A3871"/>
          <w:sz w:val="22"/>
          <w:szCs w:val="22"/>
        </w:rPr>
        <w:t xml:space="preserve">•  Step 2 - Verification: </w:t>
      </w:r>
      <w:r>
        <w:rPr>
          <w:color w:val="1F2937"/>
          <w:sz w:val="22"/>
          <w:szCs w:val="22"/>
        </w:rPr>
        <w:t xml:space="preserve">Click 'Details' to inspect row-level recipient names, account numbers, routing codes, and total amounts in figures and words.</w:t>
      </w:r>
    </w:p>
    <w:p>
      <w:pPr>
        <w:ind w:left="480" w:hanging="240"/>
        <w:spacing w:before="40" w:after="80" w:line="240" w:lineRule="auto"/>
      </w:pPr>
      <w:r>
        <w:rPr>
          <w:b/>
          <w:color w:val="0A3871"/>
          <w:sz w:val="22"/>
          <w:szCs w:val="22"/>
        </w:rPr>
        <w:t xml:space="preserve">•  Step 3 - OTP Challenge: </w:t>
      </w:r>
      <w:r>
        <w:rPr>
          <w:color w:val="1F2937"/>
          <w:sz w:val="22"/>
          <w:szCs w:val="22"/>
        </w:rPr>
        <w:t xml:space="preserve">Click 'Authorize / Approve'. The system triggers a dual-channel 2FA OTP to your mobile phone and email.</w:t>
      </w:r>
    </w:p>
    <w:p>
      <w:pPr>
        <w:ind w:left="480" w:hanging="240"/>
        <w:spacing w:before="40" w:after="80" w:line="240" w:lineRule="auto"/>
      </w:pPr>
      <w:r>
        <w:rPr>
          <w:b/>
          <w:color w:val="0A3871"/>
          <w:sz w:val="22"/>
          <w:szCs w:val="22"/>
        </w:rPr>
        <w:t xml:space="preserve">•  Step 4 - Execution: </w:t>
      </w:r>
      <w:r>
        <w:rPr>
          <w:color w:val="1F2937"/>
          <w:sz w:val="22"/>
          <w:szCs w:val="22"/>
        </w:rPr>
        <w:t xml:space="preserve">Enter the 6-digit OTP within 120 seconds and click 'Confirm'. The Core Banking API executes real-time disbursements and generates a downloadable voucher.</w:t>
      </w:r>
    </w:p>
    <w:p>
      <w:pPr>
        <w:jc w:val="center"/>
        <w:spacing w:before="160" w:after="80"/>
      </w:pPr>
      <w:r>
        <w:drawing>
          <wp:inline xmlns:wp="http://schemas.openxmlformats.org/drawingml/2006/wordprocessingDrawing" distT="0" distB="0" distL="0" distR="0">
            <wp:extent cx="5486400" cy="316995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pic:nvPicPr>
                  <pic:blipFill>
                    <a:blip xmlns:r="http://schemas.openxmlformats.org/officeDocument/2006/relationships" r:embed="rIdImg5"/>
                    <a:stretch>
                      <a:fillRect/>
                    </a:stretch>
                  </pic:blipFill>
                  <pic:spPr>
                    <a:xfrm>
                      <a:off x="0" y="0"/>
                      <a:ext cx="5486400" cy="3169950"/>
                    </a:xfrm>
                    <a:prstGeom prst="rect">
                      <a:avLst/>
                    </a:prstGeom>
                  </pic:spPr>
                </pic:pic>
              </a:graphicData>
            </a:graphic>
          </wp:inline>
        </w:drawing>
      </w:r>
    </w:p>
    <w:p>
      <w:pPr>
        <w:jc w:val="center"/>
        <w:spacing w:before="40" w:after="160"/>
      </w:pPr>
      <w:r>
        <w:rPr>
          <w:i/>
          <w:b/>
          <w:color w:val="0A3871"/>
          <w:sz w:val="18"/>
          <w:szCs w:val="18"/>
        </w:rPr>
        <w:t xml:space="preserve">Figure 5: Checker Authorization Queue, Transaction Detail Inspector &amp; 2FA OTP Cryptographic Sign-Off Modal</w:t>
      </w:r>
    </w:p>
    <w:p>
      <w:pPr>
        <w:pStyle w:val="Heading2"/>
        <w:spacing w:before="240" w:after="120"/>
      </w:pPr>
      <w:r>
        <w:rPr>
          <w:b/>
          <w:color w:val="1E3A8A"/>
          <w:sz w:val="28"/>
          <w:szCs w:val="28"/>
        </w:rPr>
        <w:t>6.2 Rejection Workflow</w:t>
      </w:r>
    </w:p>
    <w:p>
      <w:pPr>
        <w:jc w:val="left"/>
        <w:spacing w:before="0" w:after="120" w:line="260" w:lineRule="auto"/>
      </w:pPr>
      <w:r>
        <w:rPr>
          <w:color w:val="1F2937"/>
          <w:sz w:val="22"/>
          <w:szCs w:val="22"/>
        </w:rPr>
        <w:t xml:space="preserve">If discrepancies exist, click 'Reject'. A mandatory remarks dialog appears requiring a specific rejection explanation (minimum 10 characters, e.g., 'Incorrect payment amount for invoice #402'). The Maker is notified, and the item is logged as REJECTED in the audit trail.</w:t>
      </w:r>
    </w:p>
    <w:p>
      <w:pPr>
        <w:pStyle w:val="Heading1"/>
        <w:spacing w:before="360" w:after="160"/>
      </w:pPr>
      <w:r>
        <w:br w:type="page"/>
      </w:r>
      <w:r>
        <w:rPr>
          <w:b/>
          <w:color w:val="0A3871"/>
          <w:sz w:val="34"/>
          <w:szCs w:val="34"/>
        </w:rPr>
        <w:t>Chapter 7: Corporate Account Management &amp; Statement Reconciliation</w:t>
      </w:r>
    </w:p>
    <w:p>
      <w:pPr>
        <w:pStyle w:val="Heading2"/>
        <w:spacing w:before="240" w:after="120"/>
      </w:pPr>
      <w:r>
        <w:rPr>
          <w:b/>
          <w:color w:val="1E3A8A"/>
          <w:sz w:val="28"/>
          <w:szCs w:val="28"/>
        </w:rPr>
        <w:t>7.1 Account Details &amp; Cheque History (/account/account-details)</w:t>
      </w:r>
    </w:p>
    <w:p>
      <w:pPr>
        <w:jc w:val="left"/>
        <w:spacing w:before="0" w:after="120" w:line="260" w:lineRule="auto"/>
      </w:pPr>
      <w:r>
        <w:rPr>
          <w:color w:val="1F2937"/>
          <w:sz w:val="22"/>
          <w:szCs w:val="22"/>
        </w:rPr>
        <w:t xml:space="preserve">Provides an in-depth view of individual corporate accounts: Ledger Balance, Available Balance, Lien/Hold Amount (funds held for LC margins or guarantees), and Cheque Leaf Status Inquiry (Issued, In-Clearing, Honored, Stopped, or Bounced).</w:t>
      </w:r>
    </w:p>
    <w:p>
      <w:pPr>
        <w:pStyle w:val="Heading2"/>
        <w:spacing w:before="240" w:after="120"/>
      </w:pPr>
      <w:r>
        <w:rPr>
          <w:b/>
          <w:color w:val="1E3A8A"/>
          <w:sz w:val="28"/>
          <w:szCs w:val="28"/>
        </w:rPr>
        <w:t>7.2 Statement Inquiry &amp; High-Resolution Export (/account/statement)</w:t>
      </w:r>
    </w:p>
    <w:p>
      <w:pPr>
        <w:jc w:val="left"/>
        <w:spacing w:before="0" w:after="120" w:line="260" w:lineRule="auto"/>
      </w:pPr>
      <w:r>
        <w:rPr>
          <w:color w:val="1F2937"/>
          <w:sz w:val="22"/>
          <w:szCs w:val="22"/>
        </w:rPr>
        <w:t xml:space="preserve">Generate detailed transaction statements using flexible filters: Account Selector, Preset Period Filters (Today, 7 Days, 1 Month, 3 Months, Financial Year), or Custom Date ranges, rendering up to 500 rows per page with search-within-results.</w:t>
      </w:r>
    </w:p>
    <w:p>
      <w:pPr>
        <w:ind w:left="480" w:hanging="240"/>
        <w:spacing w:before="40" w:after="80" w:line="240" w:lineRule="auto"/>
      </w:pPr>
      <w:r>
        <w:rPr>
          <w:b/>
          <w:color w:val="0A3871"/>
          <w:sz w:val="22"/>
          <w:szCs w:val="22"/>
        </w:rPr>
        <w:t xml:space="preserve">•  PDF Statement: </w:t>
      </w:r>
      <w:r>
        <w:rPr>
          <w:color w:val="1F2937"/>
          <w:sz w:val="22"/>
          <w:szCs w:val="22"/>
        </w:rPr>
        <w:t xml:space="preserve">Download Official PDF: Download high-resolution signed statements generated via CloudNetReportAPI complete with bank logo, branch details, CIF, and balances.</w:t>
      </w:r>
    </w:p>
    <w:p>
      <w:pPr>
        <w:ind w:left="480" w:hanging="240"/>
        <w:spacing w:before="40" w:after="80" w:line="240" w:lineRule="auto"/>
      </w:pPr>
      <w:r>
        <w:rPr>
          <w:b/>
          <w:color w:val="0A3871"/>
          <w:sz w:val="22"/>
          <w:szCs w:val="22"/>
        </w:rPr>
        <w:t xml:space="preserve">•  Excel Statement: </w:t>
      </w:r>
      <w:r>
        <w:rPr>
          <w:color w:val="1F2937"/>
          <w:sz w:val="22"/>
          <w:szCs w:val="22"/>
        </w:rPr>
        <w:t xml:space="preserve">Download Excel Spreadsheet: Export editable .xlsx spreadsheets for ERP general ledger reconciliation.</w:t>
      </w:r>
    </w:p>
    <w:p>
      <w:pPr>
        <w:jc w:val="center"/>
        <w:spacing w:before="160" w:after="80"/>
      </w:pPr>
      <w:r>
        <w:drawing>
          <wp:inline xmlns:wp="http://schemas.openxmlformats.org/drawingml/2006/wordprocessingDrawing" distT="0" distB="0" distL="0" distR="0">
            <wp:extent cx="5486400" cy="3169950"/>
            <wp:effectExtent l="0" t="0" r="0" b="0"/>
            <wp:docPr id="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pic:cNvPicPr/>
                  </pic:nvPicPr>
                  <pic:blipFill>
                    <a:blip xmlns:r="http://schemas.openxmlformats.org/officeDocument/2006/relationships" r:embed="rIdImg6"/>
                    <a:stretch>
                      <a:fillRect/>
                    </a:stretch>
                  </pic:blipFill>
                  <pic:spPr>
                    <a:xfrm>
                      <a:off x="0" y="0"/>
                      <a:ext cx="5486400" cy="3169950"/>
                    </a:xfrm>
                    <a:prstGeom prst="rect">
                      <a:avLst/>
                    </a:prstGeom>
                  </pic:spPr>
                </pic:pic>
              </a:graphicData>
            </a:graphic>
          </wp:inline>
        </w:drawing>
      </w:r>
    </w:p>
    <w:p>
      <w:pPr>
        <w:jc w:val="center"/>
        <w:spacing w:before="40" w:after="160"/>
      </w:pPr>
      <w:r>
        <w:rPr>
          <w:i/>
          <w:b/>
          <w:color w:val="0A3871"/>
          <w:sz w:val="18"/>
          <w:szCs w:val="18"/>
        </w:rPr>
        <w:t xml:space="preserve">Figure 6: Corporate Account Statement Inquiry Console with Multi-criteria Filtering &amp; Signed PDF/Excel Export</w:t>
      </w:r>
    </w:p>
    <w:p>
      <w:pPr>
        <w:pStyle w:val="Heading2"/>
        <w:spacing w:before="240" w:after="120"/>
      </w:pPr>
      <w:r>
        <w:rPr>
          <w:b/>
          <w:color w:val="1E3A8A"/>
          <w:sz w:val="28"/>
          <w:szCs w:val="28"/>
        </w:rPr>
        <w:t>7.3 Transaction Receipts (/account/transaction-receipt)</w:t>
      </w:r>
    </w:p>
    <w:p>
      <w:pPr>
        <w:jc w:val="left"/>
        <w:spacing w:before="0" w:after="120" w:line="260" w:lineRule="auto"/>
      </w:pPr>
      <w:r>
        <w:rPr>
          <w:color w:val="1F2937"/>
          <w:sz w:val="22"/>
          <w:szCs w:val="22"/>
        </w:rPr>
        <w:t xml:space="preserve">Download official branded transaction vouchers containing CBS Transaction ID, Clearing Batch Reference, Value Date, Sender Account, Recipient Title, Channel, and Amount in Figures and Words.</w:t>
      </w:r>
    </w:p>
    <w:p>
      <w:pPr>
        <w:pStyle w:val="Heading1"/>
        <w:spacing w:before="360" w:after="160"/>
      </w:pPr>
      <w:r>
        <w:br w:type="page"/>
      </w:r>
      <w:r>
        <w:rPr>
          <w:b/>
          <w:color w:val="0A3871"/>
          <w:sz w:val="34"/>
          <w:szCs w:val="34"/>
        </w:rPr>
        <w:t>Chapter 8: Beneficiary Directory Management Hub</w:t>
      </w:r>
    </w:p>
    <w:p>
      <w:pPr>
        <w:jc w:val="left"/>
        <w:spacing w:before="0" w:after="120" w:line="260" w:lineRule="auto"/>
      </w:pPr>
      <w:r>
        <w:rPr>
          <w:color w:val="1F2937"/>
          <w:sz w:val="22"/>
          <w:szCs w:val="22"/>
        </w:rPr>
        <w:t xml:space="preserve">The Beneficiary Directory (/beneficiary/beneficiary) centralizes payee management across Own Bank (Citizens Bank), Other Bank, and MFS categories.</w:t>
      </w:r>
    </w:p>
    <w:p>
      <w:pPr>
        <w:ind w:left="480" w:hanging="240"/>
        <w:spacing w:before="40" w:after="80" w:line="240" w:lineRule="auto"/>
      </w:pPr>
      <w:r>
        <w:rPr>
          <w:b/>
          <w:color w:val="0A3871"/>
          <w:sz w:val="22"/>
          <w:szCs w:val="22"/>
        </w:rPr>
        <w:t xml:space="preserve">•  Enrolling Own Bank: </w:t>
      </w:r>
      <w:r>
        <w:rPr>
          <w:color w:val="1F2937"/>
          <w:sz w:val="22"/>
          <w:szCs w:val="22"/>
        </w:rPr>
        <w:t xml:space="preserve">Own Bank Payee: Input 13-digit account number. System auto-verifies and displays Account Title via CBS. Assign Nickname and verify via 2FA OTP.</w:t>
      </w:r>
    </w:p>
    <w:p>
      <w:pPr>
        <w:ind w:left="480" w:hanging="240"/>
        <w:spacing w:before="40" w:after="80" w:line="240" w:lineRule="auto"/>
      </w:pPr>
      <w:r>
        <w:rPr>
          <w:b/>
          <w:color w:val="0A3871"/>
          <w:sz w:val="22"/>
          <w:szCs w:val="22"/>
        </w:rPr>
        <w:t xml:space="preserve">•  Enrolling Other Bank: </w:t>
      </w:r>
      <w:r>
        <w:rPr>
          <w:color w:val="1F2937"/>
          <w:sz w:val="22"/>
          <w:szCs w:val="22"/>
        </w:rPr>
        <w:t xml:space="preserve">Other Bank Payee: Select Account or Card. Enter Account Title, Account Number, select Bank -&gt; District -&gt; Branch. System auto-populates the 9-digit routing number. Verify via OTP.</w:t>
      </w:r>
    </w:p>
    <w:p>
      <w:pPr>
        <w:ind w:left="480" w:hanging="240"/>
        <w:spacing w:before="40" w:after="80" w:line="240" w:lineRule="auto"/>
      </w:pPr>
      <w:r>
        <w:rPr>
          <w:b/>
          <w:color w:val="0A3871"/>
          <w:sz w:val="22"/>
          <w:szCs w:val="22"/>
        </w:rPr>
        <w:t xml:space="preserve">•  Enrolling MFS: </w:t>
      </w:r>
      <w:r>
        <w:rPr>
          <w:color w:val="1F2937"/>
          <w:sz w:val="22"/>
          <w:szCs w:val="22"/>
        </w:rPr>
        <w:t xml:space="preserve">Payee: Select provider (bKash, Nagad, Rocket, Upay, TAP), input valid wallet number, assign Nickname, and verify via OTP.</w:t>
      </w:r>
    </w:p>
    <w:p>
      <w:pPr>
        <w:ind w:left="480" w:hanging="240"/>
        <w:spacing w:before="40" w:after="80" w:line="240" w:lineRule="auto"/>
      </w:pPr>
      <w:r>
        <w:rPr>
          <w:b/>
          <w:color w:val="0A3871"/>
          <w:sz w:val="22"/>
          <w:szCs w:val="22"/>
        </w:rPr>
        <w:t xml:space="preserve">•  Field Locking Rule: </w:t>
      </w:r>
      <w:r>
        <w:rPr>
          <w:color w:val="1F2937"/>
          <w:sz w:val="22"/>
          <w:szCs w:val="22"/>
        </w:rPr>
        <w:t xml:space="preserve">Field Locking Policy: Once authorized and saved, core financial routing fields (Account Number, Bank, Branch, Routing Number, Wallet Number) are permanently locked. Users can only edit the Nickname.</w:t>
      </w:r>
    </w:p>
    <w:p>
      <w:pPr>
        <w:pStyle w:val="Heading1"/>
        <w:spacing w:before="360" w:after="160"/>
      </w:pPr>
      <w:r>
        <w:br w:type="page"/>
      </w:r>
      <w:r>
        <w:rPr>
          <w:b/>
          <w:color w:val="0A3871"/>
          <w:sz w:val="34"/>
          <w:szCs w:val="34"/>
        </w:rPr>
        <w:t>Chapter 9: Corporate Service Requests ('Requests Desk')</w:t>
      </w:r>
    </w:p>
    <w:p>
      <w:pPr>
        <w:pStyle w:val="Heading2"/>
        <w:spacing w:before="240" w:after="120"/>
      </w:pPr>
      <w:r>
        <w:rPr>
          <w:b/>
          <w:color w:val="1E3A8A"/>
          <w:sz w:val="28"/>
          <w:szCs w:val="28"/>
        </w:rPr>
        <w:t>9.1 Bank Solvency Certificate Requisition (/myservices/banksolvencyrequest)</w:t>
      </w:r>
    </w:p>
    <w:p>
      <w:pPr>
        <w:jc w:val="left"/>
        <w:spacing w:before="0" w:after="120" w:line="260" w:lineRule="auto"/>
      </w:pPr>
      <w:r>
        <w:rPr>
          <w:color w:val="1F2937"/>
          <w:sz w:val="22"/>
          <w:szCs w:val="22"/>
        </w:rPr>
        <w:t xml:space="preserve">Request official Bank Solvency Certificates online for tender bids, visa applications, or audit reviews. Select Account Number, Purpose, Currency conversion preferences, and Delivery Branch or digital issuance.</w:t>
      </w:r>
    </w:p>
    <w:p>
      <w:pPr>
        <w:pStyle w:val="Heading2"/>
        <w:spacing w:before="240" w:after="120"/>
      </w:pPr>
      <w:r>
        <w:rPr>
          <w:b/>
          <w:color w:val="1E3A8A"/>
          <w:sz w:val="28"/>
          <w:szCs w:val="28"/>
        </w:rPr>
        <w:t>9.2 Tax Return Proof (PSR) Document Upload (/myservices/tax-document-upload)</w:t>
      </w:r>
    </w:p>
    <w:p>
      <w:pPr>
        <w:jc w:val="left"/>
        <w:spacing w:before="0" w:after="120" w:line="260" w:lineRule="auto"/>
      </w:pPr>
      <w:r>
        <w:rPr>
          <w:color w:val="1F2937"/>
          <w:sz w:val="22"/>
          <w:szCs w:val="22"/>
        </w:rPr>
        <w:t xml:space="preserve">In accordance with NBR regulations, upload annual Proof of Submission of Return (PSR) acknowledgment slips. Attaching valid slips ensures corporate accounts retain the standard 10% withholding tax rate instead of the 20% non-compliance penalty rate.</w:t>
      </w:r>
    </w:p>
    <w:p>
      <w:pPr>
        <w:pStyle w:val="Heading2"/>
        <w:spacing w:before="240" w:after="120"/>
      </w:pPr>
      <w:r>
        <w:rPr>
          <w:b/>
          <w:color w:val="1E3A8A"/>
          <w:sz w:val="28"/>
          <w:szCs w:val="28"/>
        </w:rPr>
        <w:t>9.3 Centralized Service Request Log (/myservices/request-log)</w:t>
      </w:r>
    </w:p>
    <w:p>
      <w:pPr>
        <w:jc w:val="left"/>
        <w:spacing w:before="0" w:after="120" w:line="260" w:lineRule="auto"/>
      </w:pPr>
      <w:r>
        <w:rPr>
          <w:color w:val="1F2937"/>
          <w:sz w:val="22"/>
          <w:szCs w:val="22"/>
        </w:rPr>
        <w:t xml:space="preserve">Track the real-time lifecycle of all submitted service tickets with status badges: Pending (Amber), In-Review (Blue), Approved / Dispatched (Green), and Rejected (Red).</w:t>
      </w:r>
    </w:p>
    <w:p>
      <w:pPr>
        <w:pStyle w:val="Heading1"/>
        <w:spacing w:before="360" w:after="160"/>
      </w:pPr>
      <w:r>
        <w:br w:type="page"/>
      </w:r>
      <w:r>
        <w:rPr>
          <w:b/>
          <w:color w:val="0A3871"/>
          <w:sz w:val="34"/>
          <w:szCs w:val="34"/>
        </w:rPr>
        <w:t>Chapter 10: Corporate Administration &amp; User Management</w:t>
      </w:r>
    </w:p>
    <w:p>
      <w:pPr>
        <w:pStyle w:val="Heading2"/>
        <w:spacing w:before="240" w:after="120"/>
      </w:pPr>
      <w:r>
        <w:rPr>
          <w:b/>
          <w:color w:val="1E3A8A"/>
          <w:sz w:val="28"/>
          <w:szCs w:val="28"/>
        </w:rPr>
        <w:t>10.1 Provisioning Child Operators (/usermanagement/usercreation-request)</w:t>
      </w:r>
    </w:p>
    <w:p>
      <w:pPr>
        <w:jc w:val="left"/>
        <w:spacing w:before="0" w:after="120" w:line="260" w:lineRule="auto"/>
      </w:pPr>
      <w:r>
        <w:rPr>
          <w:color w:val="1F2937"/>
          <w:sz w:val="22"/>
          <w:szCs w:val="22"/>
        </w:rPr>
        <w:t xml:space="preserve">Corporate Master Administrators provision child user accounts under the corporate domain. Fields include Full Name, Official Employee ID, Department, Corporate Email, Mobile Number, Designation, and Assigned Role (Maker, Checker, Viewer).</w:t>
      </w:r>
    </w:p>
    <w:p>
      <w:pPr>
        <w:pStyle w:val="Heading2"/>
        <w:spacing w:before="240" w:after="120"/>
      </w:pPr>
      <w:r>
        <w:rPr>
          <w:b/>
          <w:color w:val="1E3A8A"/>
          <w:sz w:val="28"/>
          <w:szCs w:val="28"/>
        </w:rPr>
        <w:t>10.2 User Account Permission Matrix (/usermanagement/useraccountpermission)</w:t>
      </w:r>
    </w:p>
    <w:p>
      <w:pPr>
        <w:jc w:val="left"/>
        <w:spacing w:before="0" w:after="120" w:line="260" w:lineRule="auto"/>
      </w:pPr>
      <w:r>
        <w:rPr>
          <w:color w:val="1F2937"/>
          <w:sz w:val="22"/>
          <w:szCs w:val="22"/>
        </w:rPr>
        <w:t xml:space="preserve">Configure account-level access controls and monetary limits on a per-user, per-account basis: associate specific corporate bank accounts with individual users, set Single Transaction Caps, Daily Cumulative Volume Caps, and Daily Transaction Count limits.</w:t>
      </w:r>
    </w:p>
    <w:p>
      <w:pPr>
        <w:pStyle w:val="Heading1"/>
        <w:spacing w:before="360" w:after="160"/>
      </w:pPr>
      <w:r>
        <w:br w:type="page"/>
      </w:r>
      <w:r>
        <w:rPr>
          <w:b/>
          <w:color w:val="0A3871"/>
          <w:sz w:val="34"/>
          <w:szCs w:val="34"/>
        </w:rPr>
        <w:t>Chapter 11: Audit Trails &amp; Enterprise Cybersecurity Governance</w:t>
      </w:r>
    </w:p>
    <w:p>
      <w:pPr>
        <w:pStyle w:val="Heading2"/>
        <w:spacing w:before="240" w:after="120"/>
      </w:pPr>
      <w:r>
        <w:rPr>
          <w:b/>
          <w:color w:val="1E3A8A"/>
          <w:sz w:val="28"/>
          <w:szCs w:val="28"/>
        </w:rPr>
        <w:t>11.1 Immutable User Activity Log (/activity/useractivity)</w:t>
      </w:r>
    </w:p>
    <w:p>
      <w:pPr>
        <w:jc w:val="left"/>
        <w:spacing w:before="0" w:after="120" w:line="260" w:lineRule="auto"/>
      </w:pPr>
      <w:r>
        <w:rPr>
          <w:color w:val="1F2937"/>
          <w:sz w:val="22"/>
          <w:szCs w:val="22"/>
        </w:rPr>
        <w:t xml:space="preserve">An immutable audit trail recording all user interactions: Logins, Logouts, Beneficiary Additions, File Mappings, and Transaction Authorizations. Each log entry captures Timestamp (ISO 8601), User ID, Client Network IP Address (resolved dynamically via UserIPUrl), Action Category, and Status (SUCCESS, FAILED, REVOKED).</w:t>
      </w:r>
    </w:p>
    <w:p>
      <w:pPr>
        <w:pStyle w:val="Heading2"/>
        <w:spacing w:before="240" w:after="120"/>
      </w:pPr>
      <w:r>
        <w:rPr>
          <w:b/>
          <w:color w:val="1E3A8A"/>
          <w:sz w:val="28"/>
          <w:szCs w:val="28"/>
        </w:rPr>
        <w:t>11.2 Best Practices for Corporate Cyber Hygiene</w:t>
      </w:r>
    </w:p>
    <w:p>
      <w:pPr>
        <w:ind w:left="480" w:hanging="240"/>
        <w:spacing w:before="40" w:after="80" w:line="240" w:lineRule="auto"/>
      </w:pPr>
      <w:r>
        <w:rPr>
          <w:b/>
          <w:color w:val="0A3871"/>
          <w:sz w:val="22"/>
          <w:szCs w:val="22"/>
        </w:rPr>
        <w:t xml:space="preserve">•  Zero Credential Sharing: </w:t>
      </w:r>
      <w:r>
        <w:rPr>
          <w:color w:val="1F2937"/>
          <w:sz w:val="22"/>
          <w:szCs w:val="22"/>
        </w:rPr>
        <w:t xml:space="preserve">Never share login credentials or OTPs with colleagues or external callers.</w:t>
      </w:r>
    </w:p>
    <w:p>
      <w:pPr>
        <w:ind w:left="480" w:hanging="240"/>
        <w:spacing w:before="40" w:after="80" w:line="240" w:lineRule="auto"/>
      </w:pPr>
      <w:r>
        <w:rPr>
          <w:b/>
          <w:color w:val="0A3871"/>
          <w:sz w:val="22"/>
          <w:szCs w:val="22"/>
        </w:rPr>
        <w:t xml:space="preserve">•  Account Title Verification: </w:t>
      </w:r>
      <w:r>
        <w:rPr>
          <w:color w:val="1F2937"/>
          <w:sz w:val="22"/>
          <w:szCs w:val="22"/>
        </w:rPr>
        <w:t xml:space="preserve">Always visually verify the Account Title retrieved from CBS before confirming single transfers.</w:t>
      </w:r>
    </w:p>
    <w:p>
      <w:pPr>
        <w:ind w:left="480" w:hanging="240"/>
        <w:spacing w:before="40" w:after="80" w:line="240" w:lineRule="auto"/>
      </w:pPr>
      <w:r>
        <w:rPr>
          <w:b/>
          <w:color w:val="0A3871"/>
          <w:sz w:val="22"/>
          <w:szCs w:val="22"/>
        </w:rPr>
        <w:t xml:space="preserve">•  Figures vs Words Check: </w:t>
      </w:r>
      <w:r>
        <w:rPr>
          <w:color w:val="1F2937"/>
          <w:sz w:val="22"/>
          <w:szCs w:val="22"/>
        </w:rPr>
        <w:t xml:space="preserve">Confirm that bulk payroll amounts in words match your company's approved payroll register.</w:t>
      </w:r>
    </w:p>
    <w:p>
      <w:pPr>
        <w:ind w:left="480" w:hanging="240"/>
        <w:spacing w:before="40" w:after="80" w:line="240" w:lineRule="auto"/>
      </w:pPr>
      <w:r>
        <w:rPr>
          <w:b/>
          <w:color w:val="0A3871"/>
          <w:sz w:val="22"/>
          <w:szCs w:val="22"/>
        </w:rPr>
        <w:t xml:space="preserve">•  Phishing Awareness: </w:t>
      </w:r>
      <w:r>
        <w:rPr>
          <w:color w:val="1F2937"/>
          <w:sz w:val="22"/>
          <w:szCs w:val="22"/>
        </w:rPr>
        <w:t xml:space="preserve">Citizens Bank staff will never ask for your password or OTP. Report suspicious activity immediately to 16222.</w:t>
      </w:r>
    </w:p>
    <w:p>
      <w:pPr>
        <w:pStyle w:val="Heading1"/>
        <w:spacing w:before="360" w:after="160"/>
      </w:pPr>
      <w:r>
        <w:br w:type="page"/>
      </w:r>
      <w:r>
        <w:rPr>
          <w:b/>
          <w:color w:val="0A3871"/>
          <w:sz w:val="34"/>
          <w:szCs w:val="34"/>
        </w:rPr>
        <w:t>Chapter 12: Complete Application Routing &amp; Role Permissions Map</w:t>
      </w:r>
    </w:p>
    <w:p>
      <w:pPr>
        <w:jc w:val="left"/>
        <w:spacing w:before="0" w:after="120" w:line="260" w:lineRule="auto"/>
      </w:pPr>
      <w:r>
        <w:rPr>
          <w:color w:val="1F2937"/>
          <w:sz w:val="22"/>
          <w:szCs w:val="22"/>
        </w:rPr>
        <w:t xml:space="preserve">Master matrix detailing all 29 functional screen routes across the Citizens Bank Corporate Portal:</w:t>
      </w:r>
    </w:p>
    <w:tbl>
      <w:tblPr>
        <w:tblW w:w="936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00" w:type="dxa"/>
          <w:left w:w="140" w:type="dxa"/>
          <w:bottom w:w="100" w:type="dxa"/>
          <w:right w:w="140" w:type="dxa"/>
        </w:tblCellMar>
      </w:tblPr>
      <w:tblGrid>
        <w:gridCol w:w="2700"/>
        <w:gridCol w:w="3160"/>
        <w:gridCol w:w="1300"/>
        <w:gridCol w:w="2200"/>
      </w:tblGrid>
      <w:tr>
        <w:trPr>
          <w:tblHeader/>
        </w:trPr>
        <w:tc>
          <w:tcPr>
            <w:tcW w:w="2700" w:type="dxa"/>
            <w:shd w:val="clear" w:color="auto" w:fill="0A3871"/>
          </w:tcPr>
          <w:p>
            <w:pPr>
              <w:spacing w:before="60" w:after="60"/>
            </w:pPr>
            <w:r>
              <w:rPr>
                <w:b/>
                <w:color w:val="FFFFFF"/>
                <w:sz w:val="20"/>
                <w:szCs w:val="20"/>
              </w:rPr>
              <w:t>Application URL Route</w:t>
            </w:r>
          </w:p>
        </w:tc>
        <w:tc>
          <w:tcPr>
            <w:tcW w:w="3160" w:type="dxa"/>
            <w:shd w:val="clear" w:color="auto" w:fill="0A3871"/>
          </w:tcPr>
          <w:p>
            <w:pPr>
              <w:spacing w:before="60" w:after="60"/>
            </w:pPr>
            <w:r>
              <w:rPr>
                <w:b/>
                <w:color w:val="FFFFFF"/>
                <w:sz w:val="20"/>
                <w:szCs w:val="20"/>
              </w:rPr>
              <w:t>Feature Screen &amp; Operational Purpose</w:t>
            </w:r>
          </w:p>
        </w:tc>
        <w:tc>
          <w:tcPr>
            <w:tcW w:w="1300" w:type="dxa"/>
            <w:shd w:val="clear" w:color="auto" w:fill="0A3871"/>
          </w:tcPr>
          <w:p>
            <w:pPr>
              <w:spacing w:before="60" w:after="60"/>
            </w:pPr>
            <w:r>
              <w:rPr>
                <w:b/>
                <w:color w:val="FFFFFF"/>
                <w:sz w:val="20"/>
                <w:szCs w:val="20"/>
              </w:rPr>
              <w:t>Route Guard</w:t>
            </w:r>
          </w:p>
        </w:tc>
        <w:tc>
          <w:tcPr>
            <w:tcW w:w="2200" w:type="dxa"/>
            <w:shd w:val="clear" w:color="auto" w:fill="0A3871"/>
          </w:tcPr>
          <w:p>
            <w:pPr>
              <w:spacing w:before="60" w:after="60"/>
            </w:pPr>
            <w:r>
              <w:rPr>
                <w:b/>
                <w:color w:val="FFFFFF"/>
                <w:sz w:val="20"/>
                <w:szCs w:val="20"/>
              </w:rPr>
              <w:t>Required Role Permission Code</w:t>
            </w:r>
          </w:p>
        </w:tc>
      </w:tr>
      <w:tr>
        <w:tc>
          <w:tcPr>
            <w:tcW w:w="2700" w:type="dxa"/>
            <w:shd w:val="clear" w:color="auto" w:fill="FFFFFF"/>
          </w:tcPr>
          <w:p>
            <w:pPr>
              <w:spacing w:before="40" w:after="40" w:line="220" w:lineRule="auto"/>
            </w:pPr>
            <w:r>
              <w:rPr>
                <w:color w:val="1F2937"/>
                <w:sz w:val="19"/>
                <w:szCs w:val="19"/>
              </w:rPr>
              <w:t>/login</w:t>
            </w:r>
          </w:p>
        </w:tc>
        <w:tc>
          <w:tcPr>
            <w:tcW w:w="3160" w:type="dxa"/>
            <w:shd w:val="clear" w:color="auto" w:fill="FFFFFF"/>
          </w:tcPr>
          <w:p>
            <w:pPr>
              <w:spacing w:before="40" w:after="40" w:line="220" w:lineRule="auto"/>
            </w:pPr>
            <w:r>
              <w:rPr>
                <w:color w:val="1F2937"/>
                <w:sz w:val="19"/>
                <w:szCs w:val="19"/>
              </w:rPr>
              <w:t>Corporate User Login</w:t>
            </w:r>
          </w:p>
        </w:tc>
        <w:tc>
          <w:tcPr>
            <w:tcW w:w="1300" w:type="dxa"/>
            <w:shd w:val="clear" w:color="auto" w:fill="FFFFFF"/>
          </w:tcPr>
          <w:p>
            <w:pPr>
              <w:spacing w:before="40" w:after="40" w:line="220" w:lineRule="auto"/>
            </w:pPr>
            <w:r>
              <w:rPr>
                <w:color w:val="1F2937"/>
                <w:sz w:val="19"/>
                <w:szCs w:val="19"/>
              </w:rPr>
              <w:t>Public</w:t>
            </w:r>
          </w:p>
        </w:tc>
        <w:tc>
          <w:tcPr>
            <w:tcW w:w="2200" w:type="dxa"/>
            <w:shd w:val="clear" w:color="auto" w:fill="FFFFFF"/>
          </w:tcPr>
          <w:p>
            <w:pPr>
              <w:spacing w:before="40" w:after="40" w:line="220" w:lineRule="auto"/>
            </w:pPr>
            <w:r>
              <w:rPr>
                <w:color w:val="1F2937"/>
                <w:sz w:val="19"/>
                <w:szCs w:val="19"/>
              </w:rPr>
              <w:t>None</w:t>
            </w:r>
          </w:p>
        </w:tc>
      </w:tr>
      <w:tr>
        <w:tc>
          <w:tcPr>
            <w:tcW w:w="2700" w:type="dxa"/>
            <w:shd w:val="clear" w:color="auto" w:fill="F8FAFC"/>
          </w:tcPr>
          <w:p>
            <w:pPr>
              <w:spacing w:before="40" w:after="40" w:line="220" w:lineRule="auto"/>
            </w:pPr>
            <w:r>
              <w:rPr>
                <w:color w:val="1F2937"/>
                <w:sz w:val="19"/>
                <w:szCs w:val="19"/>
              </w:rPr>
              <w:t>/selfregistration</w:t>
            </w:r>
          </w:p>
        </w:tc>
        <w:tc>
          <w:tcPr>
            <w:tcW w:w="3160" w:type="dxa"/>
            <w:shd w:val="clear" w:color="auto" w:fill="F8FAFC"/>
          </w:tcPr>
          <w:p>
            <w:pPr>
              <w:spacing w:before="40" w:after="40" w:line="220" w:lineRule="auto"/>
            </w:pPr>
            <w:r>
              <w:rPr>
                <w:color w:val="1F2937"/>
                <w:sz w:val="19"/>
                <w:szCs w:val="19"/>
              </w:rPr>
              <w:t>Corporate Client Self-Registration</w:t>
            </w:r>
          </w:p>
        </w:tc>
        <w:tc>
          <w:tcPr>
            <w:tcW w:w="1300" w:type="dxa"/>
            <w:shd w:val="clear" w:color="auto" w:fill="F8FAFC"/>
          </w:tcPr>
          <w:p>
            <w:pPr>
              <w:spacing w:before="40" w:after="40" w:line="220" w:lineRule="auto"/>
            </w:pPr>
            <w:r>
              <w:rPr>
                <w:color w:val="1F2937"/>
                <w:sz w:val="19"/>
                <w:szCs w:val="19"/>
              </w:rPr>
              <w:t>Public</w:t>
            </w:r>
          </w:p>
        </w:tc>
        <w:tc>
          <w:tcPr>
            <w:tcW w:w="2200" w:type="dxa"/>
            <w:shd w:val="clear" w:color="auto" w:fill="F8FAFC"/>
          </w:tcPr>
          <w:p>
            <w:pPr>
              <w:spacing w:before="40" w:after="40" w:line="220" w:lineRule="auto"/>
            </w:pPr>
            <w:r>
              <w:rPr>
                <w:color w:val="1F2937"/>
                <w:sz w:val="19"/>
                <w:szCs w:val="19"/>
              </w:rPr>
              <w:t>None</w:t>
            </w:r>
          </w:p>
        </w:tc>
      </w:tr>
      <w:tr>
        <w:tc>
          <w:tcPr>
            <w:tcW w:w="2700" w:type="dxa"/>
            <w:shd w:val="clear" w:color="auto" w:fill="FFFFFF"/>
          </w:tcPr>
          <w:p>
            <w:pPr>
              <w:spacing w:before="40" w:after="40" w:line="220" w:lineRule="auto"/>
            </w:pPr>
            <w:r>
              <w:rPr>
                <w:color w:val="1F2937"/>
                <w:sz w:val="19"/>
                <w:szCs w:val="19"/>
              </w:rPr>
              <w:t>/passwordrecovery</w:t>
            </w:r>
          </w:p>
        </w:tc>
        <w:tc>
          <w:tcPr>
            <w:tcW w:w="3160" w:type="dxa"/>
            <w:shd w:val="clear" w:color="auto" w:fill="FFFFFF"/>
          </w:tcPr>
          <w:p>
            <w:pPr>
              <w:spacing w:before="40" w:after="40" w:line="220" w:lineRule="auto"/>
            </w:pPr>
            <w:r>
              <w:rPr>
                <w:color w:val="1F2937"/>
                <w:sz w:val="19"/>
                <w:szCs w:val="19"/>
              </w:rPr>
              <w:t>Self-Service Password Reset</w:t>
            </w:r>
          </w:p>
        </w:tc>
        <w:tc>
          <w:tcPr>
            <w:tcW w:w="1300" w:type="dxa"/>
            <w:shd w:val="clear" w:color="auto" w:fill="FFFFFF"/>
          </w:tcPr>
          <w:p>
            <w:pPr>
              <w:spacing w:before="40" w:after="40" w:line="220" w:lineRule="auto"/>
            </w:pPr>
            <w:r>
              <w:rPr>
                <w:color w:val="1F2937"/>
                <w:sz w:val="19"/>
                <w:szCs w:val="19"/>
              </w:rPr>
              <w:t>Public</w:t>
            </w:r>
          </w:p>
        </w:tc>
        <w:tc>
          <w:tcPr>
            <w:tcW w:w="2200" w:type="dxa"/>
            <w:shd w:val="clear" w:color="auto" w:fill="FFFFFF"/>
          </w:tcPr>
          <w:p>
            <w:pPr>
              <w:spacing w:before="40" w:after="40" w:line="220" w:lineRule="auto"/>
            </w:pPr>
            <w:r>
              <w:rPr>
                <w:color w:val="1F2937"/>
                <w:sz w:val="19"/>
                <w:szCs w:val="19"/>
              </w:rPr>
              <w:t>None</w:t>
            </w:r>
          </w:p>
        </w:tc>
      </w:tr>
      <w:tr>
        <w:tc>
          <w:tcPr>
            <w:tcW w:w="2700" w:type="dxa"/>
            <w:shd w:val="clear" w:color="auto" w:fill="F8FAFC"/>
          </w:tcPr>
          <w:p>
            <w:pPr>
              <w:spacing w:before="40" w:after="40" w:line="220" w:lineRule="auto"/>
            </w:pPr>
            <w:r>
              <w:rPr>
                <w:color w:val="1F2937"/>
                <w:sz w:val="19"/>
                <w:szCs w:val="19"/>
              </w:rPr>
              <w:t>/useridrecovery</w:t>
            </w:r>
          </w:p>
        </w:tc>
        <w:tc>
          <w:tcPr>
            <w:tcW w:w="3160" w:type="dxa"/>
            <w:shd w:val="clear" w:color="auto" w:fill="F8FAFC"/>
          </w:tcPr>
          <w:p>
            <w:pPr>
              <w:spacing w:before="40" w:after="40" w:line="220" w:lineRule="auto"/>
            </w:pPr>
            <w:r>
              <w:rPr>
                <w:color w:val="1F2937"/>
                <w:sz w:val="19"/>
                <w:szCs w:val="19"/>
              </w:rPr>
              <w:t>User ID Recovery</w:t>
            </w:r>
          </w:p>
        </w:tc>
        <w:tc>
          <w:tcPr>
            <w:tcW w:w="1300" w:type="dxa"/>
            <w:shd w:val="clear" w:color="auto" w:fill="F8FAFC"/>
          </w:tcPr>
          <w:p>
            <w:pPr>
              <w:spacing w:before="40" w:after="40" w:line="220" w:lineRule="auto"/>
            </w:pPr>
            <w:r>
              <w:rPr>
                <w:color w:val="1F2937"/>
                <w:sz w:val="19"/>
                <w:szCs w:val="19"/>
              </w:rPr>
              <w:t>Public</w:t>
            </w:r>
          </w:p>
        </w:tc>
        <w:tc>
          <w:tcPr>
            <w:tcW w:w="2200" w:type="dxa"/>
            <w:shd w:val="clear" w:color="auto" w:fill="F8FAFC"/>
          </w:tcPr>
          <w:p>
            <w:pPr>
              <w:spacing w:before="40" w:after="40" w:line="220" w:lineRule="auto"/>
            </w:pPr>
            <w:r>
              <w:rPr>
                <w:color w:val="1F2937"/>
                <w:sz w:val="19"/>
                <w:szCs w:val="19"/>
              </w:rPr>
              <w:t>None</w:t>
            </w:r>
          </w:p>
        </w:tc>
      </w:tr>
      <w:tr>
        <w:tc>
          <w:tcPr>
            <w:tcW w:w="2700" w:type="dxa"/>
            <w:shd w:val="clear" w:color="auto" w:fill="FFFFFF"/>
          </w:tcPr>
          <w:p>
            <w:pPr>
              <w:spacing w:before="40" w:after="40" w:line="220" w:lineRule="auto"/>
            </w:pPr>
            <w:r>
              <w:rPr>
                <w:color w:val="1F2937"/>
                <w:sz w:val="19"/>
                <w:szCs w:val="19"/>
              </w:rPr>
              <w:t>/instruction</w:t>
            </w:r>
          </w:p>
        </w:tc>
        <w:tc>
          <w:tcPr>
            <w:tcW w:w="3160" w:type="dxa"/>
            <w:shd w:val="clear" w:color="auto" w:fill="FFFFFF"/>
          </w:tcPr>
          <w:p>
            <w:pPr>
              <w:spacing w:before="40" w:after="40" w:line="220" w:lineRule="auto"/>
            </w:pPr>
            <w:r>
              <w:rPr>
                <w:color w:val="1F2937"/>
                <w:sz w:val="19"/>
                <w:szCs w:val="19"/>
              </w:rPr>
              <w:t>Sign-Up Guidelines &amp; Terms</w:t>
            </w:r>
          </w:p>
        </w:tc>
        <w:tc>
          <w:tcPr>
            <w:tcW w:w="1300" w:type="dxa"/>
            <w:shd w:val="clear" w:color="auto" w:fill="FFFFFF"/>
          </w:tcPr>
          <w:p>
            <w:pPr>
              <w:spacing w:before="40" w:after="40" w:line="220" w:lineRule="auto"/>
            </w:pPr>
            <w:r>
              <w:rPr>
                <w:color w:val="1F2937"/>
                <w:sz w:val="19"/>
                <w:szCs w:val="19"/>
              </w:rPr>
              <w:t>Public</w:t>
            </w:r>
          </w:p>
        </w:tc>
        <w:tc>
          <w:tcPr>
            <w:tcW w:w="2200" w:type="dxa"/>
            <w:shd w:val="clear" w:color="auto" w:fill="FFFFFF"/>
          </w:tcPr>
          <w:p>
            <w:pPr>
              <w:spacing w:before="40" w:after="40" w:line="220" w:lineRule="auto"/>
            </w:pPr>
            <w:r>
              <w:rPr>
                <w:color w:val="1F2937"/>
                <w:sz w:val="19"/>
                <w:szCs w:val="19"/>
              </w:rPr>
              <w:t>None</w:t>
            </w:r>
          </w:p>
        </w:tc>
      </w:tr>
      <w:tr>
        <w:tc>
          <w:tcPr>
            <w:tcW w:w="2700" w:type="dxa"/>
            <w:shd w:val="clear" w:color="auto" w:fill="F8FAFC"/>
          </w:tcPr>
          <w:p>
            <w:pPr>
              <w:spacing w:before="40" w:after="40" w:line="220" w:lineRule="auto"/>
            </w:pPr>
            <w:r>
              <w:rPr>
                <w:color w:val="1F2937"/>
                <w:sz w:val="19"/>
                <w:szCs w:val="19"/>
              </w:rPr>
              <w:t>/aboutus</w:t>
            </w:r>
          </w:p>
        </w:tc>
        <w:tc>
          <w:tcPr>
            <w:tcW w:w="3160" w:type="dxa"/>
            <w:shd w:val="clear" w:color="auto" w:fill="F8FAFC"/>
          </w:tcPr>
          <w:p>
            <w:pPr>
              <w:spacing w:before="40" w:after="40" w:line="220" w:lineRule="auto"/>
            </w:pPr>
            <w:r>
              <w:rPr>
                <w:color w:val="1F2937"/>
                <w:sz w:val="19"/>
                <w:szCs w:val="19"/>
              </w:rPr>
              <w:t>About Citizens Bank PLC</w:t>
            </w:r>
          </w:p>
        </w:tc>
        <w:tc>
          <w:tcPr>
            <w:tcW w:w="1300" w:type="dxa"/>
            <w:shd w:val="clear" w:color="auto" w:fill="F8FAFC"/>
          </w:tcPr>
          <w:p>
            <w:pPr>
              <w:spacing w:before="40" w:after="40" w:line="220" w:lineRule="auto"/>
            </w:pPr>
            <w:r>
              <w:rPr>
                <w:color w:val="1F2937"/>
                <w:sz w:val="19"/>
                <w:szCs w:val="19"/>
              </w:rPr>
              <w:t>Public</w:t>
            </w:r>
          </w:p>
        </w:tc>
        <w:tc>
          <w:tcPr>
            <w:tcW w:w="2200" w:type="dxa"/>
            <w:shd w:val="clear" w:color="auto" w:fill="F8FAFC"/>
          </w:tcPr>
          <w:p>
            <w:pPr>
              <w:spacing w:before="40" w:after="40" w:line="220" w:lineRule="auto"/>
            </w:pPr>
            <w:r>
              <w:rPr>
                <w:color w:val="1F2937"/>
                <w:sz w:val="19"/>
                <w:szCs w:val="19"/>
              </w:rPr>
              <w:t>None</w:t>
            </w:r>
          </w:p>
        </w:tc>
      </w:tr>
      <w:tr>
        <w:tc>
          <w:tcPr>
            <w:tcW w:w="2700" w:type="dxa"/>
            <w:shd w:val="clear" w:color="auto" w:fill="FFFFFF"/>
          </w:tcPr>
          <w:p>
            <w:pPr>
              <w:spacing w:before="40" w:after="40" w:line="220" w:lineRule="auto"/>
            </w:pPr>
            <w:r>
              <w:rPr>
                <w:color w:val="1F2937"/>
                <w:sz w:val="19"/>
                <w:szCs w:val="19"/>
              </w:rPr>
              <w:t>/privacypolicy</w:t>
            </w:r>
          </w:p>
        </w:tc>
        <w:tc>
          <w:tcPr>
            <w:tcW w:w="3160" w:type="dxa"/>
            <w:shd w:val="clear" w:color="auto" w:fill="FFFFFF"/>
          </w:tcPr>
          <w:p>
            <w:pPr>
              <w:spacing w:before="40" w:after="40" w:line="220" w:lineRule="auto"/>
            </w:pPr>
            <w:r>
              <w:rPr>
                <w:color w:val="1F2937"/>
                <w:sz w:val="19"/>
                <w:szCs w:val="19"/>
              </w:rPr>
              <w:t>Privacy Policy &amp; Data Protection</w:t>
            </w:r>
          </w:p>
        </w:tc>
        <w:tc>
          <w:tcPr>
            <w:tcW w:w="1300" w:type="dxa"/>
            <w:shd w:val="clear" w:color="auto" w:fill="FFFFFF"/>
          </w:tcPr>
          <w:p>
            <w:pPr>
              <w:spacing w:before="40" w:after="40" w:line="220" w:lineRule="auto"/>
            </w:pPr>
            <w:r>
              <w:rPr>
                <w:color w:val="1F2937"/>
                <w:sz w:val="19"/>
                <w:szCs w:val="19"/>
              </w:rPr>
              <w:t>Public</w:t>
            </w:r>
          </w:p>
        </w:tc>
        <w:tc>
          <w:tcPr>
            <w:tcW w:w="2200" w:type="dxa"/>
            <w:shd w:val="clear" w:color="auto" w:fill="FFFFFF"/>
          </w:tcPr>
          <w:p>
            <w:pPr>
              <w:spacing w:before="40" w:after="40" w:line="220" w:lineRule="auto"/>
            </w:pPr>
            <w:r>
              <w:rPr>
                <w:color w:val="1F2937"/>
                <w:sz w:val="19"/>
                <w:szCs w:val="19"/>
              </w:rPr>
              <w:t>None</w:t>
            </w:r>
          </w:p>
        </w:tc>
      </w:tr>
      <w:tr>
        <w:tc>
          <w:tcPr>
            <w:tcW w:w="2700" w:type="dxa"/>
            <w:shd w:val="clear" w:color="auto" w:fill="F8FAFC"/>
          </w:tcPr>
          <w:p>
            <w:pPr>
              <w:spacing w:before="40" w:after="40" w:line="220" w:lineRule="auto"/>
            </w:pPr>
            <w:r>
              <w:rPr>
                <w:color w:val="1F2937"/>
                <w:sz w:val="19"/>
                <w:szCs w:val="19"/>
              </w:rPr>
              <w:t>/</w:t>
            </w:r>
          </w:p>
        </w:tc>
        <w:tc>
          <w:tcPr>
            <w:tcW w:w="3160" w:type="dxa"/>
            <w:shd w:val="clear" w:color="auto" w:fill="F8FAFC"/>
          </w:tcPr>
          <w:p>
            <w:pPr>
              <w:spacing w:before="40" w:after="40" w:line="220" w:lineRule="auto"/>
            </w:pPr>
            <w:r>
              <w:rPr>
                <w:color w:val="1F2937"/>
                <w:sz w:val="19"/>
                <w:szCs w:val="19"/>
              </w:rPr>
              <w:t>Corporate Dashboard Overview</w:t>
            </w:r>
          </w:p>
        </w:tc>
        <w:tc>
          <w:tcPr>
            <w:tcW w:w="1300" w:type="dxa"/>
            <w:shd w:val="clear" w:color="auto" w:fill="F8FAFC"/>
          </w:tcPr>
          <w:p>
            <w:pPr>
              <w:spacing w:before="40" w:after="40" w:line="220" w:lineRule="auto"/>
            </w:pPr>
            <w:r>
              <w:rPr>
                <w:color w:val="1F2937"/>
                <w:sz w:val="19"/>
                <w:szCs w:val="19"/>
              </w:rPr>
              <w:t>AuthGuard</w:t>
            </w:r>
          </w:p>
        </w:tc>
        <w:tc>
          <w:tcPr>
            <w:tcW w:w="2200" w:type="dxa"/>
            <w:shd w:val="clear" w:color="auto" w:fill="F8FAFC"/>
          </w:tcPr>
          <w:p>
            <w:pPr>
              <w:spacing w:before="40" w:after="40" w:line="220" w:lineRule="auto"/>
            </w:pPr>
            <w:r>
              <w:rPr>
                <w:color w:val="1F2937"/>
                <w:sz w:val="19"/>
                <w:szCs w:val="19"/>
              </w:rPr>
              <w:t>Authenticated Session</w:t>
            </w:r>
          </w:p>
        </w:tc>
      </w:tr>
      <w:tr>
        <w:tc>
          <w:tcPr>
            <w:tcW w:w="2700" w:type="dxa"/>
            <w:shd w:val="clear" w:color="auto" w:fill="FFFFFF"/>
          </w:tcPr>
          <w:p>
            <w:pPr>
              <w:spacing w:before="40" w:after="40" w:line="220" w:lineRule="auto"/>
            </w:pPr>
            <w:r>
              <w:rPr>
                <w:color w:val="1F2937"/>
                <w:sz w:val="19"/>
                <w:szCs w:val="19"/>
              </w:rPr>
              <w:t>/account/account-details</w:t>
            </w:r>
          </w:p>
        </w:tc>
        <w:tc>
          <w:tcPr>
            <w:tcW w:w="3160" w:type="dxa"/>
            <w:shd w:val="clear" w:color="auto" w:fill="FFFFFF"/>
          </w:tcPr>
          <w:p>
            <w:pPr>
              <w:spacing w:before="40" w:after="40" w:line="220" w:lineRule="auto"/>
            </w:pPr>
            <w:r>
              <w:rPr>
                <w:color w:val="1F2937"/>
                <w:sz w:val="19"/>
                <w:szCs w:val="19"/>
              </w:rPr>
              <w:t>Account Details &amp; Cheque History</w:t>
            </w:r>
          </w:p>
        </w:tc>
        <w:tc>
          <w:tcPr>
            <w:tcW w:w="1300" w:type="dxa"/>
            <w:shd w:val="clear" w:color="auto" w:fill="FFFFFF"/>
          </w:tcPr>
          <w:p>
            <w:pPr>
              <w:spacing w:before="40" w:after="40" w:line="220" w:lineRule="auto"/>
            </w:pPr>
            <w:r>
              <w:rPr>
                <w:color w:val="1F2937"/>
                <w:sz w:val="19"/>
                <w:szCs w:val="19"/>
              </w:rPr>
              <w:t>AuthGuard</w:t>
            </w:r>
          </w:p>
        </w:tc>
        <w:tc>
          <w:tcPr>
            <w:tcW w:w="2200" w:type="dxa"/>
            <w:shd w:val="clear" w:color="auto" w:fill="FFFFFF"/>
          </w:tcPr>
          <w:p>
            <w:pPr>
              <w:spacing w:before="40" w:after="40" w:line="220" w:lineRule="auto"/>
            </w:pPr>
            <w:r>
              <w:rPr>
                <w:color w:val="1F2937"/>
                <w:sz w:val="19"/>
                <w:szCs w:val="19"/>
              </w:rPr>
              <w:t>Authenticated Session</w:t>
            </w:r>
          </w:p>
        </w:tc>
      </w:tr>
      <w:tr>
        <w:tc>
          <w:tcPr>
            <w:tcW w:w="2700" w:type="dxa"/>
            <w:shd w:val="clear" w:color="auto" w:fill="F8FAFC"/>
          </w:tcPr>
          <w:p>
            <w:pPr>
              <w:spacing w:before="40" w:after="40" w:line="220" w:lineRule="auto"/>
            </w:pPr>
            <w:r>
              <w:rPr>
                <w:color w:val="1F2937"/>
                <w:sz w:val="19"/>
                <w:szCs w:val="19"/>
              </w:rPr>
              <w:t>/account/statement</w:t>
            </w:r>
          </w:p>
        </w:tc>
        <w:tc>
          <w:tcPr>
            <w:tcW w:w="3160" w:type="dxa"/>
            <w:shd w:val="clear" w:color="auto" w:fill="F8FAFC"/>
          </w:tcPr>
          <w:p>
            <w:pPr>
              <w:spacing w:before="40" w:after="40" w:line="220" w:lineRule="auto"/>
            </w:pPr>
            <w:r>
              <w:rPr>
                <w:color w:val="1F2937"/>
                <w:sz w:val="19"/>
                <w:szCs w:val="19"/>
              </w:rPr>
              <w:t>Statement Inquiry &amp; PDF/Excel Export</w:t>
            </w:r>
          </w:p>
        </w:tc>
        <w:tc>
          <w:tcPr>
            <w:tcW w:w="1300" w:type="dxa"/>
            <w:shd w:val="clear" w:color="auto" w:fill="F8FAFC"/>
          </w:tcPr>
          <w:p>
            <w:pPr>
              <w:spacing w:before="40" w:after="40" w:line="220" w:lineRule="auto"/>
            </w:pPr>
            <w:r>
              <w:rPr>
                <w:color w:val="1F2937"/>
                <w:sz w:val="19"/>
                <w:szCs w:val="19"/>
              </w:rPr>
              <w:t>AuthGuard</w:t>
            </w:r>
          </w:p>
        </w:tc>
        <w:tc>
          <w:tcPr>
            <w:tcW w:w="2200" w:type="dxa"/>
            <w:shd w:val="clear" w:color="auto" w:fill="F8FAFC"/>
          </w:tcPr>
          <w:p>
            <w:pPr>
              <w:spacing w:before="40" w:after="40" w:line="220" w:lineRule="auto"/>
            </w:pPr>
            <w:r>
              <w:rPr>
                <w:color w:val="1F2937"/>
                <w:sz w:val="19"/>
                <w:szCs w:val="19"/>
              </w:rPr>
              <w:t>Authenticated Session</w:t>
            </w:r>
          </w:p>
        </w:tc>
      </w:tr>
      <w:tr>
        <w:tc>
          <w:tcPr>
            <w:tcW w:w="2700" w:type="dxa"/>
            <w:shd w:val="clear" w:color="auto" w:fill="FFFFFF"/>
          </w:tcPr>
          <w:p>
            <w:pPr>
              <w:spacing w:before="40" w:after="40" w:line="220" w:lineRule="auto"/>
            </w:pPr>
            <w:r>
              <w:rPr>
                <w:color w:val="1F2937"/>
                <w:sz w:val="19"/>
                <w:szCs w:val="19"/>
              </w:rPr>
              <w:t>/account/financial-transactions</w:t>
            </w:r>
          </w:p>
        </w:tc>
        <w:tc>
          <w:tcPr>
            <w:tcW w:w="3160" w:type="dxa"/>
            <w:shd w:val="clear" w:color="auto" w:fill="FFFFFF"/>
          </w:tcPr>
          <w:p>
            <w:pPr>
              <w:spacing w:before="40" w:after="40" w:line="220" w:lineRule="auto"/>
            </w:pPr>
            <w:r>
              <w:rPr>
                <w:color w:val="1F2937"/>
                <w:sz w:val="19"/>
                <w:szCs w:val="19"/>
              </w:rPr>
              <w:t>Fund Transfer Transaction History</w:t>
            </w:r>
          </w:p>
        </w:tc>
        <w:tc>
          <w:tcPr>
            <w:tcW w:w="1300" w:type="dxa"/>
            <w:shd w:val="clear" w:color="auto" w:fill="FFFFFF"/>
          </w:tcPr>
          <w:p>
            <w:pPr>
              <w:spacing w:before="40" w:after="40" w:line="220" w:lineRule="auto"/>
            </w:pPr>
            <w:r>
              <w:rPr>
                <w:color w:val="1F2937"/>
                <w:sz w:val="19"/>
                <w:szCs w:val="19"/>
              </w:rPr>
              <w:t>AuthGuard</w:t>
            </w:r>
          </w:p>
        </w:tc>
        <w:tc>
          <w:tcPr>
            <w:tcW w:w="2200" w:type="dxa"/>
            <w:shd w:val="clear" w:color="auto" w:fill="FFFFFF"/>
          </w:tcPr>
          <w:p>
            <w:pPr>
              <w:spacing w:before="40" w:after="40" w:line="220" w:lineRule="auto"/>
            </w:pPr>
            <w:r>
              <w:rPr>
                <w:color w:val="1F2937"/>
                <w:sz w:val="19"/>
                <w:szCs w:val="19"/>
              </w:rPr>
              <w:t>Authenticated Session</w:t>
            </w:r>
          </w:p>
        </w:tc>
      </w:tr>
      <w:tr>
        <w:tc>
          <w:tcPr>
            <w:tcW w:w="2700" w:type="dxa"/>
            <w:shd w:val="clear" w:color="auto" w:fill="F8FAFC"/>
          </w:tcPr>
          <w:p>
            <w:pPr>
              <w:spacing w:before="40" w:after="40" w:line="220" w:lineRule="auto"/>
            </w:pPr>
            <w:r>
              <w:rPr>
                <w:color w:val="1F2937"/>
                <w:sz w:val="19"/>
                <w:szCs w:val="19"/>
              </w:rPr>
              <w:t>/account/transaction-receipt</w:t>
            </w:r>
          </w:p>
        </w:tc>
        <w:tc>
          <w:tcPr>
            <w:tcW w:w="3160" w:type="dxa"/>
            <w:shd w:val="clear" w:color="auto" w:fill="F8FAFC"/>
          </w:tcPr>
          <w:p>
            <w:pPr>
              <w:spacing w:before="40" w:after="40" w:line="220" w:lineRule="auto"/>
            </w:pPr>
            <w:r>
              <w:rPr>
                <w:color w:val="1F2937"/>
                <w:sz w:val="19"/>
                <w:szCs w:val="19"/>
              </w:rPr>
              <w:t>Official Transaction Receipt Slip</w:t>
            </w:r>
          </w:p>
        </w:tc>
        <w:tc>
          <w:tcPr>
            <w:tcW w:w="1300" w:type="dxa"/>
            <w:shd w:val="clear" w:color="auto" w:fill="F8FAFC"/>
          </w:tcPr>
          <w:p>
            <w:pPr>
              <w:spacing w:before="40" w:after="40" w:line="220" w:lineRule="auto"/>
            </w:pPr>
            <w:r>
              <w:rPr>
                <w:color w:val="1F2937"/>
                <w:sz w:val="19"/>
                <w:szCs w:val="19"/>
              </w:rPr>
              <w:t>AuthGuard</w:t>
            </w:r>
          </w:p>
        </w:tc>
        <w:tc>
          <w:tcPr>
            <w:tcW w:w="2200" w:type="dxa"/>
            <w:shd w:val="clear" w:color="auto" w:fill="F8FAFC"/>
          </w:tcPr>
          <w:p>
            <w:pPr>
              <w:spacing w:before="40" w:after="40" w:line="220" w:lineRule="auto"/>
            </w:pPr>
            <w:r>
              <w:rPr>
                <w:color w:val="1F2937"/>
                <w:sz w:val="19"/>
                <w:szCs w:val="19"/>
              </w:rPr>
              <w:t>Authenticated Session</w:t>
            </w:r>
          </w:p>
        </w:tc>
      </w:tr>
      <w:tr>
        <w:tc>
          <w:tcPr>
            <w:tcW w:w="2700" w:type="dxa"/>
            <w:shd w:val="clear" w:color="auto" w:fill="FFFFFF"/>
          </w:tcPr>
          <w:p>
            <w:pPr>
              <w:spacing w:before="40" w:after="40" w:line="220" w:lineRule="auto"/>
            </w:pPr>
            <w:r>
              <w:rPr>
                <w:color w:val="1F2937"/>
                <w:sz w:val="19"/>
                <w:szCs w:val="19"/>
              </w:rPr>
              <w:t>/account/changepassword</w:t>
            </w:r>
          </w:p>
        </w:tc>
        <w:tc>
          <w:tcPr>
            <w:tcW w:w="3160" w:type="dxa"/>
            <w:shd w:val="clear" w:color="auto" w:fill="FFFFFF"/>
          </w:tcPr>
          <w:p>
            <w:pPr>
              <w:spacing w:before="40" w:after="40" w:line="220" w:lineRule="auto"/>
            </w:pPr>
            <w:r>
              <w:rPr>
                <w:color w:val="1F2937"/>
                <w:sz w:val="19"/>
                <w:szCs w:val="19"/>
              </w:rPr>
              <w:t>Change User Password</w:t>
            </w:r>
          </w:p>
        </w:tc>
        <w:tc>
          <w:tcPr>
            <w:tcW w:w="1300" w:type="dxa"/>
            <w:shd w:val="clear" w:color="auto" w:fill="FFFFFF"/>
          </w:tcPr>
          <w:p>
            <w:pPr>
              <w:spacing w:before="40" w:after="40" w:line="220" w:lineRule="auto"/>
            </w:pPr>
            <w:r>
              <w:rPr>
                <w:color w:val="1F2937"/>
                <w:sz w:val="19"/>
                <w:szCs w:val="19"/>
              </w:rPr>
              <w:t>AuthGuard</w:t>
            </w:r>
          </w:p>
        </w:tc>
        <w:tc>
          <w:tcPr>
            <w:tcW w:w="2200" w:type="dxa"/>
            <w:shd w:val="clear" w:color="auto" w:fill="FFFFFF"/>
          </w:tcPr>
          <w:p>
            <w:pPr>
              <w:spacing w:before="40" w:after="40" w:line="220" w:lineRule="auto"/>
            </w:pPr>
            <w:r>
              <w:rPr>
                <w:color w:val="1F2937"/>
                <w:sz w:val="19"/>
                <w:szCs w:val="19"/>
              </w:rPr>
              <w:t>Authenticated Session</w:t>
            </w:r>
          </w:p>
        </w:tc>
      </w:tr>
      <w:tr>
        <w:tc>
          <w:tcPr>
            <w:tcW w:w="2700" w:type="dxa"/>
            <w:shd w:val="clear" w:color="auto" w:fill="F8FAFC"/>
          </w:tcPr>
          <w:p>
            <w:pPr>
              <w:spacing w:before="40" w:after="40" w:line="220" w:lineRule="auto"/>
            </w:pPr>
            <w:r>
              <w:rPr>
                <w:color w:val="1F2937"/>
                <w:sz w:val="19"/>
                <w:szCs w:val="19"/>
              </w:rPr>
              <w:t>/transactions/fundtransfer</w:t>
            </w:r>
          </w:p>
        </w:tc>
        <w:tc>
          <w:tcPr>
            <w:tcW w:w="3160" w:type="dxa"/>
            <w:shd w:val="clear" w:color="auto" w:fill="F8FAFC"/>
          </w:tcPr>
          <w:p>
            <w:pPr>
              <w:spacing w:before="40" w:after="40" w:line="220" w:lineRule="auto"/>
            </w:pPr>
            <w:r>
              <w:rPr>
                <w:color w:val="1F2937"/>
                <w:sz w:val="19"/>
                <w:szCs w:val="19"/>
              </w:rPr>
              <w:t>Single Fund Transfer (EFT/NPSB/RTGS/MFS)</w:t>
            </w:r>
          </w:p>
        </w:tc>
        <w:tc>
          <w:tcPr>
            <w:tcW w:w="1300" w:type="dxa"/>
            <w:shd w:val="clear" w:color="auto" w:fill="F8FAFC"/>
          </w:tcPr>
          <w:p>
            <w:pPr>
              <w:spacing w:before="40" w:after="40" w:line="220" w:lineRule="auto"/>
            </w:pPr>
            <w:r>
              <w:rPr>
                <w:color w:val="1F2937"/>
                <w:sz w:val="19"/>
                <w:szCs w:val="19"/>
              </w:rPr>
              <w:t>RoleGuard</w:t>
            </w:r>
          </w:p>
        </w:tc>
        <w:tc>
          <w:tcPr>
            <w:tcW w:w="2200" w:type="dxa"/>
            <w:shd w:val="clear" w:color="auto" w:fill="F8FAFC"/>
          </w:tcPr>
          <w:p>
            <w:pPr>
              <w:spacing w:before="40" w:after="40" w:line="220" w:lineRule="auto"/>
            </w:pPr>
            <w:r>
              <w:rPr>
                <w:color w:val="1F2937"/>
                <w:sz w:val="19"/>
                <w:szCs w:val="19"/>
              </w:rPr>
              <w:t>CORP_FUND_TRANSFER</w:t>
            </w:r>
          </w:p>
        </w:tc>
      </w:tr>
      <w:tr>
        <w:tc>
          <w:tcPr>
            <w:tcW w:w="2700" w:type="dxa"/>
            <w:shd w:val="clear" w:color="auto" w:fill="FFFFFF"/>
          </w:tcPr>
          <w:p>
            <w:pPr>
              <w:spacing w:before="40" w:after="40" w:line="220" w:lineRule="auto"/>
            </w:pPr>
            <w:r>
              <w:rPr>
                <w:color w:val="1F2937"/>
                <w:sz w:val="19"/>
                <w:szCs w:val="19"/>
              </w:rPr>
              <w:t>/transactions/bulk-transfer</w:t>
            </w:r>
          </w:p>
        </w:tc>
        <w:tc>
          <w:tcPr>
            <w:tcW w:w="3160" w:type="dxa"/>
            <w:shd w:val="clear" w:color="auto" w:fill="FFFFFF"/>
          </w:tcPr>
          <w:p>
            <w:pPr>
              <w:spacing w:before="40" w:after="40" w:line="220" w:lineRule="auto"/>
            </w:pPr>
            <w:r>
              <w:rPr>
                <w:color w:val="1F2937"/>
                <w:sz w:val="19"/>
                <w:szCs w:val="19"/>
              </w:rPr>
              <w:t>Bulk Payroll &amp; Vendor Batch Transfer</w:t>
            </w:r>
          </w:p>
        </w:tc>
        <w:tc>
          <w:tcPr>
            <w:tcW w:w="1300" w:type="dxa"/>
            <w:shd w:val="clear" w:color="auto" w:fill="FFFFFF"/>
          </w:tcPr>
          <w:p>
            <w:pPr>
              <w:spacing w:before="40" w:after="40" w:line="220" w:lineRule="auto"/>
            </w:pPr>
            <w:r>
              <w:rPr>
                <w:color w:val="1F2937"/>
                <w:sz w:val="19"/>
                <w:szCs w:val="19"/>
              </w:rPr>
              <w:t>RoleGuard</w:t>
            </w:r>
          </w:p>
        </w:tc>
        <w:tc>
          <w:tcPr>
            <w:tcW w:w="2200" w:type="dxa"/>
            <w:shd w:val="clear" w:color="auto" w:fill="FFFFFF"/>
          </w:tcPr>
          <w:p>
            <w:pPr>
              <w:spacing w:before="40" w:after="40" w:line="220" w:lineRule="auto"/>
            </w:pPr>
            <w:r>
              <w:rPr>
                <w:color w:val="1F2937"/>
                <w:sz w:val="19"/>
                <w:szCs w:val="19"/>
              </w:rPr>
              <w:t>CORP_BULK_FUND_TRANSFER</w:t>
            </w:r>
          </w:p>
        </w:tc>
      </w:tr>
      <w:tr>
        <w:tc>
          <w:tcPr>
            <w:tcW w:w="2700" w:type="dxa"/>
            <w:shd w:val="clear" w:color="auto" w:fill="F8FAFC"/>
          </w:tcPr>
          <w:p>
            <w:pPr>
              <w:spacing w:before="40" w:after="40" w:line="220" w:lineRule="auto"/>
            </w:pPr>
            <w:r>
              <w:rPr>
                <w:color w:val="1F2937"/>
                <w:sz w:val="19"/>
                <w:szCs w:val="19"/>
              </w:rPr>
              <w:t>/transactions/ftauthorization</w:t>
            </w:r>
          </w:p>
        </w:tc>
        <w:tc>
          <w:tcPr>
            <w:tcW w:w="3160" w:type="dxa"/>
            <w:shd w:val="clear" w:color="auto" w:fill="F8FAFC"/>
          </w:tcPr>
          <w:p>
            <w:pPr>
              <w:spacing w:before="40" w:after="40" w:line="220" w:lineRule="auto"/>
            </w:pPr>
            <w:r>
              <w:rPr>
                <w:color w:val="1F2937"/>
                <w:sz w:val="19"/>
                <w:szCs w:val="19"/>
              </w:rPr>
              <w:t>Multi-Level Transaction Authorization</w:t>
            </w:r>
          </w:p>
        </w:tc>
        <w:tc>
          <w:tcPr>
            <w:tcW w:w="1300" w:type="dxa"/>
            <w:shd w:val="clear" w:color="auto" w:fill="F8FAFC"/>
          </w:tcPr>
          <w:p>
            <w:pPr>
              <w:spacing w:before="40" w:after="40" w:line="220" w:lineRule="auto"/>
            </w:pPr>
            <w:r>
              <w:rPr>
                <w:color w:val="1F2937"/>
                <w:sz w:val="19"/>
                <w:szCs w:val="19"/>
              </w:rPr>
              <w:t>RoleGuard</w:t>
            </w:r>
          </w:p>
        </w:tc>
        <w:tc>
          <w:tcPr>
            <w:tcW w:w="2200" w:type="dxa"/>
            <w:shd w:val="clear" w:color="auto" w:fill="F8FAFC"/>
          </w:tcPr>
          <w:p>
            <w:pPr>
              <w:spacing w:before="40" w:after="40" w:line="220" w:lineRule="auto"/>
            </w:pPr>
            <w:r>
              <w:rPr>
                <w:color w:val="1F2937"/>
                <w:sz w:val="19"/>
                <w:szCs w:val="19"/>
              </w:rPr>
              <w:t>CORP_FUND_TRANSFER_AUTHORIZATION</w:t>
            </w:r>
          </w:p>
        </w:tc>
      </w:tr>
      <w:tr>
        <w:tc>
          <w:tcPr>
            <w:tcW w:w="2700" w:type="dxa"/>
            <w:shd w:val="clear" w:color="auto" w:fill="FFFFFF"/>
          </w:tcPr>
          <w:p>
            <w:pPr>
              <w:spacing w:before="40" w:after="40" w:line="220" w:lineRule="auto"/>
            </w:pPr>
            <w:r>
              <w:rPr>
                <w:color w:val="1F2937"/>
                <w:sz w:val="19"/>
                <w:szCs w:val="19"/>
              </w:rPr>
              <w:t>/beneficiary/beneficiary</w:t>
            </w:r>
          </w:p>
        </w:tc>
        <w:tc>
          <w:tcPr>
            <w:tcW w:w="3160" w:type="dxa"/>
            <w:shd w:val="clear" w:color="auto" w:fill="FFFFFF"/>
          </w:tcPr>
          <w:p>
            <w:pPr>
              <w:spacing w:before="40" w:after="40" w:line="220" w:lineRule="auto"/>
            </w:pPr>
            <w:r>
              <w:rPr>
                <w:color w:val="1F2937"/>
                <w:sz w:val="19"/>
                <w:szCs w:val="19"/>
              </w:rPr>
              <w:t>Beneficiary Directory Management</w:t>
            </w:r>
          </w:p>
        </w:tc>
        <w:tc>
          <w:tcPr>
            <w:tcW w:w="1300" w:type="dxa"/>
            <w:shd w:val="clear" w:color="auto" w:fill="FFFFFF"/>
          </w:tcPr>
          <w:p>
            <w:pPr>
              <w:spacing w:before="40" w:after="40" w:line="220" w:lineRule="auto"/>
            </w:pPr>
            <w:r>
              <w:rPr>
                <w:color w:val="1F2937"/>
                <w:sz w:val="19"/>
                <w:szCs w:val="19"/>
              </w:rPr>
              <w:t>AuthGuard</w:t>
            </w:r>
          </w:p>
        </w:tc>
        <w:tc>
          <w:tcPr>
            <w:tcW w:w="2200" w:type="dxa"/>
            <w:shd w:val="clear" w:color="auto" w:fill="FFFFFF"/>
          </w:tcPr>
          <w:p>
            <w:pPr>
              <w:spacing w:before="40" w:after="40" w:line="220" w:lineRule="auto"/>
            </w:pPr>
            <w:r>
              <w:rPr>
                <w:color w:val="1F2937"/>
                <w:sz w:val="19"/>
                <w:szCs w:val="19"/>
              </w:rPr>
              <w:t>Authenticated Session</w:t>
            </w:r>
          </w:p>
        </w:tc>
      </w:tr>
      <w:tr>
        <w:tc>
          <w:tcPr>
            <w:tcW w:w="2700" w:type="dxa"/>
            <w:shd w:val="clear" w:color="auto" w:fill="F8FAFC"/>
          </w:tcPr>
          <w:p>
            <w:pPr>
              <w:spacing w:before="40" w:after="40" w:line="220" w:lineRule="auto"/>
            </w:pPr>
            <w:r>
              <w:rPr>
                <w:color w:val="1F2937"/>
                <w:sz w:val="19"/>
                <w:szCs w:val="19"/>
              </w:rPr>
              <w:t>/myservices/banksolvencyrequest</w:t>
            </w:r>
          </w:p>
        </w:tc>
        <w:tc>
          <w:tcPr>
            <w:tcW w:w="3160" w:type="dxa"/>
            <w:shd w:val="clear" w:color="auto" w:fill="F8FAFC"/>
          </w:tcPr>
          <w:p>
            <w:pPr>
              <w:spacing w:before="40" w:after="40" w:line="220" w:lineRule="auto"/>
            </w:pPr>
            <w:r>
              <w:rPr>
                <w:color w:val="1F2937"/>
                <w:sz w:val="19"/>
                <w:szCs w:val="19"/>
              </w:rPr>
              <w:t>Solvency Certificate Request</w:t>
            </w:r>
          </w:p>
        </w:tc>
        <w:tc>
          <w:tcPr>
            <w:tcW w:w="1300" w:type="dxa"/>
            <w:shd w:val="clear" w:color="auto" w:fill="F8FAFC"/>
          </w:tcPr>
          <w:p>
            <w:pPr>
              <w:spacing w:before="40" w:after="40" w:line="220" w:lineRule="auto"/>
            </w:pPr>
            <w:r>
              <w:rPr>
                <w:color w:val="1F2937"/>
                <w:sz w:val="19"/>
                <w:szCs w:val="19"/>
              </w:rPr>
              <w:t>AuthGuard</w:t>
            </w:r>
          </w:p>
        </w:tc>
        <w:tc>
          <w:tcPr>
            <w:tcW w:w="2200" w:type="dxa"/>
            <w:shd w:val="clear" w:color="auto" w:fill="F8FAFC"/>
          </w:tcPr>
          <w:p>
            <w:pPr>
              <w:spacing w:before="40" w:after="40" w:line="220" w:lineRule="auto"/>
            </w:pPr>
            <w:r>
              <w:rPr>
                <w:color w:val="1F2937"/>
                <w:sz w:val="19"/>
                <w:szCs w:val="19"/>
              </w:rPr>
              <w:t>Authenticated Session</w:t>
            </w:r>
          </w:p>
        </w:tc>
      </w:tr>
      <w:tr>
        <w:tc>
          <w:tcPr>
            <w:tcW w:w="2700" w:type="dxa"/>
            <w:shd w:val="clear" w:color="auto" w:fill="FFFFFF"/>
          </w:tcPr>
          <w:p>
            <w:pPr>
              <w:spacing w:before="40" w:after="40" w:line="220" w:lineRule="auto"/>
            </w:pPr>
            <w:r>
              <w:rPr>
                <w:color w:val="1F2937"/>
                <w:sz w:val="19"/>
                <w:szCs w:val="19"/>
              </w:rPr>
              <w:t>/myservices/tax-document-upload</w:t>
            </w:r>
          </w:p>
        </w:tc>
        <w:tc>
          <w:tcPr>
            <w:tcW w:w="3160" w:type="dxa"/>
            <w:shd w:val="clear" w:color="auto" w:fill="FFFFFF"/>
          </w:tcPr>
          <w:p>
            <w:pPr>
              <w:spacing w:before="40" w:after="40" w:line="220" w:lineRule="auto"/>
            </w:pPr>
            <w:r>
              <w:rPr>
                <w:color w:val="1F2937"/>
                <w:sz w:val="19"/>
                <w:szCs w:val="19"/>
              </w:rPr>
              <w:t>Tax Return Proof (PSR) Slip Upload</w:t>
            </w:r>
          </w:p>
        </w:tc>
        <w:tc>
          <w:tcPr>
            <w:tcW w:w="1300" w:type="dxa"/>
            <w:shd w:val="clear" w:color="auto" w:fill="FFFFFF"/>
          </w:tcPr>
          <w:p>
            <w:pPr>
              <w:spacing w:before="40" w:after="40" w:line="220" w:lineRule="auto"/>
            </w:pPr>
            <w:r>
              <w:rPr>
                <w:color w:val="1F2937"/>
                <w:sz w:val="19"/>
                <w:szCs w:val="19"/>
              </w:rPr>
              <w:t>AuthGuard</w:t>
            </w:r>
          </w:p>
        </w:tc>
        <w:tc>
          <w:tcPr>
            <w:tcW w:w="2200" w:type="dxa"/>
            <w:shd w:val="clear" w:color="auto" w:fill="FFFFFF"/>
          </w:tcPr>
          <w:p>
            <w:pPr>
              <w:spacing w:before="40" w:after="40" w:line="220" w:lineRule="auto"/>
            </w:pPr>
            <w:r>
              <w:rPr>
                <w:color w:val="1F2937"/>
                <w:sz w:val="19"/>
                <w:szCs w:val="19"/>
              </w:rPr>
              <w:t>Authenticated Session</w:t>
            </w:r>
          </w:p>
        </w:tc>
      </w:tr>
      <w:tr>
        <w:tc>
          <w:tcPr>
            <w:tcW w:w="2700" w:type="dxa"/>
            <w:shd w:val="clear" w:color="auto" w:fill="F8FAFC"/>
          </w:tcPr>
          <w:p>
            <w:pPr>
              <w:spacing w:before="40" w:after="40" w:line="220" w:lineRule="auto"/>
            </w:pPr>
            <w:r>
              <w:rPr>
                <w:color w:val="1F2937"/>
                <w:sz w:val="19"/>
                <w:szCs w:val="19"/>
              </w:rPr>
              <w:t>/myservices/request-log</w:t>
            </w:r>
          </w:p>
        </w:tc>
        <w:tc>
          <w:tcPr>
            <w:tcW w:w="3160" w:type="dxa"/>
            <w:shd w:val="clear" w:color="auto" w:fill="F8FAFC"/>
          </w:tcPr>
          <w:p>
            <w:pPr>
              <w:spacing w:before="40" w:after="40" w:line="220" w:lineRule="auto"/>
            </w:pPr>
            <w:r>
              <w:rPr>
                <w:color w:val="1F2937"/>
                <w:sz w:val="19"/>
                <w:szCs w:val="19"/>
              </w:rPr>
              <w:t>Service Request Tracking Console</w:t>
            </w:r>
          </w:p>
        </w:tc>
        <w:tc>
          <w:tcPr>
            <w:tcW w:w="1300" w:type="dxa"/>
            <w:shd w:val="clear" w:color="auto" w:fill="F8FAFC"/>
          </w:tcPr>
          <w:p>
            <w:pPr>
              <w:spacing w:before="40" w:after="40" w:line="220" w:lineRule="auto"/>
            </w:pPr>
            <w:r>
              <w:rPr>
                <w:color w:val="1F2937"/>
                <w:sz w:val="19"/>
                <w:szCs w:val="19"/>
              </w:rPr>
              <w:t>AuthGuard</w:t>
            </w:r>
          </w:p>
        </w:tc>
        <w:tc>
          <w:tcPr>
            <w:tcW w:w="2200" w:type="dxa"/>
            <w:shd w:val="clear" w:color="auto" w:fill="F8FAFC"/>
          </w:tcPr>
          <w:p>
            <w:pPr>
              <w:spacing w:before="40" w:after="40" w:line="220" w:lineRule="auto"/>
            </w:pPr>
            <w:r>
              <w:rPr>
                <w:color w:val="1F2937"/>
                <w:sz w:val="19"/>
                <w:szCs w:val="19"/>
              </w:rPr>
              <w:t>Authenticated Session</w:t>
            </w:r>
          </w:p>
        </w:tc>
      </w:tr>
      <w:tr>
        <w:tc>
          <w:tcPr>
            <w:tcW w:w="2700" w:type="dxa"/>
            <w:shd w:val="clear" w:color="auto" w:fill="FFFFFF"/>
          </w:tcPr>
          <w:p>
            <w:pPr>
              <w:spacing w:before="40" w:after="40" w:line="220" w:lineRule="auto"/>
            </w:pPr>
            <w:r>
              <w:rPr>
                <w:color w:val="1F2937"/>
                <w:sz w:val="19"/>
                <w:szCs w:val="19"/>
              </w:rPr>
              <w:t>/usermanagement/usercreation-request</w:t>
            </w:r>
          </w:p>
        </w:tc>
        <w:tc>
          <w:tcPr>
            <w:tcW w:w="3160" w:type="dxa"/>
            <w:shd w:val="clear" w:color="auto" w:fill="FFFFFF"/>
          </w:tcPr>
          <w:p>
            <w:pPr>
              <w:spacing w:before="40" w:after="40" w:line="220" w:lineRule="auto"/>
            </w:pPr>
            <w:r>
              <w:rPr>
                <w:color w:val="1F2937"/>
                <w:sz w:val="19"/>
                <w:szCs w:val="19"/>
              </w:rPr>
              <w:t>Create Corporate Child Operators</w:t>
            </w:r>
          </w:p>
        </w:tc>
        <w:tc>
          <w:tcPr>
            <w:tcW w:w="1300" w:type="dxa"/>
            <w:shd w:val="clear" w:color="auto" w:fill="FFFFFF"/>
          </w:tcPr>
          <w:p>
            <w:pPr>
              <w:spacing w:before="40" w:after="40" w:line="220" w:lineRule="auto"/>
            </w:pPr>
            <w:r>
              <w:rPr>
                <w:color w:val="1F2937"/>
                <w:sz w:val="19"/>
                <w:szCs w:val="19"/>
              </w:rPr>
              <w:t>RoleGuard</w:t>
            </w:r>
          </w:p>
        </w:tc>
        <w:tc>
          <w:tcPr>
            <w:tcW w:w="2200" w:type="dxa"/>
            <w:shd w:val="clear" w:color="auto" w:fill="FFFFFF"/>
          </w:tcPr>
          <w:p>
            <w:pPr>
              <w:spacing w:before="40" w:after="40" w:line="220" w:lineRule="auto"/>
            </w:pPr>
            <w:r>
              <w:rPr>
                <w:color w:val="1F2937"/>
                <w:sz w:val="19"/>
                <w:szCs w:val="19"/>
              </w:rPr>
              <w:t>CORP_ADD_NEW_USER</w:t>
            </w:r>
          </w:p>
        </w:tc>
      </w:tr>
      <w:tr>
        <w:tc>
          <w:tcPr>
            <w:tcW w:w="2700" w:type="dxa"/>
            <w:shd w:val="clear" w:color="auto" w:fill="F8FAFC"/>
          </w:tcPr>
          <w:p>
            <w:pPr>
              <w:spacing w:before="40" w:after="40" w:line="220" w:lineRule="auto"/>
            </w:pPr>
            <w:r>
              <w:rPr>
                <w:color w:val="1F2937"/>
                <w:sz w:val="19"/>
                <w:szCs w:val="19"/>
              </w:rPr>
              <w:t>/usermanagement/useraccountpermission</w:t>
            </w:r>
          </w:p>
        </w:tc>
        <w:tc>
          <w:tcPr>
            <w:tcW w:w="3160" w:type="dxa"/>
            <w:shd w:val="clear" w:color="auto" w:fill="F8FAFC"/>
          </w:tcPr>
          <w:p>
            <w:pPr>
              <w:spacing w:before="40" w:after="40" w:line="220" w:lineRule="auto"/>
            </w:pPr>
            <w:r>
              <w:rPr>
                <w:color w:val="1F2937"/>
                <w:sz w:val="19"/>
                <w:szCs w:val="19"/>
              </w:rPr>
              <w:t>User Account Permission &amp; Limits</w:t>
            </w:r>
          </w:p>
        </w:tc>
        <w:tc>
          <w:tcPr>
            <w:tcW w:w="1300" w:type="dxa"/>
            <w:shd w:val="clear" w:color="auto" w:fill="F8FAFC"/>
          </w:tcPr>
          <w:p>
            <w:pPr>
              <w:spacing w:before="40" w:after="40" w:line="220" w:lineRule="auto"/>
            </w:pPr>
            <w:r>
              <w:rPr>
                <w:color w:val="1F2937"/>
                <w:sz w:val="19"/>
                <w:szCs w:val="19"/>
              </w:rPr>
              <w:t>RoleGuard</w:t>
            </w:r>
          </w:p>
        </w:tc>
        <w:tc>
          <w:tcPr>
            <w:tcW w:w="2200" w:type="dxa"/>
            <w:shd w:val="clear" w:color="auto" w:fill="F8FAFC"/>
          </w:tcPr>
          <w:p>
            <w:pPr>
              <w:spacing w:before="40" w:after="40" w:line="220" w:lineRule="auto"/>
            </w:pPr>
            <w:r>
              <w:rPr>
                <w:color w:val="1F2937"/>
                <w:sz w:val="19"/>
                <w:szCs w:val="19"/>
              </w:rPr>
              <w:t>CORP_ADD_EDT_USER_ACC_SETTINGS</w:t>
            </w:r>
          </w:p>
        </w:tc>
      </w:tr>
      <w:tr>
        <w:tc>
          <w:tcPr>
            <w:tcW w:w="2700" w:type="dxa"/>
            <w:shd w:val="clear" w:color="auto" w:fill="FFFFFF"/>
          </w:tcPr>
          <w:p>
            <w:pPr>
              <w:spacing w:before="40" w:after="40" w:line="220" w:lineRule="auto"/>
            </w:pPr>
            <w:r>
              <w:rPr>
                <w:color w:val="1F2937"/>
                <w:sz w:val="19"/>
                <w:szCs w:val="19"/>
              </w:rPr>
              <w:t>/settings/authorizationlevel</w:t>
            </w:r>
          </w:p>
        </w:tc>
        <w:tc>
          <w:tcPr>
            <w:tcW w:w="3160" w:type="dxa"/>
            <w:shd w:val="clear" w:color="auto" w:fill="FFFFFF"/>
          </w:tcPr>
          <w:p>
            <w:pPr>
              <w:spacing w:before="40" w:after="40" w:line="220" w:lineRule="auto"/>
            </w:pPr>
            <w:r>
              <w:rPr>
                <w:color w:val="1F2937"/>
                <w:sz w:val="19"/>
                <w:szCs w:val="19"/>
              </w:rPr>
              <w:t>Corporate Approval Hierarchy Setup</w:t>
            </w:r>
          </w:p>
        </w:tc>
        <w:tc>
          <w:tcPr>
            <w:tcW w:w="1300" w:type="dxa"/>
            <w:shd w:val="clear" w:color="auto" w:fill="FFFFFF"/>
          </w:tcPr>
          <w:p>
            <w:pPr>
              <w:spacing w:before="40" w:after="40" w:line="220" w:lineRule="auto"/>
            </w:pPr>
            <w:r>
              <w:rPr>
                <w:color w:val="1F2937"/>
                <w:sz w:val="19"/>
                <w:szCs w:val="19"/>
              </w:rPr>
              <w:t>RoleGuard</w:t>
            </w:r>
          </w:p>
        </w:tc>
        <w:tc>
          <w:tcPr>
            <w:tcW w:w="2200" w:type="dxa"/>
            <w:shd w:val="clear" w:color="auto" w:fill="FFFFFF"/>
          </w:tcPr>
          <w:p>
            <w:pPr>
              <w:spacing w:before="40" w:after="40" w:line="220" w:lineRule="auto"/>
            </w:pPr>
            <w:r>
              <w:rPr>
                <w:color w:val="1F2937"/>
                <w:sz w:val="19"/>
                <w:szCs w:val="19"/>
              </w:rPr>
              <w:t>CORP_ADD_EDT_ACC_LVL</w:t>
            </w:r>
          </w:p>
        </w:tc>
      </w:tr>
      <w:tr>
        <w:tc>
          <w:tcPr>
            <w:tcW w:w="2700" w:type="dxa"/>
            <w:shd w:val="clear" w:color="auto" w:fill="F8FAFC"/>
          </w:tcPr>
          <w:p>
            <w:pPr>
              <w:spacing w:before="40" w:after="40" w:line="220" w:lineRule="auto"/>
            </w:pPr>
            <w:r>
              <w:rPr>
                <w:color w:val="1F2937"/>
                <w:sz w:val="19"/>
                <w:szCs w:val="19"/>
              </w:rPr>
              <w:t>/settings/orgauthlevelname</w:t>
            </w:r>
          </w:p>
        </w:tc>
        <w:tc>
          <w:tcPr>
            <w:tcW w:w="3160" w:type="dxa"/>
            <w:shd w:val="clear" w:color="auto" w:fill="F8FAFC"/>
          </w:tcPr>
          <w:p>
            <w:pPr>
              <w:spacing w:before="40" w:after="40" w:line="220" w:lineRule="auto"/>
            </w:pPr>
            <w:r>
              <w:rPr>
                <w:color w:val="1F2937"/>
                <w:sz w:val="19"/>
                <w:szCs w:val="19"/>
              </w:rPr>
              <w:t>Org Designation Customization</w:t>
            </w:r>
          </w:p>
        </w:tc>
        <w:tc>
          <w:tcPr>
            <w:tcW w:w="1300" w:type="dxa"/>
            <w:shd w:val="clear" w:color="auto" w:fill="F8FAFC"/>
          </w:tcPr>
          <w:p>
            <w:pPr>
              <w:spacing w:before="40" w:after="40" w:line="220" w:lineRule="auto"/>
            </w:pPr>
            <w:r>
              <w:rPr>
                <w:color w:val="1F2937"/>
                <w:sz w:val="19"/>
                <w:szCs w:val="19"/>
              </w:rPr>
              <w:t>AuthGuard</w:t>
            </w:r>
          </w:p>
        </w:tc>
        <w:tc>
          <w:tcPr>
            <w:tcW w:w="2200" w:type="dxa"/>
            <w:shd w:val="clear" w:color="auto" w:fill="F8FAFC"/>
          </w:tcPr>
          <w:p>
            <w:pPr>
              <w:spacing w:before="40" w:after="40" w:line="220" w:lineRule="auto"/>
            </w:pPr>
            <w:r>
              <w:rPr>
                <w:color w:val="1F2937"/>
                <w:sz w:val="19"/>
                <w:szCs w:val="19"/>
              </w:rPr>
              <w:t>Authenticated Session</w:t>
            </w:r>
          </w:p>
        </w:tc>
      </w:tr>
      <w:tr>
        <w:tc>
          <w:tcPr>
            <w:tcW w:w="2700" w:type="dxa"/>
            <w:shd w:val="clear" w:color="auto" w:fill="FFFFFF"/>
          </w:tcPr>
          <w:p>
            <w:pPr>
              <w:spacing w:before="40" w:after="40" w:line="220" w:lineRule="auto"/>
            </w:pPr>
            <w:r>
              <w:rPr>
                <w:color w:val="1F2937"/>
                <w:sz w:val="19"/>
                <w:szCs w:val="19"/>
              </w:rPr>
              <w:t>/settings/dynamic-file-mapping</w:t>
            </w:r>
          </w:p>
        </w:tc>
        <w:tc>
          <w:tcPr>
            <w:tcW w:w="3160" w:type="dxa"/>
            <w:shd w:val="clear" w:color="auto" w:fill="FFFFFF"/>
          </w:tcPr>
          <w:p>
            <w:pPr>
              <w:spacing w:before="40" w:after="40" w:line="220" w:lineRule="auto"/>
            </w:pPr>
            <w:r>
              <w:rPr>
                <w:color w:val="1F2937"/>
                <w:sz w:val="19"/>
                <w:szCs w:val="19"/>
              </w:rPr>
              <w:t>Custom Spreadsheet Column Parser</w:t>
            </w:r>
          </w:p>
        </w:tc>
        <w:tc>
          <w:tcPr>
            <w:tcW w:w="1300" w:type="dxa"/>
            <w:shd w:val="clear" w:color="auto" w:fill="FFFFFF"/>
          </w:tcPr>
          <w:p>
            <w:pPr>
              <w:spacing w:before="40" w:after="40" w:line="220" w:lineRule="auto"/>
            </w:pPr>
            <w:r>
              <w:rPr>
                <w:color w:val="1F2937"/>
                <w:sz w:val="19"/>
                <w:szCs w:val="19"/>
              </w:rPr>
              <w:t>RoleGuard</w:t>
            </w:r>
          </w:p>
        </w:tc>
        <w:tc>
          <w:tcPr>
            <w:tcW w:w="2200" w:type="dxa"/>
            <w:shd w:val="clear" w:color="auto" w:fill="FFFFFF"/>
          </w:tcPr>
          <w:p>
            <w:pPr>
              <w:spacing w:before="40" w:after="40" w:line="220" w:lineRule="auto"/>
            </w:pPr>
            <w:r>
              <w:rPr>
                <w:color w:val="1F2937"/>
                <w:sz w:val="19"/>
                <w:szCs w:val="19"/>
              </w:rPr>
              <w:t>CORP_ADD_EDT_DYNAMIC_FILE_MAPPING</w:t>
            </w:r>
          </w:p>
        </w:tc>
      </w:tr>
      <w:tr>
        <w:tc>
          <w:tcPr>
            <w:tcW w:w="2700" w:type="dxa"/>
            <w:shd w:val="clear" w:color="auto" w:fill="F8FAFC"/>
          </w:tcPr>
          <w:p>
            <w:pPr>
              <w:spacing w:before="40" w:after="40" w:line="220" w:lineRule="auto"/>
            </w:pPr>
            <w:r>
              <w:rPr>
                <w:color w:val="1F2937"/>
                <w:sz w:val="19"/>
                <w:szCs w:val="19"/>
              </w:rPr>
              <w:t>/activity/useractivity</w:t>
            </w:r>
          </w:p>
        </w:tc>
        <w:tc>
          <w:tcPr>
            <w:tcW w:w="3160" w:type="dxa"/>
            <w:shd w:val="clear" w:color="auto" w:fill="F8FAFC"/>
          </w:tcPr>
          <w:p>
            <w:pPr>
              <w:spacing w:before="40" w:after="40" w:line="220" w:lineRule="auto"/>
            </w:pPr>
            <w:r>
              <w:rPr>
                <w:color w:val="1F2937"/>
                <w:sz w:val="19"/>
                <w:szCs w:val="19"/>
              </w:rPr>
              <w:t>Immutable User Activity Audit Trail</w:t>
            </w:r>
          </w:p>
        </w:tc>
        <w:tc>
          <w:tcPr>
            <w:tcW w:w="1300" w:type="dxa"/>
            <w:shd w:val="clear" w:color="auto" w:fill="F8FAFC"/>
          </w:tcPr>
          <w:p>
            <w:pPr>
              <w:spacing w:before="40" w:after="40" w:line="220" w:lineRule="auto"/>
            </w:pPr>
            <w:r>
              <w:rPr>
                <w:color w:val="1F2937"/>
                <w:sz w:val="19"/>
                <w:szCs w:val="19"/>
              </w:rPr>
              <w:t>AuthGuard</w:t>
            </w:r>
          </w:p>
        </w:tc>
        <w:tc>
          <w:tcPr>
            <w:tcW w:w="2200" w:type="dxa"/>
            <w:shd w:val="clear" w:color="auto" w:fill="F8FAFC"/>
          </w:tcPr>
          <w:p>
            <w:pPr>
              <w:spacing w:before="40" w:after="40" w:line="220" w:lineRule="auto"/>
            </w:pPr>
            <w:r>
              <w:rPr>
                <w:color w:val="1F2937"/>
                <w:sz w:val="19"/>
                <w:szCs w:val="19"/>
              </w:rPr>
              <w:t>Authenticated Session</w:t>
            </w:r>
          </w:p>
        </w:tc>
      </w:tr>
      <w:tr>
        <w:tc>
          <w:tcPr>
            <w:tcW w:w="2700" w:type="dxa"/>
            <w:shd w:val="clear" w:color="auto" w:fill="FFFFFF"/>
          </w:tcPr>
          <w:p>
            <w:pPr>
              <w:spacing w:before="40" w:after="40" w:line="220" w:lineRule="auto"/>
            </w:pPr>
            <w:r>
              <w:rPr>
                <w:color w:val="1F2937"/>
                <w:sz w:val="19"/>
                <w:szCs w:val="19"/>
              </w:rPr>
              <w:t>/profile/detailprofile</w:t>
            </w:r>
          </w:p>
        </w:tc>
        <w:tc>
          <w:tcPr>
            <w:tcW w:w="3160" w:type="dxa"/>
            <w:shd w:val="clear" w:color="auto" w:fill="FFFFFF"/>
          </w:tcPr>
          <w:p>
            <w:pPr>
              <w:spacing w:before="40" w:after="40" w:line="220" w:lineRule="auto"/>
            </w:pPr>
            <w:r>
              <w:rPr>
                <w:color w:val="1F2937"/>
                <w:sz w:val="19"/>
                <w:szCs w:val="19"/>
              </w:rPr>
              <w:t>Corporate Detailed KYC &amp; Contacts</w:t>
            </w:r>
          </w:p>
        </w:tc>
        <w:tc>
          <w:tcPr>
            <w:tcW w:w="1300" w:type="dxa"/>
            <w:shd w:val="clear" w:color="auto" w:fill="FFFFFF"/>
          </w:tcPr>
          <w:p>
            <w:pPr>
              <w:spacing w:before="40" w:after="40" w:line="220" w:lineRule="auto"/>
            </w:pPr>
            <w:r>
              <w:rPr>
                <w:color w:val="1F2937"/>
                <w:sz w:val="19"/>
                <w:szCs w:val="19"/>
              </w:rPr>
              <w:t>AuthGuard</w:t>
            </w:r>
          </w:p>
        </w:tc>
        <w:tc>
          <w:tcPr>
            <w:tcW w:w="2200" w:type="dxa"/>
            <w:shd w:val="clear" w:color="auto" w:fill="FFFFFF"/>
          </w:tcPr>
          <w:p>
            <w:pPr>
              <w:spacing w:before="40" w:after="40" w:line="220" w:lineRule="auto"/>
            </w:pPr>
            <w:r>
              <w:rPr>
                <w:color w:val="1F2937"/>
                <w:sz w:val="19"/>
                <w:szCs w:val="19"/>
              </w:rPr>
              <w:t>Authenticated Session</w:t>
            </w:r>
          </w:p>
        </w:tc>
      </w:tr>
      <w:tr>
        <w:tc>
          <w:tcPr>
            <w:tcW w:w="2700" w:type="dxa"/>
            <w:shd w:val="clear" w:color="auto" w:fill="F8FAFC"/>
          </w:tcPr>
          <w:p>
            <w:pPr>
              <w:spacing w:before="40" w:after="40" w:line="220" w:lineRule="auto"/>
            </w:pPr>
            <w:r>
              <w:rPr>
                <w:color w:val="1F2937"/>
                <w:sz w:val="19"/>
                <w:szCs w:val="19"/>
              </w:rPr>
              <w:t>/otherservices/notifications</w:t>
            </w:r>
          </w:p>
        </w:tc>
        <w:tc>
          <w:tcPr>
            <w:tcW w:w="3160" w:type="dxa"/>
            <w:shd w:val="clear" w:color="auto" w:fill="F8FAFC"/>
          </w:tcPr>
          <w:p>
            <w:pPr>
              <w:spacing w:before="40" w:after="40" w:line="220" w:lineRule="auto"/>
            </w:pPr>
            <w:r>
              <w:rPr>
                <w:color w:val="1F2937"/>
                <w:sz w:val="19"/>
                <w:szCs w:val="19"/>
              </w:rPr>
              <w:t>Notifications &amp; Announcements</w:t>
            </w:r>
          </w:p>
        </w:tc>
        <w:tc>
          <w:tcPr>
            <w:tcW w:w="1300" w:type="dxa"/>
            <w:shd w:val="clear" w:color="auto" w:fill="F8FAFC"/>
          </w:tcPr>
          <w:p>
            <w:pPr>
              <w:spacing w:before="40" w:after="40" w:line="220" w:lineRule="auto"/>
            </w:pPr>
            <w:r>
              <w:rPr>
                <w:color w:val="1F2937"/>
                <w:sz w:val="19"/>
                <w:szCs w:val="19"/>
              </w:rPr>
              <w:t>AuthGuard</w:t>
            </w:r>
          </w:p>
        </w:tc>
        <w:tc>
          <w:tcPr>
            <w:tcW w:w="2200" w:type="dxa"/>
            <w:shd w:val="clear" w:color="auto" w:fill="F8FAFC"/>
          </w:tcPr>
          <w:p>
            <w:pPr>
              <w:spacing w:before="40" w:after="40" w:line="220" w:lineRule="auto"/>
            </w:pPr>
            <w:r>
              <w:rPr>
                <w:color w:val="1F2937"/>
                <w:sz w:val="19"/>
                <w:szCs w:val="19"/>
              </w:rPr>
              <w:t>Authenticated Session</w:t>
            </w:r>
          </w:p>
        </w:tc>
      </w:tr>
      <w:tr>
        <w:tc>
          <w:tcPr>
            <w:tcW w:w="2700" w:type="dxa"/>
            <w:shd w:val="clear" w:color="auto" w:fill="FFFFFF"/>
          </w:tcPr>
          <w:p>
            <w:pPr>
              <w:spacing w:before="40" w:after="40" w:line="220" w:lineRule="auto"/>
            </w:pPr>
            <w:r>
              <w:rPr>
                <w:color w:val="1F2937"/>
                <w:sz w:val="19"/>
                <w:szCs w:val="19"/>
              </w:rPr>
              <w:t>/securityadvice</w:t>
            </w:r>
          </w:p>
        </w:tc>
        <w:tc>
          <w:tcPr>
            <w:tcW w:w="3160" w:type="dxa"/>
            <w:shd w:val="clear" w:color="auto" w:fill="FFFFFF"/>
          </w:tcPr>
          <w:p>
            <w:pPr>
              <w:spacing w:before="40" w:after="40" w:line="220" w:lineRule="auto"/>
            </w:pPr>
            <w:r>
              <w:rPr>
                <w:color w:val="1F2937"/>
                <w:sz w:val="19"/>
                <w:szCs w:val="19"/>
              </w:rPr>
              <w:t>Information Security Guidelines</w:t>
            </w:r>
          </w:p>
        </w:tc>
        <w:tc>
          <w:tcPr>
            <w:tcW w:w="1300" w:type="dxa"/>
            <w:shd w:val="clear" w:color="auto" w:fill="FFFFFF"/>
          </w:tcPr>
          <w:p>
            <w:pPr>
              <w:spacing w:before="40" w:after="40" w:line="220" w:lineRule="auto"/>
            </w:pPr>
            <w:r>
              <w:rPr>
                <w:color w:val="1F2937"/>
                <w:sz w:val="19"/>
                <w:szCs w:val="19"/>
              </w:rPr>
              <w:t>AuthGuard</w:t>
            </w:r>
          </w:p>
        </w:tc>
        <w:tc>
          <w:tcPr>
            <w:tcW w:w="2200" w:type="dxa"/>
            <w:shd w:val="clear" w:color="auto" w:fill="FFFFFF"/>
          </w:tcPr>
          <w:p>
            <w:pPr>
              <w:spacing w:before="40" w:after="40" w:line="220" w:lineRule="auto"/>
            </w:pPr>
            <w:r>
              <w:rPr>
                <w:color w:val="1F2937"/>
                <w:sz w:val="19"/>
                <w:szCs w:val="19"/>
              </w:rPr>
              <w:t>Authenticated Session</w:t>
            </w:r>
          </w:p>
        </w:tc>
      </w:tr>
    </w:tbl>
    <w:p>
      <w:pPr>
        <w:jc w:val="left"/>
        <w:spacing w:before="0" w:after="120" w:line="260" w:lineRule="auto"/>
      </w:pPr>
      <w:r>
        <w:rPr>
          <w:color w:val="1F2937"/>
          <w:sz w:val="22"/>
          <w:szCs w:val="22"/>
        </w:rPr>
        <w:t xml:space="preserve"/>
      </w:r>
    </w:p>
    <w:p>
      <w:pPr>
        <w:pStyle w:val="Heading1"/>
        <w:spacing w:before="360" w:after="160"/>
      </w:pPr>
      <w:r>
        <w:br w:type="page"/>
      </w:r>
      <w:r>
        <w:rPr>
          <w:b/>
          <w:color w:val="0A3871"/>
          <w:sz w:val="34"/>
          <w:szCs w:val="34"/>
        </w:rPr>
        <w:t>Chapter 13: Operational Checklists, Troubleshooting &amp; FAQs</w:t>
      </w:r>
    </w:p>
    <w:p>
      <w:pPr>
        <w:pStyle w:val="Heading2"/>
        <w:spacing w:before="240" w:after="120"/>
      </w:pPr>
      <w:r>
        <w:rPr>
          <w:b/>
          <w:color w:val="1E3A8A"/>
          <w:sz w:val="28"/>
          <w:szCs w:val="28"/>
        </w:rPr>
        <w:t>13.1 Daily Operational Checklist</w:t>
      </w:r>
    </w:p>
    <w:p>
      <w:pPr>
        <w:ind w:left="480" w:hanging="240"/>
        <w:spacing w:before="40" w:after="80" w:line="240" w:lineRule="auto"/>
      </w:pPr>
      <w:r>
        <w:rPr>
          <w:b/>
          <w:color w:val="0A3871"/>
          <w:sz w:val="22"/>
          <w:szCs w:val="22"/>
        </w:rPr>
        <w:t xml:space="preserve">•  Maker Checklist 1: </w:t>
      </w:r>
      <w:r>
        <w:rPr>
          <w:color w:val="1F2937"/>
          <w:sz w:val="22"/>
          <w:szCs w:val="22"/>
        </w:rPr>
        <w:t xml:space="preserve">Verify available account balances prior to initiating transfers.</w:t>
      </w:r>
    </w:p>
    <w:p>
      <w:pPr>
        <w:ind w:left="480" w:hanging="240"/>
        <w:spacing w:before="40" w:after="80" w:line="240" w:lineRule="auto"/>
      </w:pPr>
      <w:r>
        <w:rPr>
          <w:b/>
          <w:color w:val="0A3871"/>
          <w:sz w:val="22"/>
          <w:szCs w:val="22"/>
        </w:rPr>
        <w:t xml:space="preserve">•  Maker Checklist 2: </w:t>
      </w:r>
      <w:r>
        <w:rPr>
          <w:color w:val="1F2937"/>
          <w:sz w:val="22"/>
          <w:szCs w:val="22"/>
        </w:rPr>
        <w:t xml:space="preserve">Ensure payroll spreadsheets conform to your saved Dynamic File Mapping profile.</w:t>
      </w:r>
    </w:p>
    <w:p>
      <w:pPr>
        <w:ind w:left="480" w:hanging="240"/>
        <w:spacing w:before="40" w:after="80" w:line="240" w:lineRule="auto"/>
      </w:pPr>
      <w:r>
        <w:rPr>
          <w:b/>
          <w:color w:val="0A3871"/>
          <w:sz w:val="22"/>
          <w:szCs w:val="22"/>
        </w:rPr>
        <w:t xml:space="preserve">•  Maker Checklist 3: </w:t>
      </w:r>
      <w:r>
        <w:rPr>
          <w:color w:val="1F2937"/>
          <w:sz w:val="22"/>
          <w:szCs w:val="22"/>
        </w:rPr>
        <w:t xml:space="preserve">Check row-level syntax errors and verify total amounts in words.</w:t>
      </w:r>
    </w:p>
    <w:p>
      <w:pPr>
        <w:ind w:left="480" w:hanging="240"/>
        <w:spacing w:before="40" w:after="80" w:line="240" w:lineRule="auto"/>
      </w:pPr>
      <w:r>
        <w:rPr>
          <w:b/>
          <w:color w:val="0A3871"/>
          <w:sz w:val="22"/>
          <w:szCs w:val="22"/>
        </w:rPr>
        <w:t xml:space="preserve">•  Maker Checklist 4: </w:t>
      </w:r>
      <w:r>
        <w:rPr>
          <w:color w:val="1F2937"/>
          <w:sz w:val="22"/>
          <w:szCs w:val="22"/>
        </w:rPr>
        <w:t xml:space="preserve">Submit batches and note the generated Batch Reference Number for tracking.</w:t>
      </w:r>
    </w:p>
    <w:p>
      <w:pPr>
        <w:ind w:left="480" w:hanging="240"/>
        <w:spacing w:before="40" w:after="80" w:line="240" w:lineRule="auto"/>
      </w:pPr>
      <w:r>
        <w:rPr>
          <w:b/>
          <w:color w:val="0A3871"/>
          <w:sz w:val="22"/>
          <w:szCs w:val="22"/>
        </w:rPr>
        <w:t xml:space="preserve">•  Checker Checklist 1: </w:t>
      </w:r>
      <w:r>
        <w:rPr>
          <w:color w:val="1F2937"/>
          <w:sz w:val="22"/>
          <w:szCs w:val="22"/>
        </w:rPr>
        <w:t xml:space="preserve">Inspect the Pending Authorization Queue (/transactions/ftauthorization) each morning.</w:t>
      </w:r>
    </w:p>
    <w:p>
      <w:pPr>
        <w:ind w:left="480" w:hanging="240"/>
        <w:spacing w:before="40" w:after="80" w:line="240" w:lineRule="auto"/>
      </w:pPr>
      <w:r>
        <w:rPr>
          <w:b/>
          <w:color w:val="0A3871"/>
          <w:sz w:val="22"/>
          <w:szCs w:val="22"/>
        </w:rPr>
        <w:t xml:space="preserve">•  Checker Checklist 2: </w:t>
      </w:r>
      <w:r>
        <w:rPr>
          <w:color w:val="1F2937"/>
          <w:sz w:val="22"/>
          <w:szCs w:val="22"/>
        </w:rPr>
        <w:t xml:space="preserve">Verify recipient titles, routing codes, and amounts in words against internal payment vouchers.</w:t>
      </w:r>
    </w:p>
    <w:p>
      <w:pPr>
        <w:ind w:left="480" w:hanging="240"/>
        <w:spacing w:before="40" w:after="80" w:line="240" w:lineRule="auto"/>
      </w:pPr>
      <w:r>
        <w:rPr>
          <w:b/>
          <w:color w:val="0A3871"/>
          <w:sz w:val="22"/>
          <w:szCs w:val="22"/>
        </w:rPr>
        <w:t xml:space="preserve">•  Checker Checklist 3: </w:t>
      </w:r>
      <w:r>
        <w:rPr>
          <w:color w:val="1F2937"/>
          <w:sz w:val="22"/>
          <w:szCs w:val="22"/>
        </w:rPr>
        <w:t xml:space="preserve">Submit 2FA OTP promptly within the 120-second validity timer.</w:t>
      </w:r>
    </w:p>
    <w:p>
      <w:pPr>
        <w:pStyle w:val="Heading2"/>
        <w:spacing w:before="240" w:after="120"/>
      </w:pPr>
      <w:r>
        <w:rPr>
          <w:b/>
          <w:color w:val="1E3A8A"/>
          <w:sz w:val="28"/>
          <w:szCs w:val="28"/>
        </w:rPr>
        <w:t>13.2 Frequently Asked Questions (FAQ)</w:t>
      </w:r>
    </w:p>
    <w:p>
      <w:pPr>
        <w:ind w:left="480" w:hanging="240"/>
        <w:spacing w:before="40" w:after="80" w:line="240" w:lineRule="auto"/>
      </w:pPr>
      <w:r>
        <w:rPr>
          <w:b/>
          <w:color w:val="0A3871"/>
          <w:sz w:val="22"/>
          <w:szCs w:val="22"/>
        </w:rPr>
        <w:t xml:space="preserve">•  Q1: Why is RTGS disabled? </w:t>
      </w:r>
      <w:r>
        <w:rPr>
          <w:color w:val="1F2937"/>
          <w:sz w:val="22"/>
          <w:szCs w:val="22"/>
        </w:rPr>
        <w:t xml:space="preserve">RTGS clearing is only open Sunday to Thursday between 10:00 AM and 03:00 PM BST for amounts &gt;= BDT 100,000. For lower amounts or after hours, use NPSB (instant up to BDT 300,000) or BEFTN.</w:t>
      </w:r>
    </w:p>
    <w:p>
      <w:pPr>
        <w:ind w:left="480" w:hanging="240"/>
        <w:spacing w:before="40" w:after="80" w:line="240" w:lineRule="auto"/>
      </w:pPr>
      <w:r>
        <w:rPr>
          <w:b/>
          <w:color w:val="0A3871"/>
          <w:sz w:val="22"/>
          <w:szCs w:val="22"/>
        </w:rPr>
        <w:t xml:space="preserve">•  Q2: Can a Maker authorize their own transfer? </w:t>
      </w:r>
      <w:r>
        <w:rPr>
          <w:color w:val="1F2937"/>
          <w:sz w:val="22"/>
          <w:szCs w:val="22"/>
        </w:rPr>
        <w:t xml:space="preserve">No. The system strictly enforces dual-control segregation of duties. Transactions must be signed off by an independent Checker.</w:t>
      </w:r>
    </w:p>
    <w:p>
      <w:pPr>
        <w:ind w:left="480" w:hanging="240"/>
        <w:spacing w:before="40" w:after="80" w:line="240" w:lineRule="auto"/>
      </w:pPr>
      <w:r>
        <w:rPr>
          <w:b/>
          <w:color w:val="0A3871"/>
          <w:sz w:val="22"/>
          <w:szCs w:val="22"/>
        </w:rPr>
        <w:t xml:space="preserve">•  Q3: What if I enter the wrong password 5 times? </w:t>
      </w:r>
      <w:r>
        <w:rPr>
          <w:color w:val="1F2937"/>
          <w:sz w:val="22"/>
          <w:szCs w:val="22"/>
        </w:rPr>
        <w:t xml:space="preserve">Your account will be locked for security. Use the 'Forgot Password' link on the login page or contact your Corporate Master Administrator to reset your profile.</w:t>
      </w:r>
    </w:p>
    <w:p>
      <w:pPr>
        <w:ind w:left="480" w:hanging="240"/>
        <w:spacing w:before="40" w:after="80" w:line="240" w:lineRule="auto"/>
      </w:pPr>
      <w:r>
        <w:rPr>
          <w:b/>
          <w:color w:val="0A3871"/>
          <w:sz w:val="22"/>
          <w:szCs w:val="22"/>
        </w:rPr>
        <w:t xml:space="preserve">•  Q4: How do I change an existing beneficiary's account number? </w:t>
      </w:r>
      <w:r>
        <w:rPr>
          <w:color w:val="1F2937"/>
          <w:sz w:val="22"/>
          <w:szCs w:val="22"/>
        </w:rPr>
        <w:t xml:space="preserve">Due to field locking rules, core routing fields are permanently immutable once authorized. Delete the existing payee and re-enroll with the corrected details.</w:t>
      </w:r>
    </w:p>
    <w:p>
      <w:pPr>
        <w:pStyle w:val="Heading2"/>
        <w:spacing w:before="240" w:after="120"/>
      </w:pPr>
      <w:r>
        <w:rPr>
          <w:b/>
          <w:color w:val="1E3A8A"/>
          <w:sz w:val="28"/>
          <w:szCs w:val="28"/>
        </w:rPr>
        <w:t>13.3 Support Contacts &amp; Emergency Escalation</w:t>
      </w:r>
    </w:p>
    <w:p>
      <w:pPr>
        <w:ind w:left="480" w:hanging="240"/>
        <w:spacing w:before="40" w:after="80" w:line="240" w:lineRule="auto"/>
      </w:pPr>
      <w:r>
        <w:rPr>
          <w:b/>
          <w:color w:val="0A3871"/>
          <w:sz w:val="22"/>
          <w:szCs w:val="22"/>
        </w:rPr>
        <w:t xml:space="preserve">•  24/7 Corporate Helpline: </w:t>
      </w:r>
      <w:r>
        <w:rPr>
          <w:color w:val="1F2937"/>
          <w:sz w:val="22"/>
          <w:szCs w:val="22"/>
        </w:rPr>
        <w:t xml:space="preserve">Dial 16222 from any mobile or landline within Bangladesh.</w:t>
      </w:r>
    </w:p>
    <w:p>
      <w:pPr>
        <w:ind w:left="480" w:hanging="240"/>
        <w:spacing w:before="40" w:after="80" w:line="240" w:lineRule="auto"/>
      </w:pPr>
      <w:r>
        <w:rPr>
          <w:b/>
          <w:color w:val="0A3871"/>
          <w:sz w:val="22"/>
          <w:szCs w:val="22"/>
        </w:rPr>
        <w:t xml:space="preserve">•  Corporate Helpdesk Email: </w:t>
      </w:r>
      <w:r>
        <w:rPr>
          <w:color w:val="1F2937"/>
          <w:sz w:val="22"/>
          <w:szCs w:val="22"/>
        </w:rPr>
        <w:t xml:space="preserve">Email corporate.support@citizensbankbd.com or ibank.support@citizensbankbd.com.</w:t>
      </w:r>
    </w:p>
    <w:p>
      <w:pPr>
        <w:ind w:left="480" w:hanging="240"/>
        <w:spacing w:before="40" w:after="80" w:line="240" w:lineRule="auto"/>
      </w:pPr>
      <w:r>
        <w:rPr>
          <w:b/>
          <w:color w:val="0A3871"/>
          <w:sz w:val="22"/>
          <w:szCs w:val="22"/>
        </w:rPr>
        <w:t xml:space="preserve">•  Head Office: </w:t>
      </w:r>
      <w:r>
        <w:rPr>
          <w:color w:val="1F2937"/>
          <w:sz w:val="22"/>
          <w:szCs w:val="22"/>
        </w:rPr>
        <w:t xml:space="preserve">Citizens Bank PLC, Corporate Banking Division, Head Office, Motijheel, Dhaka, Bangladesh.</w:t>
      </w:r>
    </w:p>
    <w:sectPr>
      <w:headerReference w:type="default" r:id="rId3"/>
      <w:footerReference w:type="default" r:id="rId4"/>
      <w:pgSz w:w="12240" w:h="15840"/>
      <w:pgMar w:top="1440" w:right="1440" w:bottom="1440" w:left="1440" w:header="720" w:footer="720" w:gutter="0"/>
    </w:sectPr>
  </w:body>
</w:document>
</file>

<file path=word/footer1.xml><?xml version="1.0" encoding="utf-8"?>
<w:ftr xmlns:w="http://schemas.openxmlformats.org/wordprocessingml/2006/main">
  <w:p>
    <w:pPr>
      <w:jc w:val="both"/>
      <w:tabs>
        <w:tab w:val="right" w:pos="9360"/>
      </w:tabs>
      <w:spacing w:before="100"/>
    </w:pPr>
    <w:r>
      <w:rPr>
        <w:b/>
        <w:color w:val="C00000"/>
        <w:sz w:val="16"/>
        <w:szCs w:val="16"/>
      </w:rPr>
      <w:t>STRICTLY CONFIDENTIAL &amp; PROPRIETARY</w:t>
    </w:r>
    <w:r>
      <w:tab/>
    </w:r>
    <w:r>
      <w:rPr>
        <w:color w:val="64748B"/>
        <w:sz w:val="16"/>
        <w:szCs w:val="16"/>
      </w:rPr>
      <w:t>Page </w:t>
    </w:r>
    <w:fldSimple w:instr="PAGE"/>
    <w:r>
      <w:rPr>
        <w:color w:val="64748B"/>
        <w:sz w:val="16"/>
        <w:szCs w:val="16"/>
      </w:rPr>
      <w:t> of </w:t>
    </w:r>
    <w:fldSimple w:instr="NUMPAGES"/>
  </w:p>
</w:ftr>
</file>

<file path=word/header1.xml><?xml version="1.0" encoding="utf-8"?>
<w:hdr xmlns:w="http://schemas.openxmlformats.org/wordprocessingml/2006/main">
  <w:p>
    <w:pPr>
      <w:jc w:val="both"/>
      <w:tabs>
        <w:tab w:val="right" w:pos="9360"/>
      </w:tabs>
      <w:spacing w:after="100"/>
    </w:pPr>
    <w:r>
      <w:rPr>
        <w:b/>
        <w:color w:val="8B1C1C"/>
        <w:sz w:val="17"/>
        <w:szCs w:val="17"/>
      </w:rPr>
      <w:t>CITIZENS BANK PLC (CZB)</w:t>
    </w:r>
    <w:r>
      <w:tab/>
    </w:r>
    <w:r>
      <w:rPr>
        <w:color w:val="64748B"/>
        <w:sz w:val="17"/>
        <w:szCs w:val="17"/>
      </w:rPr>
      <w:t>CloudNet Corporate Dynamic — User Operations Manual</w:t>
    </w:r>
  </w:p>
</w:hdr>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before="0" w:after="120" w:line="260" w:lineRule="auto"/>
      </w:pPr>
    </w:pPrDefault>
  </w:docDefaults>
  <w:style w:type="paragraph" w:styleId="Heading1">
    <w:name w:val="heading 1"/>
    <w:basedOn w:val="Normal"/>
    <w:next w:val="Normal"/>
    <w:pPr>
      <w:spacing w:before="360" w:after="140"/>
    </w:pPr>
    <w:rPr>
      <w:b/>
      <w:color w:val="0A3871"/>
      <w:sz w:val="32"/>
      <w:szCs w:val="32"/>
    </w:rPr>
  </w:style>
  <w:style w:type="paragraph" w:styleId="Heading2">
    <w:name w:val="heading 2"/>
    <w:basedOn w:val="Normal"/>
    <w:next w:val="Normal"/>
    <w:pPr>
      <w:spacing w:before="240" w:after="100"/>
    </w:pPr>
    <w:rPr>
      <w:b/>
      <w:color w:val="1E3A8A"/>
      <w:sz w:val="26"/>
      <w:szCs w:val="26"/>
    </w:rPr>
  </w:style>
  <w:style w:type="paragraph" w:styleId="Heading3">
    <w:name w:val="heading 3"/>
    <w:basedOn w:val="Normal"/>
    <w:next w:val="Normal"/>
    <w:pPr>
      <w:spacing w:before="160" w:after="80"/>
    </w:pPr>
    <w:rPr>
      <w:b/>
      <w:color w:val="334155"/>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
</Relationships>
</file>