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 w:after="40" w:line="260" w:lineRule="auto"/>
      </w:pPr>
      <w:r>
        <w:rPr>
          <w:b/>
          <w:color w:val="8B1C1C"/>
          <w:sz w:val="36"/>
          <w:szCs w:val="36"/>
        </w:rPr>
        <w:t xml:space="preserve">CLOUDNET</w:t>
      </w:r>
    </w:p>
    <w:p>
      <w:pPr>
        <w:jc w:val="center"/>
        <w:spacing w:before="0" w:after="80" w:line="260" w:lineRule="auto"/>
      </w:pPr>
      <w:r>
        <w:rPr>
          <w:b/>
          <w:color w:val="0A3871"/>
          <w:sz w:val="24"/>
          <w:szCs w:val="24"/>
        </w:rPr>
        <w:t xml:space="preserve">Internet Banking Platform</w:t>
      </w:r>
    </w:p>
    <w:p>
      <w:pPr>
        <w:jc w:val="center"/>
        <w:spacing w:before="0" w:after="80" w:line="260" w:lineRule="auto"/>
      </w:pPr>
      <w:r>
        <w:rPr>
          <w:b/>
          <w:color w:val="1E3A8A"/>
          <w:sz w:val="28"/>
          <w:szCs w:val="28"/>
        </w:rPr>
        <w:t xml:space="preserve">FEATURE REQUIREMENTS DETAILS DOCUMENT</w:t>
      </w:r>
    </w:p>
    <w:p>
      <w:pPr>
        <w:jc w:val="center"/>
        <w:spacing w:before="0" w:after="240" w:line="260" w:lineRule="auto"/>
      </w:pPr>
      <w:r>
        <w:rPr>
          <w:i/>
          <w:color w:val="64748B"/>
          <w:sz w:val="19"/>
          <w:szCs w:val="19"/>
        </w:rPr>
        <w:t xml:space="preserve">Comprehensive Functional Specifications, Business Architecture &amp; Enterprise Governance</w:t>
      </w:r>
    </w:p>
    <w:p>
      <w:pPr>
        <w:pBdr>
          <w:bottom w:val="single" w:sz="8" w:space="1" w:color="E2E8F0"/>
        </w:pBdr>
        <w:spacing w:before="120" w:after="160"/>
      </w:pP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2800"/>
        <w:gridCol w:w="6560"/>
      </w:tblGrid>
      <w:tr>
        <w:trPr>
          <w:tblHeader/>
        </w:trPr>
        <w:tc>
          <w:tcPr>
            <w:tcW w:w="2800" w:type="dxa"/>
            <w:shd w:val="clear" w:color="auto" w:fill="0A3871"/>
          </w:tcPr>
          <w:p>
            <w:pPr>
              <w:spacing w:before="60" w:after="60"/>
            </w:pPr>
            <w:r>
              <w:rPr>
                <w:b/>
                <w:color w:val="FFFFFF"/>
                <w:sz w:val="20"/>
                <w:szCs w:val="20"/>
              </w:rPr>
              <w:t>Parameter</w:t>
            </w:r>
          </w:p>
        </w:tc>
        <w:tc>
          <w:tcPr>
            <w:tcW w:w="6560" w:type="dxa"/>
            <w:shd w:val="clear" w:color="auto" w:fill="0A3871"/>
          </w:tcPr>
          <w:p>
            <w:pPr>
              <w:spacing w:before="60" w:after="60"/>
            </w:pPr>
            <w:r>
              <w:rPr>
                <w:b/>
                <w:color w:val="FFFFFF"/>
                <w:sz w:val="20"/>
                <w:szCs w:val="20"/>
              </w:rPr>
              <w:t>Specification Details</w:t>
            </w:r>
          </w:p>
        </w:tc>
      </w:tr>
      <w:tr>
        <w:tc>
          <w:tcPr>
            <w:tcW w:w="2800" w:type="dxa"/>
            <w:shd w:val="clear" w:color="auto" w:fill="FFFFFF"/>
          </w:tcPr>
          <w:p>
            <w:pPr>
              <w:spacing w:before="40" w:after="40" w:line="220" w:lineRule="auto"/>
            </w:pPr>
            <w:r>
              <w:rPr>
                <w:color w:val="1F2937"/>
                <w:sz w:val="19"/>
                <w:szCs w:val="19"/>
              </w:rPr>
              <w:t>Prepared For</w:t>
            </w:r>
          </w:p>
        </w:tc>
        <w:tc>
          <w:tcPr>
            <w:tcW w:w="6560" w:type="dxa"/>
            <w:shd w:val="clear" w:color="auto" w:fill="FFFFFF"/>
          </w:tcPr>
          <w:p>
            <w:pPr>
              <w:spacing w:before="40" w:after="40" w:line="220" w:lineRule="auto"/>
            </w:pPr>
            <w:r>
              <w:rPr>
                <w:color w:val="1F2937"/>
                <w:sz w:val="19"/>
                <w:szCs w:val="19"/>
              </w:rPr>
              <w:t>Citizens Bank PLC</w:t>
            </w:r>
          </w:p>
        </w:tc>
      </w:tr>
      <w:tr>
        <w:tc>
          <w:tcPr>
            <w:tcW w:w="2800" w:type="dxa"/>
            <w:shd w:val="clear" w:color="auto" w:fill="F8FAFC"/>
          </w:tcPr>
          <w:p>
            <w:pPr>
              <w:spacing w:before="40" w:after="40" w:line="220" w:lineRule="auto"/>
            </w:pPr>
            <w:r>
              <w:rPr>
                <w:color w:val="1F2937"/>
                <w:sz w:val="19"/>
                <w:szCs w:val="19"/>
              </w:rPr>
              <w:t>Application</w:t>
            </w:r>
          </w:p>
        </w:tc>
        <w:tc>
          <w:tcPr>
            <w:tcW w:w="6560" w:type="dxa"/>
            <w:shd w:val="clear" w:color="auto" w:fill="F8FAFC"/>
          </w:tcPr>
          <w:p>
            <w:pPr>
              <w:spacing w:before="40" w:after="40" w:line="220" w:lineRule="auto"/>
            </w:pPr>
            <w:r>
              <w:rPr>
                <w:color w:val="1F2937"/>
                <w:sz w:val="19"/>
                <w:szCs w:val="19"/>
              </w:rPr>
              <w:t>CloudNet Internet Banking (Corporate Dynamic Web Portal &amp; Omnichannel Mobile Engine)</w:t>
            </w:r>
          </w:p>
        </w:tc>
      </w:tr>
      <w:tr>
        <w:tc>
          <w:tcPr>
            <w:tcW w:w="2800" w:type="dxa"/>
            <w:shd w:val="clear" w:color="auto" w:fill="FFFFFF"/>
          </w:tcPr>
          <w:p>
            <w:pPr>
              <w:spacing w:before="40" w:after="40" w:line="220" w:lineRule="auto"/>
            </w:pPr>
            <w:r>
              <w:rPr>
                <w:color w:val="1F2937"/>
                <w:sz w:val="19"/>
                <w:szCs w:val="19"/>
              </w:rPr>
              <w:t>Document Scope</w:t>
            </w:r>
          </w:p>
        </w:tc>
        <w:tc>
          <w:tcPr>
            <w:tcW w:w="6560" w:type="dxa"/>
            <w:shd w:val="clear" w:color="auto" w:fill="FFFFFF"/>
          </w:tcPr>
          <w:p>
            <w:pPr>
              <w:spacing w:before="40" w:after="40" w:line="220" w:lineRule="auto"/>
            </w:pPr>
            <w:r>
              <w:rPr>
                <w:color w:val="1F2937"/>
                <w:sz w:val="19"/>
                <w:szCs w:val="19"/>
              </w:rPr>
              <w:t>Feature Requirements Details — All 52 Outline Feature Areas</w:t>
            </w:r>
          </w:p>
        </w:tc>
      </w:tr>
      <w:tr>
        <w:tc>
          <w:tcPr>
            <w:tcW w:w="2800" w:type="dxa"/>
            <w:shd w:val="clear" w:color="auto" w:fill="F8FAFC"/>
          </w:tcPr>
          <w:p>
            <w:pPr>
              <w:spacing w:before="40" w:after="40" w:line="220" w:lineRule="auto"/>
            </w:pPr>
            <w:r>
              <w:rPr>
                <w:color w:val="1F2937"/>
                <w:sz w:val="19"/>
                <w:szCs w:val="19"/>
              </w:rPr>
              <w:t>Document Version</w:t>
            </w:r>
          </w:p>
        </w:tc>
        <w:tc>
          <w:tcPr>
            <w:tcW w:w="6560" w:type="dxa"/>
            <w:shd w:val="clear" w:color="auto" w:fill="F8FAFC"/>
          </w:tcPr>
          <w:p>
            <w:pPr>
              <w:spacing w:before="40" w:after="40" w:line="220" w:lineRule="auto"/>
            </w:pPr>
            <w:r>
              <w:rPr>
                <w:color w:val="1F2937"/>
                <w:sz w:val="19"/>
                <w:szCs w:val="19"/>
              </w:rPr>
              <w:t>1.0 (Enterprise Release)</w:t>
            </w:r>
          </w:p>
        </w:tc>
      </w:tr>
      <w:tr>
        <w:tc>
          <w:tcPr>
            <w:tcW w:w="2800" w:type="dxa"/>
            <w:shd w:val="clear" w:color="auto" w:fill="FFFFFF"/>
          </w:tcPr>
          <w:p>
            <w:pPr>
              <w:spacing w:before="40" w:after="40" w:line="220" w:lineRule="auto"/>
            </w:pPr>
            <w:r>
              <w:rPr>
                <w:color w:val="1F2937"/>
                <w:sz w:val="19"/>
                <w:szCs w:val="19"/>
              </w:rPr>
              <w:t>Document Status</w:t>
            </w:r>
          </w:p>
        </w:tc>
        <w:tc>
          <w:tcPr>
            <w:tcW w:w="6560" w:type="dxa"/>
            <w:shd w:val="clear" w:color="auto" w:fill="FFFFFF"/>
          </w:tcPr>
          <w:p>
            <w:pPr>
              <w:spacing w:before="40" w:after="40" w:line="220" w:lineRule="auto"/>
            </w:pPr>
            <w:r>
              <w:rPr>
                <w:color w:val="1F2937"/>
                <w:sz w:val="19"/>
                <w:szCs w:val="19"/>
              </w:rPr>
              <w:t>Draft for Review</w:t>
            </w:r>
          </w:p>
        </w:tc>
      </w:tr>
      <w:tr>
        <w:tc>
          <w:tcPr>
            <w:tcW w:w="2800" w:type="dxa"/>
            <w:shd w:val="clear" w:color="auto" w:fill="F8FAFC"/>
          </w:tcPr>
          <w:p>
            <w:pPr>
              <w:spacing w:before="40" w:after="40" w:line="220" w:lineRule="auto"/>
            </w:pPr>
            <w:r>
              <w:rPr>
                <w:color w:val="1F2937"/>
                <w:sz w:val="19"/>
                <w:szCs w:val="19"/>
              </w:rPr>
              <w:t>Confidentiality</w:t>
            </w:r>
          </w:p>
        </w:tc>
        <w:tc>
          <w:tcPr>
            <w:tcW w:w="6560" w:type="dxa"/>
            <w:shd w:val="clear" w:color="auto" w:fill="F8FAFC"/>
          </w:tcPr>
          <w:p>
            <w:pPr>
              <w:spacing w:before="40" w:after="40" w:line="220" w:lineRule="auto"/>
            </w:pPr>
            <w:r>
              <w:rPr>
                <w:color w:val="1F2937"/>
                <w:sz w:val="19"/>
                <w:szCs w:val="19"/>
              </w:rPr>
              <w:t>CONFIDENTIAL &amp; PROPRIETARY</w:t>
            </w:r>
          </w:p>
        </w:tc>
      </w:tr>
      <w:tr>
        <w:tc>
          <w:tcPr>
            <w:tcW w:w="2800" w:type="dxa"/>
            <w:shd w:val="clear" w:color="auto" w:fill="FFFFFF"/>
          </w:tcPr>
          <w:p>
            <w:pPr>
              <w:spacing w:before="40" w:after="40" w:line="220" w:lineRule="auto"/>
            </w:pPr>
            <w:r>
              <w:rPr>
                <w:color w:val="1F2937"/>
                <w:sz w:val="19"/>
                <w:szCs w:val="19"/>
              </w:rPr>
              <w:t>Institutional Context</w:t>
            </w:r>
          </w:p>
        </w:tc>
        <w:tc>
          <w:tcPr>
            <w:tcW w:w="6560" w:type="dxa"/>
            <w:shd w:val="clear" w:color="auto" w:fill="FFFFFF"/>
          </w:tcPr>
          <w:p>
            <w:pPr>
              <w:spacing w:before="40" w:after="40" w:line="220" w:lineRule="auto"/>
            </w:pPr>
            <w:r>
              <w:rPr>
                <w:color w:val="1F2937"/>
                <w:sz w:val="19"/>
                <w:szCs w:val="19"/>
              </w:rPr>
              <w:t>Citizens Bank PLC (CZB) / Multi-Tenant CloudNet Engine</w:t>
            </w:r>
          </w:p>
        </w:tc>
      </w:tr>
      <w:tr>
        <w:tc>
          <w:tcPr>
            <w:tcW w:w="2800" w:type="dxa"/>
            <w:shd w:val="clear" w:color="auto" w:fill="F8FAFC"/>
          </w:tcPr>
          <w:p>
            <w:pPr>
              <w:spacing w:before="40" w:after="40" w:line="220" w:lineRule="auto"/>
            </w:pPr>
            <w:r>
              <w:rPr>
                <w:color w:val="1F2937"/>
                <w:sz w:val="19"/>
                <w:szCs w:val="19"/>
              </w:rPr>
              <w:t>Corporate Web Portal</w:t>
            </w:r>
          </w:p>
        </w:tc>
        <w:tc>
          <w:tcPr>
            <w:tcW w:w="6560" w:type="dxa"/>
            <w:shd w:val="clear" w:color="auto" w:fill="F8FAFC"/>
          </w:tcPr>
          <w:p>
            <w:pPr>
              <w:spacing w:before="40" w:after="40" w:line="220" w:lineRule="auto"/>
            </w:pPr>
            <w:r>
              <w:rPr>
                <w:color w:val="1F2937"/>
                <w:sz w:val="19"/>
                <w:szCs w:val="19"/>
              </w:rPr>
              <w:t>CloudNet Corporate Dynamic Angular 15 SPA (Maker-Checker Dual Approval)</w:t>
            </w:r>
          </w:p>
        </w:tc>
      </w:tr>
      <w:tr>
        <w:tc>
          <w:tcPr>
            <w:tcW w:w="2800" w:type="dxa"/>
            <w:shd w:val="clear" w:color="auto" w:fill="FFFFFF"/>
          </w:tcPr>
          <w:p>
            <w:pPr>
              <w:spacing w:before="40" w:after="40" w:line="220" w:lineRule="auto"/>
            </w:pPr>
            <w:r>
              <w:rPr>
                <w:color w:val="1F2937"/>
                <w:sz w:val="19"/>
                <w:szCs w:val="19"/>
              </w:rPr>
              <w:t>Clearing Rails &amp; Switches</w:t>
            </w:r>
          </w:p>
        </w:tc>
        <w:tc>
          <w:tcPr>
            <w:tcW w:w="6560" w:type="dxa"/>
            <w:shd w:val="clear" w:color="auto" w:fill="FFFFFF"/>
          </w:tcPr>
          <w:p>
            <w:pPr>
              <w:spacing w:before="40" w:after="40" w:line="220" w:lineRule="auto"/>
            </w:pPr>
            <w:r>
              <w:rPr>
                <w:color w:val="1F2937"/>
                <w:sz w:val="19"/>
                <w:szCs w:val="19"/>
              </w:rPr>
              <w:t>BEFTN, NPSB, RTGS, Bangla QR, MFS (bKash, Nagad, Rocket, Upay, TAP)</w:t>
            </w:r>
          </w:p>
        </w:tc>
      </w:tr>
      <w:tr>
        <w:tc>
          <w:tcPr>
            <w:tcW w:w="2800" w:type="dxa"/>
            <w:shd w:val="clear" w:color="auto" w:fill="F8FAFC"/>
          </w:tcPr>
          <w:p>
            <w:pPr>
              <w:spacing w:before="40" w:after="40" w:line="220" w:lineRule="auto"/>
            </w:pPr>
            <w:r>
              <w:rPr>
                <w:color w:val="1F2937"/>
                <w:sz w:val="19"/>
                <w:szCs w:val="19"/>
              </w:rPr>
              <w:t>Regulatory Compliance</w:t>
            </w:r>
          </w:p>
        </w:tc>
        <w:tc>
          <w:tcPr>
            <w:tcW w:w="6560" w:type="dxa"/>
            <w:shd w:val="clear" w:color="auto" w:fill="F8FAFC"/>
          </w:tcPr>
          <w:p>
            <w:pPr>
              <w:spacing w:before="40" w:after="40" w:line="220" w:lineRule="auto"/>
            </w:pPr>
            <w:r>
              <w:rPr>
                <w:color w:val="1F2937"/>
                <w:sz w:val="19"/>
                <w:szCs w:val="19"/>
              </w:rPr>
              <w:t>Bangladesh Bank Guidelines on ICT Security for Scheduled Banks</w:t>
            </w:r>
          </w:p>
        </w:tc>
      </w:tr>
    </w:tbl>
    <w:p>
      <w:pPr>
        <w:jc w:val="left"/>
        <w:spacing w:before="0" w:after="120" w:line="260" w:lineRule="auto"/>
      </w:pPr>
      <w:r>
        <w:rPr>
          <w:color w:val="1F2937"/>
          <w:sz w:val="22"/>
          <w:szCs w:val="22"/>
        </w:rPr>
        <w:t xml:space="preserve"/>
      </w:r>
    </w:p>
    <w:tbl>
      <w:tblPr>
        <w:tblW w:w="9360" w:type="dxa"/>
        <w:tblBorders>
          <w:top w:val="none" w:sz="0" w:space="0" w:color="auto"/>
          <w:left w:val="single" w:sz="24" w:space="0" w:color="8B1C1C"/>
          <w:bottom w:val="none" w:sz="0" w:space="0" w:color="auto"/>
          <w:right w:val="none" w:sz="0" w:space="0" w:color="auto"/>
          <w:insideH w:val="none"/>
          <w:insideV w:val="none"/>
        </w:tblBorders>
        <w:tblCellMar>
          <w:top w:w="140" w:type="dxa"/>
          <w:left w:w="220" w:type="dxa"/>
          <w:bottom w:w="140" w:type="dxa"/>
          <w:right w:w="220" w:type="dxa"/>
        </w:tblCellMar>
      </w:tblPr>
      <w:tblGrid>
        <w:gridCol w:w="9360"/>
      </w:tblGrid>
      <w:tr>
        <w:tc>
          <w:tcPr>
            <w:tcW w:w="9360" w:type="dxa"/>
            <w:shd w:val="clear" w:color="auto" w:fill="FFF5F5"/>
          </w:tcPr>
          <w:p>
            <w:pPr>
              <w:spacing w:before="0" w:after="60"/>
            </w:pPr>
            <w:r>
              <w:rPr>
                <w:b/>
                <w:color w:val="8B1C1C"/>
                <w:sz w:val="20"/>
                <w:szCs w:val="20"/>
              </w:rPr>
              <w:t>[ARCHITECTURAL MANDATE]  ENTERPRISE ARCHITECTURAL NOTICE &amp; GOVERNANCE SCOPE</w:t>
            </w:r>
          </w:p>
          <w:p>
            <w:pPr>
              <w:spacing w:before="0" w:after="0" w:line="240" w:lineRule="auto"/>
            </w:pPr>
            <w:r>
              <w:rPr>
                <w:color w:val="334155"/>
                <w:sz w:val="21"/>
                <w:szCs w:val="21"/>
              </w:rPr>
              <w:t>This document establishes the comprehensive feature requirements for the CloudNet Internet Banking platform for Citizens Bank PLC. It maintains strict fidelity to the agreed 52-item Feature Area outline, expanding each feature with full operational workflows, business rules, API integrations, and the complete corporate web banking capabilities (including Maker-Checker dual control, tiered monetary approval slabs, dynamic ERP spreadsheet mapping, real-time CBS account title verification, and immutable audit trails).</w:t>
            </w:r>
          </w:p>
        </w:tc>
      </w:tr>
    </w:tbl>
    <w:p>
      <w:pPr>
        <w:jc w:val="left"/>
        <w:spacing w:before="0" w:after="120" w:line="260" w:lineRule="auto"/>
      </w:pPr>
      <w:r>
        <w:rPr>
          <w:color w:val="1F2937"/>
          <w:sz w:val="22"/>
          <w:szCs w:val="22"/>
        </w:rPr>
        <w:t xml:space="preserve"/>
      </w:r>
    </w:p>
    <w:p>
      <w:pPr>
        <w:pStyle w:val="Heading1"/>
        <w:spacing w:before="360" w:after="160"/>
      </w:pPr>
      <w:r>
        <w:br w:type="page"/>
      </w:r>
      <w:r>
        <w:rPr>
          <w:b/>
          <w:color w:val="0A3871"/>
          <w:sz w:val="34"/>
          <w:szCs w:val="34"/>
        </w:rPr>
        <w:t>Outline</w:t>
      </w:r>
    </w:p>
    <w:p>
      <w:pPr>
        <w:jc w:val="left"/>
        <w:spacing w:before="0" w:after="120" w:line="260" w:lineRule="auto"/>
      </w:pPr>
      <w:r>
        <w:rPr>
          <w:color w:val="1F2937"/>
          <w:sz w:val="22"/>
          <w:szCs w:val="22"/>
        </w:rPr>
        <w:t xml:space="preserve">The CloudNet new feature requirement document will be organized under the following feature areas:</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800"/>
        <w:gridCol w:w="6560"/>
        <w:gridCol w:w="2000"/>
      </w:tblGrid>
      <w:tr>
        <w:trPr>
          <w:tblHeader/>
        </w:trPr>
        <w:tc>
          <w:tcPr>
            <w:tcW w:w="800" w:type="dxa"/>
            <w:shd w:val="clear" w:color="auto" w:fill="0A3871"/>
          </w:tcPr>
          <w:p>
            <w:pPr>
              <w:spacing w:before="60" w:after="60"/>
            </w:pPr>
            <w:r>
              <w:rPr>
                <w:b/>
                <w:color w:val="FFFFFF"/>
                <w:sz w:val="20"/>
                <w:szCs w:val="20"/>
              </w:rPr>
              <w:t>No.</w:t>
            </w:r>
          </w:p>
        </w:tc>
        <w:tc>
          <w:tcPr>
            <w:tcW w:w="6560" w:type="dxa"/>
            <w:shd w:val="clear" w:color="auto" w:fill="0A3871"/>
          </w:tcPr>
          <w:p>
            <w:pPr>
              <w:spacing w:before="60" w:after="60"/>
            </w:pPr>
            <w:r>
              <w:rPr>
                <w:b/>
                <w:color w:val="FFFFFF"/>
                <w:sz w:val="20"/>
                <w:szCs w:val="20"/>
              </w:rPr>
              <w:t>Feature Area</w:t>
            </w:r>
          </w:p>
        </w:tc>
        <w:tc>
          <w:tcPr>
            <w:tcW w:w="2000" w:type="dxa"/>
            <w:shd w:val="clear" w:color="auto" w:fill="0A3871"/>
          </w:tcPr>
          <w:p>
            <w:pPr>
              <w:spacing w:before="60" w:after="60"/>
            </w:pPr>
            <w:r>
              <w:rPr>
                <w:b/>
                <w:color w:val="FFFFFF"/>
                <w:sz w:val="20"/>
                <w:szCs w:val="20"/>
              </w:rPr>
              <w:t>Current Status</w:t>
            </w:r>
          </w:p>
        </w:tc>
      </w:tr>
      <w:tr>
        <w:tc>
          <w:tcPr>
            <w:tcW w:w="800" w:type="dxa"/>
            <w:shd w:val="clear" w:color="auto" w:fill="FFFFFF"/>
          </w:tcPr>
          <w:p>
            <w:pPr>
              <w:spacing w:before="40" w:after="40" w:line="220" w:lineRule="auto"/>
            </w:pPr>
            <w:r>
              <w:rPr>
                <w:color w:val="1F2937"/>
                <w:sz w:val="19"/>
                <w:szCs w:val="19"/>
              </w:rPr>
              <w:t>1</w:t>
            </w:r>
          </w:p>
        </w:tc>
        <w:tc>
          <w:tcPr>
            <w:tcW w:w="6560" w:type="dxa"/>
            <w:shd w:val="clear" w:color="auto" w:fill="FFFFFF"/>
          </w:tcPr>
          <w:p>
            <w:pPr>
              <w:spacing w:before="40" w:after="40" w:line="220" w:lineRule="auto"/>
            </w:pPr>
            <w:r>
              <w:rPr>
                <w:color w:val="1F2937"/>
                <w:sz w:val="19"/>
                <w:szCs w:val="19"/>
              </w:rPr>
              <w:t>Fund Transfer (Dynamic)</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w:t>
            </w:r>
          </w:p>
        </w:tc>
        <w:tc>
          <w:tcPr>
            <w:tcW w:w="6560" w:type="dxa"/>
            <w:shd w:val="clear" w:color="auto" w:fill="F8FAFC"/>
          </w:tcPr>
          <w:p>
            <w:pPr>
              <w:spacing w:before="40" w:after="40" w:line="220" w:lineRule="auto"/>
            </w:pPr>
            <w:r>
              <w:rPr>
                <w:color w:val="1F2937"/>
                <w:sz w:val="19"/>
                <w:szCs w:val="19"/>
              </w:rPr>
              <w:t>Beneficiary Manager (Dynamic)</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w:t>
            </w:r>
          </w:p>
        </w:tc>
        <w:tc>
          <w:tcPr>
            <w:tcW w:w="6560" w:type="dxa"/>
            <w:shd w:val="clear" w:color="auto" w:fill="FFFFFF"/>
          </w:tcPr>
          <w:p>
            <w:pPr>
              <w:spacing w:before="40" w:after="40" w:line="220" w:lineRule="auto"/>
            </w:pPr>
            <w:r>
              <w:rPr>
                <w:color w:val="1F2937"/>
                <w:sz w:val="19"/>
                <w:szCs w:val="19"/>
              </w:rPr>
              <w:t>Sign-up / Self Registration</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w:t>
            </w:r>
          </w:p>
        </w:tc>
        <w:tc>
          <w:tcPr>
            <w:tcW w:w="6560" w:type="dxa"/>
            <w:shd w:val="clear" w:color="auto" w:fill="F8FAFC"/>
          </w:tcPr>
          <w:p>
            <w:pPr>
              <w:spacing w:before="40" w:after="40" w:line="220" w:lineRule="auto"/>
            </w:pPr>
            <w:r>
              <w:rPr>
                <w:color w:val="1F2937"/>
                <w:sz w:val="19"/>
                <w:szCs w:val="19"/>
              </w:rPr>
              <w:t>Device Change / Device Binding</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5</w:t>
            </w:r>
          </w:p>
        </w:tc>
        <w:tc>
          <w:tcPr>
            <w:tcW w:w="6560" w:type="dxa"/>
            <w:shd w:val="clear" w:color="auto" w:fill="FFFFFF"/>
          </w:tcPr>
          <w:p>
            <w:pPr>
              <w:spacing w:before="40" w:after="40" w:line="220" w:lineRule="auto"/>
            </w:pPr>
            <w:r>
              <w:rPr>
                <w:color w:val="1F2937"/>
                <w:sz w:val="19"/>
                <w:szCs w:val="19"/>
              </w:rPr>
              <w:t>Dark Mode Support</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6</w:t>
            </w:r>
          </w:p>
        </w:tc>
        <w:tc>
          <w:tcPr>
            <w:tcW w:w="6560" w:type="dxa"/>
            <w:shd w:val="clear" w:color="auto" w:fill="F8FAFC"/>
          </w:tcPr>
          <w:p>
            <w:pPr>
              <w:spacing w:before="40" w:after="40" w:line="220" w:lineRule="auto"/>
            </w:pPr>
            <w:r>
              <w:rPr>
                <w:color w:val="1F2937"/>
                <w:sz w:val="19"/>
                <w:szCs w:val="19"/>
              </w:rPr>
              <w:t>Enhanced Account Overview</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7</w:t>
            </w:r>
          </w:p>
        </w:tc>
        <w:tc>
          <w:tcPr>
            <w:tcW w:w="6560" w:type="dxa"/>
            <w:shd w:val="clear" w:color="auto" w:fill="FFFFFF"/>
          </w:tcPr>
          <w:p>
            <w:pPr>
              <w:spacing w:before="40" w:after="40" w:line="220" w:lineRule="auto"/>
            </w:pPr>
            <w:r>
              <w:rPr>
                <w:color w:val="1F2937"/>
                <w:sz w:val="19"/>
                <w:szCs w:val="19"/>
              </w:rPr>
              <w:t>Zakat Calculator</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8</w:t>
            </w:r>
          </w:p>
        </w:tc>
        <w:tc>
          <w:tcPr>
            <w:tcW w:w="6560" w:type="dxa"/>
            <w:shd w:val="clear" w:color="auto" w:fill="F8FAFC"/>
          </w:tcPr>
          <w:p>
            <w:pPr>
              <w:spacing w:before="40" w:after="40" w:line="220" w:lineRule="auto"/>
            </w:pPr>
            <w:r>
              <w:rPr>
                <w:color w:val="1F2937"/>
                <w:sz w:val="19"/>
                <w:szCs w:val="19"/>
              </w:rPr>
              <w:t>Prayer Time</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9</w:t>
            </w:r>
          </w:p>
        </w:tc>
        <w:tc>
          <w:tcPr>
            <w:tcW w:w="6560" w:type="dxa"/>
            <w:shd w:val="clear" w:color="auto" w:fill="FFFFFF"/>
          </w:tcPr>
          <w:p>
            <w:pPr>
              <w:spacing w:before="40" w:after="40" w:line="220" w:lineRule="auto"/>
            </w:pPr>
            <w:r>
              <w:rPr>
                <w:color w:val="1F2937"/>
                <w:sz w:val="19"/>
                <w:szCs w:val="19"/>
              </w:rPr>
              <w:t>Tasbeeh</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10</w:t>
            </w:r>
          </w:p>
        </w:tc>
        <w:tc>
          <w:tcPr>
            <w:tcW w:w="6560" w:type="dxa"/>
            <w:shd w:val="clear" w:color="auto" w:fill="F8FAFC"/>
          </w:tcPr>
          <w:p>
            <w:pPr>
              <w:spacing w:before="40" w:after="40" w:line="220" w:lineRule="auto"/>
            </w:pPr>
            <w:r>
              <w:rPr>
                <w:color w:val="1F2937"/>
                <w:sz w:val="19"/>
                <w:szCs w:val="19"/>
              </w:rPr>
              <w:t>Important Link</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11</w:t>
            </w:r>
          </w:p>
        </w:tc>
        <w:tc>
          <w:tcPr>
            <w:tcW w:w="6560" w:type="dxa"/>
            <w:shd w:val="clear" w:color="auto" w:fill="FFFFFF"/>
          </w:tcPr>
          <w:p>
            <w:pPr>
              <w:spacing w:before="40" w:after="40" w:line="220" w:lineRule="auto"/>
            </w:pPr>
            <w:r>
              <w:rPr>
                <w:color w:val="1F2937"/>
                <w:sz w:val="19"/>
                <w:szCs w:val="19"/>
              </w:rPr>
              <w:t>Bank Services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12</w:t>
            </w:r>
          </w:p>
        </w:tc>
        <w:tc>
          <w:tcPr>
            <w:tcW w:w="6560" w:type="dxa"/>
            <w:shd w:val="clear" w:color="auto" w:fill="F8FAFC"/>
          </w:tcPr>
          <w:p>
            <w:pPr>
              <w:spacing w:before="40" w:after="40" w:line="220" w:lineRule="auto"/>
            </w:pPr>
            <w:r>
              <w:rPr>
                <w:color w:val="1F2937"/>
                <w:sz w:val="19"/>
                <w:szCs w:val="19"/>
              </w:rPr>
              <w:t>Bangla QR - Payment</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14</w:t>
            </w:r>
          </w:p>
        </w:tc>
        <w:tc>
          <w:tcPr>
            <w:tcW w:w="6560" w:type="dxa"/>
            <w:shd w:val="clear" w:color="auto" w:fill="FFFFFF"/>
          </w:tcPr>
          <w:p>
            <w:pPr>
              <w:spacing w:before="40" w:after="40" w:line="220" w:lineRule="auto"/>
            </w:pPr>
            <w:r>
              <w:rPr>
                <w:color w:val="1F2937"/>
                <w:sz w:val="19"/>
                <w:szCs w:val="19"/>
              </w:rPr>
              <w:t>Intra Bank Transfer with QR Code</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15</w:t>
            </w:r>
          </w:p>
        </w:tc>
        <w:tc>
          <w:tcPr>
            <w:tcW w:w="6560" w:type="dxa"/>
            <w:shd w:val="clear" w:color="auto" w:fill="F8FAFC"/>
          </w:tcPr>
          <w:p>
            <w:pPr>
              <w:spacing w:before="40" w:after="40" w:line="220" w:lineRule="auto"/>
            </w:pPr>
            <w:r>
              <w:rPr>
                <w:color w:val="1F2937"/>
                <w:sz w:val="19"/>
                <w:szCs w:val="19"/>
              </w:rPr>
              <w:t>Enable customers to set a preferred alias User ID during the self-registration process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16</w:t>
            </w:r>
          </w:p>
        </w:tc>
        <w:tc>
          <w:tcPr>
            <w:tcW w:w="6560" w:type="dxa"/>
            <w:shd w:val="clear" w:color="auto" w:fill="FFFFFF"/>
          </w:tcPr>
          <w:p>
            <w:pPr>
              <w:spacing w:before="40" w:after="40" w:line="220" w:lineRule="auto"/>
            </w:pPr>
            <w:r>
              <w:rPr>
                <w:color w:val="1F2937"/>
                <w:sz w:val="19"/>
                <w:szCs w:val="19"/>
              </w:rPr>
              <w:t>Login Options with Biometric (Android) and Face Verifications (iOS)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17</w:t>
            </w:r>
          </w:p>
        </w:tc>
        <w:tc>
          <w:tcPr>
            <w:tcW w:w="6560" w:type="dxa"/>
            <w:shd w:val="clear" w:color="auto" w:fill="F8FAFC"/>
          </w:tcPr>
          <w:p>
            <w:pPr>
              <w:spacing w:before="40" w:after="40" w:line="220" w:lineRule="auto"/>
            </w:pPr>
            <w:r>
              <w:rPr>
                <w:color w:val="1F2937"/>
                <w:sz w:val="19"/>
                <w:szCs w:val="19"/>
              </w:rPr>
              <w:t>Send Temporary User ID and Temporary Password to customer using standard secure process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18</w:t>
            </w:r>
          </w:p>
        </w:tc>
        <w:tc>
          <w:tcPr>
            <w:tcW w:w="6560" w:type="dxa"/>
            <w:shd w:val="clear" w:color="auto" w:fill="FFFFFF"/>
          </w:tcPr>
          <w:p>
            <w:pPr>
              <w:spacing w:before="40" w:after="40" w:line="220" w:lineRule="auto"/>
            </w:pPr>
            <w:r>
              <w:rPr>
                <w:color w:val="1F2937"/>
                <w:sz w:val="19"/>
                <w:szCs w:val="19"/>
              </w:rPr>
              <w:t>Account details view will be enhanced</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19</w:t>
            </w:r>
          </w:p>
        </w:tc>
        <w:tc>
          <w:tcPr>
            <w:tcW w:w="6560" w:type="dxa"/>
            <w:shd w:val="clear" w:color="auto" w:fill="F8FAFC"/>
          </w:tcPr>
          <w:p>
            <w:pPr>
              <w:spacing w:before="40" w:after="40" w:line="220" w:lineRule="auto"/>
            </w:pPr>
            <w:r>
              <w:rPr>
                <w:color w:val="1F2937"/>
                <w:sz w:val="19"/>
                <w:szCs w:val="19"/>
              </w:rPr>
              <w:t>Account details can be shared easily right from the home screen</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20</w:t>
            </w:r>
          </w:p>
        </w:tc>
        <w:tc>
          <w:tcPr>
            <w:tcW w:w="6560" w:type="dxa"/>
            <w:shd w:val="clear" w:color="auto" w:fill="FFFFFF"/>
          </w:tcPr>
          <w:p>
            <w:pPr>
              <w:spacing w:before="40" w:after="40" w:line="220" w:lineRule="auto"/>
            </w:pPr>
            <w:r>
              <w:rPr>
                <w:color w:val="1F2937"/>
                <w:sz w:val="19"/>
                <w:szCs w:val="19"/>
              </w:rPr>
              <w:t>Enable self-registration verification to include only Branch, Account Number, Mobile Number, and Email Address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21</w:t>
            </w:r>
          </w:p>
        </w:tc>
        <w:tc>
          <w:tcPr>
            <w:tcW w:w="6560" w:type="dxa"/>
            <w:shd w:val="clear" w:color="auto" w:fill="F8FAFC"/>
          </w:tcPr>
          <w:p>
            <w:pPr>
              <w:spacing w:before="40" w:after="40" w:line="220" w:lineRule="auto"/>
            </w:pPr>
            <w:r>
              <w:rPr>
                <w:color w:val="1F2937"/>
                <w:sz w:val="19"/>
                <w:szCs w:val="19"/>
              </w:rPr>
              <w:t>Facilitate to capture customer picture during initial registration process and can verify during device change</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22</w:t>
            </w:r>
          </w:p>
        </w:tc>
        <w:tc>
          <w:tcPr>
            <w:tcW w:w="6560" w:type="dxa"/>
            <w:shd w:val="clear" w:color="auto" w:fill="FFFFFF"/>
          </w:tcPr>
          <w:p>
            <w:pPr>
              <w:spacing w:before="40" w:after="40" w:line="220" w:lineRule="auto"/>
            </w:pPr>
            <w:r>
              <w:rPr>
                <w:color w:val="1F2937"/>
                <w:sz w:val="19"/>
                <w:szCs w:val="19"/>
              </w:rPr>
              <w:t>Modify the registration process - Ensure dual verification (SMS and Email) for registration request validation</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23</w:t>
            </w:r>
          </w:p>
        </w:tc>
        <w:tc>
          <w:tcPr>
            <w:tcW w:w="6560" w:type="dxa"/>
            <w:shd w:val="clear" w:color="auto" w:fill="F8FAFC"/>
          </w:tcPr>
          <w:p>
            <w:pPr>
              <w:spacing w:before="40" w:after="40" w:line="220" w:lineRule="auto"/>
            </w:pPr>
            <w:r>
              <w:rPr>
                <w:color w:val="1F2937"/>
                <w:sz w:val="19"/>
                <w:szCs w:val="19"/>
              </w:rPr>
              <w:t>Account details can be shared easily right from the home screen</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24</w:t>
            </w:r>
          </w:p>
        </w:tc>
        <w:tc>
          <w:tcPr>
            <w:tcW w:w="6560" w:type="dxa"/>
            <w:shd w:val="clear" w:color="auto" w:fill="FFFFFF"/>
          </w:tcPr>
          <w:p>
            <w:pPr>
              <w:spacing w:before="40" w:after="40" w:line="220" w:lineRule="auto"/>
            </w:pPr>
            <w:r>
              <w:rPr>
                <w:color w:val="1F2937"/>
                <w:sz w:val="19"/>
                <w:szCs w:val="19"/>
              </w:rPr>
              <w:t>Remodeled Beneficiary management with edit facility</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25</w:t>
            </w:r>
          </w:p>
        </w:tc>
        <w:tc>
          <w:tcPr>
            <w:tcW w:w="6560" w:type="dxa"/>
            <w:shd w:val="clear" w:color="auto" w:fill="F8FAFC"/>
          </w:tcPr>
          <w:p>
            <w:pPr>
              <w:spacing w:before="40" w:after="40" w:line="220" w:lineRule="auto"/>
            </w:pPr>
            <w:r>
              <w:rPr>
                <w:color w:val="1F2937"/>
                <w:sz w:val="19"/>
                <w:szCs w:val="19"/>
              </w:rPr>
              <w:t>Dynamic alerts at beginning will be added to notify users after opening the app</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26</w:t>
            </w:r>
          </w:p>
        </w:tc>
        <w:tc>
          <w:tcPr>
            <w:tcW w:w="6560" w:type="dxa"/>
            <w:shd w:val="clear" w:color="auto" w:fill="FFFFFF"/>
          </w:tcPr>
          <w:p>
            <w:pPr>
              <w:spacing w:before="40" w:after="40" w:line="220" w:lineRule="auto"/>
            </w:pPr>
            <w:r>
              <w:rPr>
                <w:color w:val="1F2937"/>
                <w:sz w:val="19"/>
                <w:szCs w:val="19"/>
              </w:rPr>
              <w:t>Space added to home page for promotional slider to showcase latest products or offers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27</w:t>
            </w:r>
          </w:p>
        </w:tc>
        <w:tc>
          <w:tcPr>
            <w:tcW w:w="6560" w:type="dxa"/>
            <w:shd w:val="clear" w:color="auto" w:fill="F8FAFC"/>
          </w:tcPr>
          <w:p>
            <w:pPr>
              <w:spacing w:before="40" w:after="40" w:line="220" w:lineRule="auto"/>
            </w:pPr>
            <w:r>
              <w:rPr>
                <w:color w:val="1F2937"/>
                <w:sz w:val="19"/>
                <w:szCs w:val="19"/>
              </w:rPr>
              <w:t>Enhancement of FDR account management including: (a) Auto-renewal option (Yes/No), (b) Renewal preference based on principal amount or maturity amount, (c) Display of FDR interest rate, maturity date and maturity amount</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28</w:t>
            </w:r>
          </w:p>
        </w:tc>
        <w:tc>
          <w:tcPr>
            <w:tcW w:w="6560" w:type="dxa"/>
            <w:shd w:val="clear" w:color="auto" w:fill="FFFFFF"/>
          </w:tcPr>
          <w:p>
            <w:pPr>
              <w:spacing w:before="40" w:after="40" w:line="220" w:lineRule="auto"/>
            </w:pPr>
            <w:r>
              <w:rPr>
                <w:color w:val="1F2937"/>
                <w:sz w:val="19"/>
                <w:szCs w:val="19"/>
              </w:rPr>
              <w:t>Enable Account Statement Download option in PDF format</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29</w:t>
            </w:r>
          </w:p>
        </w:tc>
        <w:tc>
          <w:tcPr>
            <w:tcW w:w="6560" w:type="dxa"/>
            <w:shd w:val="clear" w:color="auto" w:fill="F8FAFC"/>
          </w:tcPr>
          <w:p>
            <w:pPr>
              <w:spacing w:before="40" w:after="40" w:line="220" w:lineRule="auto"/>
            </w:pPr>
            <w:r>
              <w:rPr>
                <w:color w:val="1F2937"/>
                <w:sz w:val="19"/>
                <w:szCs w:val="19"/>
              </w:rPr>
              <w:t>Allow users to download receipt after fund transfer</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30</w:t>
            </w:r>
          </w:p>
        </w:tc>
        <w:tc>
          <w:tcPr>
            <w:tcW w:w="6560" w:type="dxa"/>
            <w:shd w:val="clear" w:color="auto" w:fill="FFFFFF"/>
          </w:tcPr>
          <w:p>
            <w:pPr>
              <w:spacing w:before="40" w:after="40" w:line="220" w:lineRule="auto"/>
            </w:pPr>
            <w:r>
              <w:rPr>
                <w:color w:val="1F2937"/>
                <w:sz w:val="19"/>
                <w:szCs w:val="19"/>
              </w:rPr>
              <w:t>Allow customers to unlock and reset their passwords directly within the mobile app, without redirection to web platforms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31</w:t>
            </w:r>
          </w:p>
        </w:tc>
        <w:tc>
          <w:tcPr>
            <w:tcW w:w="6560" w:type="dxa"/>
            <w:shd w:val="clear" w:color="auto" w:fill="F8FAFC"/>
          </w:tcPr>
          <w:p>
            <w:pPr>
              <w:spacing w:before="40" w:after="40" w:line="220" w:lineRule="auto"/>
            </w:pPr>
            <w:r>
              <w:rPr>
                <w:color w:val="1F2937"/>
                <w:sz w:val="19"/>
                <w:szCs w:val="19"/>
              </w:rPr>
              <w:t>History will be remaining same as per new design (History of Transfer / Recharge / Payment)</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32</w:t>
            </w:r>
          </w:p>
        </w:tc>
        <w:tc>
          <w:tcPr>
            <w:tcW w:w="6560" w:type="dxa"/>
            <w:shd w:val="clear" w:color="auto" w:fill="FFFFFF"/>
          </w:tcPr>
          <w:p>
            <w:pPr>
              <w:spacing w:before="40" w:after="40" w:line="220" w:lineRule="auto"/>
            </w:pPr>
            <w:r>
              <w:rPr>
                <w:color w:val="1F2937"/>
                <w:sz w:val="19"/>
                <w:szCs w:val="19"/>
              </w:rPr>
              <w:t>Facilitate Users activity logs generation including device IMEI and IP address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33</w:t>
            </w:r>
          </w:p>
        </w:tc>
        <w:tc>
          <w:tcPr>
            <w:tcW w:w="6560" w:type="dxa"/>
            <w:shd w:val="clear" w:color="auto" w:fill="F8FAFC"/>
          </w:tcPr>
          <w:p>
            <w:pPr>
              <w:spacing w:before="40" w:after="40" w:line="220" w:lineRule="auto"/>
            </w:pPr>
            <w:r>
              <w:rPr>
                <w:color w:val="1F2937"/>
                <w:sz w:val="19"/>
                <w:szCs w:val="19"/>
              </w:rPr>
              <w:t>No separate User ID for Joint Accounts. Individual customers can view only. Admin can enable transactional services to one or more individual customers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34</w:t>
            </w:r>
          </w:p>
        </w:tc>
        <w:tc>
          <w:tcPr>
            <w:tcW w:w="6560" w:type="dxa"/>
            <w:shd w:val="clear" w:color="auto" w:fill="FFFFFF"/>
          </w:tcPr>
          <w:p>
            <w:pPr>
              <w:spacing w:before="40" w:after="40" w:line="220" w:lineRule="auto"/>
            </w:pPr>
            <w:r>
              <w:rPr>
                <w:color w:val="1F2937"/>
                <w:sz w:val="19"/>
                <w:szCs w:val="19"/>
              </w:rPr>
              <w:t>Facility to manage all member customers (organization) under a Corporate Group from single ID</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35</w:t>
            </w:r>
          </w:p>
        </w:tc>
        <w:tc>
          <w:tcPr>
            <w:tcW w:w="6560" w:type="dxa"/>
            <w:shd w:val="clear" w:color="auto" w:fill="F8FAFC"/>
          </w:tcPr>
          <w:p>
            <w:pPr>
              <w:spacing w:before="40" w:after="40" w:line="220" w:lineRule="auto"/>
            </w:pPr>
            <w:r>
              <w:rPr>
                <w:color w:val="1F2937"/>
                <w:sz w:val="19"/>
                <w:szCs w:val="19"/>
              </w:rPr>
              <w:t>Enabling transactional services by Admin to one or more member individual customers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36</w:t>
            </w:r>
          </w:p>
        </w:tc>
        <w:tc>
          <w:tcPr>
            <w:tcW w:w="6560" w:type="dxa"/>
            <w:shd w:val="clear" w:color="auto" w:fill="FFFFFF"/>
          </w:tcPr>
          <w:p>
            <w:pPr>
              <w:spacing w:before="40" w:after="40" w:line="220" w:lineRule="auto"/>
            </w:pPr>
            <w:r>
              <w:rPr>
                <w:color w:val="1F2937"/>
                <w:sz w:val="19"/>
                <w:szCs w:val="19"/>
              </w:rPr>
              <w:t>Facilitate Mini Statement Feature in place of history</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37</w:t>
            </w:r>
          </w:p>
        </w:tc>
        <w:tc>
          <w:tcPr>
            <w:tcW w:w="6560" w:type="dxa"/>
            <w:shd w:val="clear" w:color="auto" w:fill="F8FAFC"/>
          </w:tcPr>
          <w:p>
            <w:pPr>
              <w:spacing w:before="40" w:after="40" w:line="220" w:lineRule="auto"/>
            </w:pPr>
            <w:r>
              <w:rPr>
                <w:color w:val="1F2937"/>
                <w:sz w:val="19"/>
                <w:szCs w:val="19"/>
              </w:rPr>
              <w:t>Display an animated CZB logo as the loading indicator across all application pages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38</w:t>
            </w:r>
          </w:p>
        </w:tc>
        <w:tc>
          <w:tcPr>
            <w:tcW w:w="6560" w:type="dxa"/>
            <w:shd w:val="clear" w:color="auto" w:fill="FFFFFF"/>
          </w:tcPr>
          <w:p>
            <w:pPr>
              <w:spacing w:before="40" w:after="40" w:line="220" w:lineRule="auto"/>
            </w:pPr>
            <w:r>
              <w:rPr>
                <w:color w:val="1F2937"/>
                <w:sz w:val="19"/>
                <w:szCs w:val="19"/>
              </w:rPr>
              <w:t>Introduce an Auto Pay feature for scheduled transfer. (Notification required to keep balance on selected day)</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39</w:t>
            </w:r>
          </w:p>
        </w:tc>
        <w:tc>
          <w:tcPr>
            <w:tcW w:w="6560" w:type="dxa"/>
            <w:shd w:val="clear" w:color="auto" w:fill="F8FAFC"/>
          </w:tcPr>
          <w:p>
            <w:pPr>
              <w:spacing w:before="40" w:after="40" w:line="220" w:lineRule="auto"/>
            </w:pPr>
            <w:r>
              <w:rPr>
                <w:color w:val="1F2937"/>
                <w:sz w:val="19"/>
                <w:szCs w:val="19"/>
              </w:rPr>
              <w:t>Display transaction limits and consumed amount, along with general instructions during other bank/MFS transaction initiation</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40</w:t>
            </w:r>
          </w:p>
        </w:tc>
        <w:tc>
          <w:tcPr>
            <w:tcW w:w="6560" w:type="dxa"/>
            <w:shd w:val="clear" w:color="auto" w:fill="FFFFFF"/>
          </w:tcPr>
          <w:p>
            <w:pPr>
              <w:spacing w:before="40" w:after="40" w:line="220" w:lineRule="auto"/>
            </w:pPr>
            <w:r>
              <w:rPr>
                <w:color w:val="1F2937"/>
                <w:sz w:val="19"/>
                <w:szCs w:val="19"/>
              </w:rPr>
              <w:t>Facilitate EMI Merchant list view for users and manage by Admins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41</w:t>
            </w:r>
          </w:p>
        </w:tc>
        <w:tc>
          <w:tcPr>
            <w:tcW w:w="6560" w:type="dxa"/>
            <w:shd w:val="clear" w:color="auto" w:fill="F8FAFC"/>
          </w:tcPr>
          <w:p>
            <w:pPr>
              <w:spacing w:before="40" w:after="40" w:line="220" w:lineRule="auto"/>
            </w:pPr>
            <w:r>
              <w:rPr>
                <w:color w:val="1F2937"/>
                <w:sz w:val="19"/>
                <w:szCs w:val="19"/>
              </w:rPr>
              <w:t>Incorporate security verification through OTP when customer login using new mobile devices. (Need to add face verification to change device for both apps and web)</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42</w:t>
            </w:r>
          </w:p>
        </w:tc>
        <w:tc>
          <w:tcPr>
            <w:tcW w:w="6560" w:type="dxa"/>
            <w:shd w:val="clear" w:color="auto" w:fill="FFFFFF"/>
          </w:tcPr>
          <w:p>
            <w:pPr>
              <w:spacing w:before="40" w:after="40" w:line="220" w:lineRule="auto"/>
            </w:pPr>
            <w:r>
              <w:rPr>
                <w:color w:val="1F2937"/>
                <w:sz w:val="19"/>
                <w:szCs w:val="19"/>
              </w:rPr>
              <w:t>Enable Online Service Request for: A/C Services, Card Services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43</w:t>
            </w:r>
          </w:p>
        </w:tc>
        <w:tc>
          <w:tcPr>
            <w:tcW w:w="6560" w:type="dxa"/>
            <w:shd w:val="clear" w:color="auto" w:fill="F8FAFC"/>
          </w:tcPr>
          <w:p>
            <w:pPr>
              <w:spacing w:before="40" w:after="40" w:line="220" w:lineRule="auto"/>
            </w:pPr>
            <w:r>
              <w:rPr>
                <w:color w:val="1F2937"/>
                <w:sz w:val="19"/>
                <w:szCs w:val="19"/>
              </w:rPr>
              <w:t>Credit Card Services - Activate, Deactivate, EMI Conversion, Contact Update Request</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44</w:t>
            </w:r>
          </w:p>
        </w:tc>
        <w:tc>
          <w:tcPr>
            <w:tcW w:w="6560" w:type="dxa"/>
            <w:shd w:val="clear" w:color="auto" w:fill="FFFFFF"/>
          </w:tcPr>
          <w:p>
            <w:pPr>
              <w:spacing w:before="40" w:after="40" w:line="220" w:lineRule="auto"/>
            </w:pPr>
            <w:r>
              <w:rPr>
                <w:color w:val="1F2937"/>
                <w:sz w:val="19"/>
                <w:szCs w:val="19"/>
              </w:rPr>
              <w:t>Complaints, Disputes, and Feedback</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45</w:t>
            </w:r>
          </w:p>
        </w:tc>
        <w:tc>
          <w:tcPr>
            <w:tcW w:w="6560" w:type="dxa"/>
            <w:shd w:val="clear" w:color="auto" w:fill="F8FAFC"/>
          </w:tcPr>
          <w:p>
            <w:pPr>
              <w:spacing w:before="40" w:after="40" w:line="220" w:lineRule="auto"/>
            </w:pPr>
            <w:r>
              <w:rPr>
                <w:color w:val="1F2937"/>
                <w:sz w:val="19"/>
                <w:szCs w:val="19"/>
              </w:rPr>
              <w:t>Service Request Status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46</w:t>
            </w:r>
          </w:p>
        </w:tc>
        <w:tc>
          <w:tcPr>
            <w:tcW w:w="6560" w:type="dxa"/>
            <w:shd w:val="clear" w:color="auto" w:fill="FFFFFF"/>
          </w:tcPr>
          <w:p>
            <w:pPr>
              <w:spacing w:before="40" w:after="40" w:line="220" w:lineRule="auto"/>
            </w:pPr>
            <w:r>
              <w:rPr>
                <w:color w:val="1F2937"/>
                <w:sz w:val="19"/>
                <w:szCs w:val="19"/>
              </w:rPr>
              <w:t>Display Inward / Outward Cheque Status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47</w:t>
            </w:r>
          </w:p>
        </w:tc>
        <w:tc>
          <w:tcPr>
            <w:tcW w:w="6560" w:type="dxa"/>
            <w:shd w:val="clear" w:color="auto" w:fill="F8FAFC"/>
          </w:tcPr>
          <w:p>
            <w:pPr>
              <w:spacing w:before="40" w:after="40" w:line="220" w:lineRule="auto"/>
            </w:pPr>
            <w:r>
              <w:rPr>
                <w:color w:val="1F2937"/>
                <w:sz w:val="19"/>
                <w:szCs w:val="19"/>
              </w:rPr>
              <w:t>Introducing a Favorite Transfer feature like Mobile Recharge, EFT, RTGS, NPSB, allowing users to repeat transactions without re-entering details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48</w:t>
            </w:r>
          </w:p>
        </w:tc>
        <w:tc>
          <w:tcPr>
            <w:tcW w:w="6560" w:type="dxa"/>
            <w:shd w:val="clear" w:color="auto" w:fill="FFFFFF"/>
          </w:tcPr>
          <w:p>
            <w:pPr>
              <w:spacing w:before="40" w:after="40" w:line="220" w:lineRule="auto"/>
            </w:pPr>
            <w:r>
              <w:rPr>
                <w:color w:val="1F2937"/>
                <w:sz w:val="19"/>
                <w:szCs w:val="19"/>
              </w:rPr>
              <w:t>Display Character Lengths and Limits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49</w:t>
            </w:r>
          </w:p>
        </w:tc>
        <w:tc>
          <w:tcPr>
            <w:tcW w:w="6560" w:type="dxa"/>
            <w:shd w:val="clear" w:color="auto" w:fill="F8FAFC"/>
          </w:tcPr>
          <w:p>
            <w:pPr>
              <w:spacing w:before="40" w:after="40" w:line="220" w:lineRule="auto"/>
            </w:pPr>
            <w:r>
              <w:rPr>
                <w:color w:val="1F2937"/>
                <w:sz w:val="19"/>
                <w:szCs w:val="19"/>
              </w:rPr>
              <w:t>Introduce an Explore Tab Providing Access to: Offers, Annual Reports, Sustainability Reports, ATM/Branch Location, FAQ, Loan Calculator, Exchange Rate, Social Media Links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50</w:t>
            </w:r>
          </w:p>
        </w:tc>
        <w:tc>
          <w:tcPr>
            <w:tcW w:w="6560" w:type="dxa"/>
            <w:shd w:val="clear" w:color="auto" w:fill="FFFFFF"/>
          </w:tcPr>
          <w:p>
            <w:pPr>
              <w:spacing w:before="40" w:after="40" w:line="220" w:lineRule="auto"/>
            </w:pPr>
            <w:r>
              <w:rPr>
                <w:color w:val="1F2937"/>
                <w:sz w:val="19"/>
                <w:szCs w:val="19"/>
              </w:rPr>
              <w:t>Incorporate a searching function to quickly navigate to a desired menu</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51</w:t>
            </w:r>
          </w:p>
        </w:tc>
        <w:tc>
          <w:tcPr>
            <w:tcW w:w="6560" w:type="dxa"/>
            <w:shd w:val="clear" w:color="auto" w:fill="F8FAFC"/>
          </w:tcPr>
          <w:p>
            <w:pPr>
              <w:spacing w:before="40" w:after="40" w:line="220" w:lineRule="auto"/>
            </w:pPr>
            <w:r>
              <w:rPr>
                <w:color w:val="1F2937"/>
                <w:sz w:val="19"/>
                <w:szCs w:val="19"/>
              </w:rPr>
              <w:t>Enable automatic OTP reading from SMS to streamline authentication and verification processes</w:t>
            </w:r>
          </w:p>
        </w:tc>
        <w:tc>
          <w:tcPr>
            <w:tcW w:w="2000" w:type="dxa"/>
            <w:shd w:val="clear" w:color="auto" w:fill="F8FAFC"/>
          </w:tcPr>
          <w:p>
            <w:pPr>
              <w:spacing w:before="40" w:after="40" w:line="220" w:lineRule="auto"/>
            </w:pPr>
            <w:r>
              <w:rPr>
                <w:color w:val="1F2937"/>
                <w:sz w:val="19"/>
                <w:szCs w:val="19"/>
              </w:rPr>
              <w:t>Described in this document</w:t>
            </w:r>
          </w:p>
        </w:tc>
      </w:tr>
      <w:tr>
        <w:tc>
          <w:tcPr>
            <w:tcW w:w="800" w:type="dxa"/>
            <w:shd w:val="clear" w:color="auto" w:fill="FFFFFF"/>
          </w:tcPr>
          <w:p>
            <w:pPr>
              <w:spacing w:before="40" w:after="40" w:line="220" w:lineRule="auto"/>
            </w:pPr>
            <w:r>
              <w:rPr>
                <w:color w:val="1F2937"/>
                <w:sz w:val="19"/>
                <w:szCs w:val="19"/>
              </w:rPr>
              <w:t>52</w:t>
            </w:r>
          </w:p>
        </w:tc>
        <w:tc>
          <w:tcPr>
            <w:tcW w:w="6560" w:type="dxa"/>
            <w:shd w:val="clear" w:color="auto" w:fill="FFFFFF"/>
          </w:tcPr>
          <w:p>
            <w:pPr>
              <w:spacing w:before="40" w:after="40" w:line="220" w:lineRule="auto"/>
            </w:pPr>
            <w:r>
              <w:rPr>
                <w:color w:val="1F2937"/>
                <w:sz w:val="19"/>
                <w:szCs w:val="19"/>
              </w:rPr>
              <w:t>Facilitate setting transaction limits separately for individual, proprietorship and corporate customers</w:t>
            </w:r>
          </w:p>
        </w:tc>
        <w:tc>
          <w:tcPr>
            <w:tcW w:w="2000" w:type="dxa"/>
            <w:shd w:val="clear" w:color="auto" w:fill="FFFFFF"/>
          </w:tcPr>
          <w:p>
            <w:pPr>
              <w:spacing w:before="40" w:after="40" w:line="220" w:lineRule="auto"/>
            </w:pPr>
            <w:r>
              <w:rPr>
                <w:color w:val="1F2937"/>
                <w:sz w:val="19"/>
                <w:szCs w:val="19"/>
              </w:rPr>
              <w:t>Described in this document</w:t>
            </w:r>
          </w:p>
        </w:tc>
      </w:tr>
      <w:tr>
        <w:tc>
          <w:tcPr>
            <w:tcW w:w="800" w:type="dxa"/>
            <w:shd w:val="clear" w:color="auto" w:fill="F8FAFC"/>
          </w:tcPr>
          <w:p>
            <w:pPr>
              <w:spacing w:before="40" w:after="40" w:line="220" w:lineRule="auto"/>
            </w:pPr>
            <w:r>
              <w:rPr>
                <w:color w:val="1F2937"/>
                <w:sz w:val="19"/>
                <w:szCs w:val="19"/>
              </w:rPr>
              <w:t>53</w:t>
            </w:r>
          </w:p>
        </w:tc>
        <w:tc>
          <w:tcPr>
            <w:tcW w:w="6560" w:type="dxa"/>
            <w:shd w:val="clear" w:color="auto" w:fill="F8FAFC"/>
          </w:tcPr>
          <w:p>
            <w:pPr>
              <w:spacing w:before="40" w:after="40" w:line="220" w:lineRule="auto"/>
            </w:pPr>
            <w:r>
              <w:rPr>
                <w:color w:val="1F2937"/>
                <w:sz w:val="19"/>
                <w:szCs w:val="19"/>
              </w:rPr>
              <w:t>Allow to set transaction PIN for balance transfer security. [Biometric or face verification (Biometric) (we can remove)]</w:t>
            </w:r>
          </w:p>
        </w:tc>
        <w:tc>
          <w:tcPr>
            <w:tcW w:w="2000" w:type="dxa"/>
            <w:shd w:val="clear" w:color="auto" w:fill="F8FAFC"/>
          </w:tcPr>
          <w:p>
            <w:pPr>
              <w:spacing w:before="40" w:after="40" w:line="220" w:lineRule="auto"/>
            </w:pPr>
            <w:r>
              <w:rPr>
                <w:color w:val="1F2937"/>
                <w:sz w:val="19"/>
                <w:szCs w:val="19"/>
              </w:rPr>
              <w:t>Described in this document</w:t>
            </w:r>
          </w:p>
        </w:tc>
      </w:tr>
    </w:tbl>
    <w:p>
      <w:pPr>
        <w:jc w:val="left"/>
        <w:spacing w:before="0" w:after="120" w:line="260" w:lineRule="auto"/>
      </w:pPr>
      <w:r>
        <w:rPr>
          <w:color w:val="1F2937"/>
          <w:sz w:val="22"/>
          <w:szCs w:val="22"/>
        </w:rPr>
        <w:t xml:space="preserve"/>
      </w:r>
    </w:p>
    <w:p>
      <w:pPr>
        <w:jc w:val="left"/>
        <w:spacing w:before="0" w:after="180" w:line="260" w:lineRule="auto"/>
      </w:pPr>
      <w:r>
        <w:rPr>
          <w:color w:val="1F2937"/>
          <w:sz w:val="22"/>
          <w:szCs w:val="22"/>
        </w:rPr>
        <w:t xml:space="preserve"/>
      </w:r>
    </w:p>
    <w:p>
      <w:pPr>
        <w:pStyle w:val="Heading1"/>
        <w:spacing w:before="360" w:after="160"/>
      </w:pPr>
      <w:r>
        <w:br w:type="page"/>
      </w:r>
      <w:r>
        <w:rPr>
          <w:b/>
          <w:color w:val="0A3871"/>
          <w:sz w:val="34"/>
          <w:szCs w:val="34"/>
        </w:rPr>
        <w:t>1. Fund Transfer (Dynamic)</w:t>
      </w:r>
    </w:p>
    <w:p>
      <w:pPr>
        <w:jc w:val="left"/>
        <w:spacing w:before="0" w:after="120" w:line="260" w:lineRule="auto"/>
      </w:pPr>
      <w:r>
        <w:rPr>
          <w:color w:val="1F2937"/>
          <w:sz w:val="22"/>
          <w:szCs w:val="22"/>
        </w:rPr>
        <w:t xml:space="preserve">When the customer selects the Fund Transfer option from the application or web portal, the system shall dynamically retrieve and display all authorized transfer categories enabled in the backend banking engine: Own Bank, Other Bank, and Mobile Financial Services (MFS). The platform provides unified transaction capabilities serving both individual retail clients and high-volume corporate treasury operations.</w:t>
      </w:r>
    </w:p>
    <w:p>
      <w:pPr>
        <w:pStyle w:val="Heading2"/>
        <w:spacing w:before="240" w:after="120"/>
      </w:pPr>
      <w:r>
        <w:rPr>
          <w:b/>
          <w:color w:val="1E3A8A"/>
          <w:sz w:val="28"/>
          <w:szCs w:val="28"/>
        </w:rPr>
        <w:t>1.1 Own Bank Transfers</w:t>
      </w:r>
    </w:p>
    <w:p>
      <w:pPr>
        <w:jc w:val="left"/>
        <w:spacing w:before="0" w:after="120" w:line="260" w:lineRule="auto"/>
      </w:pPr>
      <w:r>
        <w:rPr>
          <w:color w:val="1F2937"/>
          <w:sz w:val="22"/>
          <w:szCs w:val="22"/>
        </w:rPr>
        <w:t xml:space="preserve">Own Bank transfers shall support two distinct functional pathways: Own Account (Intra-Account Rebalancing) and Other Account (Third-Party Citizens Bank Transfers).</w:t>
      </w:r>
    </w:p>
    <w:p>
      <w:pPr>
        <w:ind w:left="480" w:hanging="240"/>
        <w:spacing w:before="40" w:after="80" w:line="240" w:lineRule="auto"/>
      </w:pPr>
      <w:r>
        <w:rPr>
          <w:b/>
          <w:color w:val="0A3871"/>
          <w:sz w:val="22"/>
          <w:szCs w:val="22"/>
        </w:rPr>
        <w:t xml:space="preserve">•  Source Account Selection &amp; Balance Inquiry: </w:t>
      </w:r>
      <w:r>
        <w:rPr>
          <w:color w:val="1F2937"/>
          <w:sz w:val="22"/>
          <w:szCs w:val="22"/>
        </w:rPr>
        <w:t xml:space="preserve">Upon selecting the source account, the system dynamically displays eligible CASA Accounts and linked Cards (with secure masking). The real-time Available Balance and Ledger Balance of the selected instrument are instantly retrieved from the Core Banking System (CBS) and rendered.</w:t>
      </w:r>
    </w:p>
    <w:p>
      <w:pPr>
        <w:ind w:left="480" w:hanging="240"/>
        <w:spacing w:before="40" w:after="80" w:line="240" w:lineRule="auto"/>
      </w:pPr>
      <w:r>
        <w:rPr>
          <w:b/>
          <w:color w:val="0A3871"/>
          <w:sz w:val="22"/>
          <w:szCs w:val="22"/>
        </w:rPr>
        <w:t xml:space="preserve">•  Destination &amp; Amount Validation: </w:t>
      </w:r>
      <w:r>
        <w:rPr>
          <w:color w:val="1F2937"/>
          <w:sz w:val="22"/>
          <w:szCs w:val="22"/>
        </w:rPr>
        <w:t xml:space="preserve">The customer selects the destination account, enters the transfer amount, and inputs narration. For corporate clients, the amount is automatically converted into Bengali and English words (e.g., 'BDT One Lac Fifty Thousand Only') to prevent numerical entry errors.</w:t>
      </w:r>
    </w:p>
    <w:p>
      <w:pPr>
        <w:ind w:left="480" w:hanging="240"/>
        <w:spacing w:before="40" w:after="80" w:line="240" w:lineRule="auto"/>
      </w:pPr>
      <w:r>
        <w:rPr>
          <w:b/>
          <w:color w:val="0A3871"/>
          <w:sz w:val="22"/>
          <w:szCs w:val="22"/>
        </w:rPr>
        <w:t xml:space="preserve">•  Real-Time CBS Account Title Verification: </w:t>
      </w:r>
      <w:r>
        <w:rPr>
          <w:color w:val="1F2937"/>
          <w:sz w:val="22"/>
          <w:szCs w:val="22"/>
        </w:rPr>
        <w:t xml:space="preserve">When transferring to third-party Citizens Bank accounts, inputting or selecting the 13-digit destination account triggers an asynchronous real-time CBS inquiry. The official registered Account Title is verified and rendered in an prominent green verified badge before submission.</w:t>
      </w:r>
    </w:p>
    <w:p>
      <w:pPr>
        <w:ind w:left="480" w:hanging="240"/>
        <w:spacing w:before="40" w:after="80" w:line="240" w:lineRule="auto"/>
      </w:pPr>
      <w:r>
        <w:rPr>
          <w:b/>
          <w:color w:val="0A3871"/>
          <w:sz w:val="22"/>
          <w:szCs w:val="22"/>
        </w:rPr>
        <w:t xml:space="preserve">•  Authentication &amp; Authorization: </w:t>
      </w:r>
      <w:r>
        <w:rPr>
          <w:color w:val="1F2937"/>
          <w:sz w:val="22"/>
          <w:szCs w:val="22"/>
        </w:rPr>
        <w:t xml:space="preserve">Retail clients authenticate using a 6-digit Transaction PIN (T-PIN) followed by Two-Factor Authentication (OTP sent via SMS, Email, or dual channels). Corporate disbursements route automatically into the Maker-Checker authorization queue.</w:t>
      </w:r>
    </w:p>
    <w:p>
      <w:pPr>
        <w:pStyle w:val="Heading2"/>
        <w:spacing w:before="240" w:after="120"/>
      </w:pPr>
      <w:r>
        <w:rPr>
          <w:b/>
          <w:color w:val="1E3A8A"/>
          <w:sz w:val="28"/>
          <w:szCs w:val="28"/>
        </w:rPr>
        <w:t>1.2 Other Bank Fund Transfers (BEFTN, NPSB, RTGS)</w:t>
      </w:r>
    </w:p>
    <w:p>
      <w:pPr>
        <w:jc w:val="left"/>
        <w:spacing w:before="0" w:after="120" w:line="260" w:lineRule="auto"/>
      </w:pPr>
      <w:r>
        <w:rPr>
          <w:color w:val="1F2937"/>
          <w:sz w:val="22"/>
          <w:szCs w:val="22"/>
        </w:rPr>
        <w:t xml:space="preserve">When transferring to other financial institutions, the system provides three national clearing rails, dynamically configured from the backend API:</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1400"/>
        <w:gridCol w:w="2000"/>
        <w:gridCol w:w="2160"/>
        <w:gridCol w:w="2000"/>
        <w:gridCol w:w="1800"/>
      </w:tblGrid>
      <w:tr>
        <w:trPr>
          <w:tblHeader/>
        </w:trPr>
        <w:tc>
          <w:tcPr>
            <w:tcW w:w="1400" w:type="dxa"/>
            <w:shd w:val="clear" w:color="auto" w:fill="0A3871"/>
          </w:tcPr>
          <w:p>
            <w:pPr>
              <w:spacing w:before="60" w:after="60"/>
            </w:pPr>
            <w:r>
              <w:rPr>
                <w:b/>
                <w:color w:val="FFFFFF"/>
                <w:sz w:val="20"/>
                <w:szCs w:val="20"/>
              </w:rPr>
              <w:t>Payment Rail</w:t>
            </w:r>
          </w:p>
        </w:tc>
        <w:tc>
          <w:tcPr>
            <w:tcW w:w="2000" w:type="dxa"/>
            <w:shd w:val="clear" w:color="auto" w:fill="0A3871"/>
          </w:tcPr>
          <w:p>
            <w:pPr>
              <w:spacing w:before="60" w:after="60"/>
            </w:pPr>
            <w:r>
              <w:rPr>
                <w:b/>
                <w:color w:val="FFFFFF"/>
                <w:sz w:val="20"/>
                <w:szCs w:val="20"/>
              </w:rPr>
              <w:t>Settlement Nature</w:t>
            </w:r>
          </w:p>
        </w:tc>
        <w:tc>
          <w:tcPr>
            <w:tcW w:w="2160" w:type="dxa"/>
            <w:shd w:val="clear" w:color="auto" w:fill="0A3871"/>
          </w:tcPr>
          <w:p>
            <w:pPr>
              <w:spacing w:before="60" w:after="60"/>
            </w:pPr>
            <w:r>
              <w:rPr>
                <w:b/>
                <w:color w:val="FFFFFF"/>
                <w:sz w:val="20"/>
                <w:szCs w:val="20"/>
              </w:rPr>
              <w:t>Regulatory Floor / Ceiling</w:t>
            </w:r>
          </w:p>
        </w:tc>
        <w:tc>
          <w:tcPr>
            <w:tcW w:w="2000" w:type="dxa"/>
            <w:shd w:val="clear" w:color="auto" w:fill="0A3871"/>
          </w:tcPr>
          <w:p>
            <w:pPr>
              <w:spacing w:before="60" w:after="60"/>
            </w:pPr>
            <w:r>
              <w:rPr>
                <w:b/>
                <w:color w:val="FFFFFF"/>
                <w:sz w:val="20"/>
                <w:szCs w:val="20"/>
              </w:rPr>
              <w:t>Operational Clearing Window</w:t>
            </w:r>
          </w:p>
        </w:tc>
        <w:tc>
          <w:tcPr>
            <w:tcW w:w="1800" w:type="dxa"/>
            <w:shd w:val="clear" w:color="auto" w:fill="0A3871"/>
          </w:tcPr>
          <w:p>
            <w:pPr>
              <w:spacing w:before="60" w:after="60"/>
            </w:pPr>
            <w:r>
              <w:rPr>
                <w:b/>
                <w:color w:val="FFFFFF"/>
                <w:sz w:val="20"/>
                <w:szCs w:val="20"/>
              </w:rPr>
              <w:t>Execution Behavior</w:t>
            </w:r>
          </w:p>
        </w:tc>
      </w:tr>
      <w:tr>
        <w:tc>
          <w:tcPr>
            <w:tcW w:w="1400" w:type="dxa"/>
            <w:shd w:val="clear" w:color="auto" w:fill="FFFFFF"/>
          </w:tcPr>
          <w:p>
            <w:pPr>
              <w:spacing w:before="40" w:after="40" w:line="220" w:lineRule="auto"/>
            </w:pPr>
            <w:r>
              <w:rPr>
                <w:color w:val="1F2937"/>
                <w:sz w:val="19"/>
                <w:szCs w:val="19"/>
              </w:rPr>
              <w:t>BEFTN</w:t>
            </w:r>
          </w:p>
        </w:tc>
        <w:tc>
          <w:tcPr>
            <w:tcW w:w="2000" w:type="dxa"/>
            <w:shd w:val="clear" w:color="auto" w:fill="FFFFFF"/>
          </w:tcPr>
          <w:p>
            <w:pPr>
              <w:spacing w:before="40" w:after="40" w:line="220" w:lineRule="auto"/>
            </w:pPr>
            <w:r>
              <w:rPr>
                <w:color w:val="1F2937"/>
                <w:sz w:val="19"/>
                <w:szCs w:val="19"/>
              </w:rPr>
              <w:t>Batch Net Settlement</w:t>
            </w:r>
          </w:p>
        </w:tc>
        <w:tc>
          <w:tcPr>
            <w:tcW w:w="2160" w:type="dxa"/>
            <w:shd w:val="clear" w:color="auto" w:fill="FFFFFF"/>
          </w:tcPr>
          <w:p>
            <w:pPr>
              <w:spacing w:before="40" w:after="40" w:line="220" w:lineRule="auto"/>
            </w:pPr>
            <w:r>
              <w:rPr>
                <w:color w:val="1F2937"/>
                <w:sz w:val="19"/>
                <w:szCs w:val="19"/>
              </w:rPr>
              <w:t>No minimum floor; up to customer limit</w:t>
            </w:r>
          </w:p>
        </w:tc>
        <w:tc>
          <w:tcPr>
            <w:tcW w:w="2000" w:type="dxa"/>
            <w:shd w:val="clear" w:color="auto" w:fill="FFFFFF"/>
          </w:tcPr>
          <w:p>
            <w:pPr>
              <w:spacing w:before="40" w:after="40" w:line="220" w:lineRule="auto"/>
            </w:pPr>
            <w:r>
              <w:rPr>
                <w:color w:val="1F2937"/>
                <w:sz w:val="19"/>
                <w:szCs w:val="19"/>
              </w:rPr>
              <w:t>2 Central Bank clearing sessions / day</w:t>
            </w:r>
          </w:p>
        </w:tc>
        <w:tc>
          <w:tcPr>
            <w:tcW w:w="1800" w:type="dxa"/>
            <w:shd w:val="clear" w:color="auto" w:fill="FFFFFF"/>
          </w:tcPr>
          <w:p>
            <w:pPr>
              <w:spacing w:before="40" w:after="40" w:line="220" w:lineRule="auto"/>
            </w:pPr>
            <w:r>
              <w:rPr>
                <w:color w:val="1F2937"/>
                <w:sz w:val="19"/>
                <w:szCs w:val="19"/>
              </w:rPr>
              <w:t>Batched transmission to Bangladesh Bank; settlement on same or next business day.</w:t>
            </w:r>
          </w:p>
        </w:tc>
      </w:tr>
      <w:tr>
        <w:tc>
          <w:tcPr>
            <w:tcW w:w="1400" w:type="dxa"/>
            <w:shd w:val="clear" w:color="auto" w:fill="F8FAFC"/>
          </w:tcPr>
          <w:p>
            <w:pPr>
              <w:spacing w:before="40" w:after="40" w:line="220" w:lineRule="auto"/>
            </w:pPr>
            <w:r>
              <w:rPr>
                <w:color w:val="1F2937"/>
                <w:sz w:val="19"/>
                <w:szCs w:val="19"/>
              </w:rPr>
              <w:t>NPSB</w:t>
            </w:r>
          </w:p>
        </w:tc>
        <w:tc>
          <w:tcPr>
            <w:tcW w:w="2000" w:type="dxa"/>
            <w:shd w:val="clear" w:color="auto" w:fill="F8FAFC"/>
          </w:tcPr>
          <w:p>
            <w:pPr>
              <w:spacing w:before="40" w:after="40" w:line="220" w:lineRule="auto"/>
            </w:pPr>
            <w:r>
              <w:rPr>
                <w:color w:val="1F2937"/>
                <w:sz w:val="19"/>
                <w:szCs w:val="19"/>
              </w:rPr>
              <w:t>Instant Real-Time</w:t>
            </w:r>
          </w:p>
        </w:tc>
        <w:tc>
          <w:tcPr>
            <w:tcW w:w="2160" w:type="dxa"/>
            <w:shd w:val="clear" w:color="auto" w:fill="F8FAFC"/>
          </w:tcPr>
          <w:p>
            <w:pPr>
              <w:spacing w:before="40" w:after="40" w:line="220" w:lineRule="auto"/>
            </w:pPr>
            <w:r>
              <w:rPr>
                <w:color w:val="1F2937"/>
                <w:sz w:val="19"/>
                <w:szCs w:val="19"/>
              </w:rPr>
              <w:t>Up to BDT 300,000 per transaction</w:t>
            </w:r>
          </w:p>
        </w:tc>
        <w:tc>
          <w:tcPr>
            <w:tcW w:w="2000" w:type="dxa"/>
            <w:shd w:val="clear" w:color="auto" w:fill="F8FAFC"/>
          </w:tcPr>
          <w:p>
            <w:pPr>
              <w:spacing w:before="40" w:after="40" w:line="220" w:lineRule="auto"/>
            </w:pPr>
            <w:r>
              <w:rPr>
                <w:color w:val="1F2937"/>
                <w:sz w:val="19"/>
                <w:szCs w:val="19"/>
              </w:rPr>
              <w:t>24/7/365 Continuous Availability</w:t>
            </w:r>
          </w:p>
        </w:tc>
        <w:tc>
          <w:tcPr>
            <w:tcW w:w="1800" w:type="dxa"/>
            <w:shd w:val="clear" w:color="auto" w:fill="F8FAFC"/>
          </w:tcPr>
          <w:p>
            <w:pPr>
              <w:spacing w:before="40" w:after="40" w:line="220" w:lineRule="auto"/>
            </w:pPr>
            <w:r>
              <w:rPr>
                <w:color w:val="1F2937"/>
                <w:sz w:val="19"/>
                <w:szCs w:val="19"/>
              </w:rPr>
              <w:t>Immediate credit to destination account or card via National Payment Switch.</w:t>
            </w:r>
          </w:p>
        </w:tc>
      </w:tr>
      <w:tr>
        <w:tc>
          <w:tcPr>
            <w:tcW w:w="1400" w:type="dxa"/>
            <w:shd w:val="clear" w:color="auto" w:fill="FFFFFF"/>
          </w:tcPr>
          <w:p>
            <w:pPr>
              <w:spacing w:before="40" w:after="40" w:line="220" w:lineRule="auto"/>
            </w:pPr>
            <w:r>
              <w:rPr>
                <w:color w:val="1F2937"/>
                <w:sz w:val="19"/>
                <w:szCs w:val="19"/>
              </w:rPr>
              <w:t>RTGS</w:t>
            </w:r>
          </w:p>
        </w:tc>
        <w:tc>
          <w:tcPr>
            <w:tcW w:w="2000" w:type="dxa"/>
            <w:shd w:val="clear" w:color="auto" w:fill="FFFFFF"/>
          </w:tcPr>
          <w:p>
            <w:pPr>
              <w:spacing w:before="40" w:after="40" w:line="220" w:lineRule="auto"/>
            </w:pPr>
            <w:r>
              <w:rPr>
                <w:color w:val="1F2937"/>
                <w:sz w:val="19"/>
                <w:szCs w:val="19"/>
              </w:rPr>
              <w:t>Instant Gross Settlement</w:t>
            </w:r>
          </w:p>
        </w:tc>
        <w:tc>
          <w:tcPr>
            <w:tcW w:w="2160" w:type="dxa"/>
            <w:shd w:val="clear" w:color="auto" w:fill="FFFFFF"/>
          </w:tcPr>
          <w:p>
            <w:pPr>
              <w:spacing w:before="40" w:after="40" w:line="220" w:lineRule="auto"/>
            </w:pPr>
            <w:r>
              <w:rPr>
                <w:color w:val="1F2937"/>
                <w:sz w:val="19"/>
                <w:szCs w:val="19"/>
              </w:rPr>
              <w:t>Minimum floor: &gt;= BDT 100,000</w:t>
            </w:r>
          </w:p>
        </w:tc>
        <w:tc>
          <w:tcPr>
            <w:tcW w:w="2000" w:type="dxa"/>
            <w:shd w:val="clear" w:color="auto" w:fill="FFFFFF"/>
          </w:tcPr>
          <w:p>
            <w:pPr>
              <w:spacing w:before="40" w:after="40" w:line="220" w:lineRule="auto"/>
            </w:pPr>
            <w:r>
              <w:rPr>
                <w:color w:val="1F2937"/>
                <w:sz w:val="19"/>
                <w:szCs w:val="19"/>
              </w:rPr>
              <w:t>10:00 AM – 03:00 PM (Sun–Thu)</w:t>
            </w:r>
          </w:p>
        </w:tc>
        <w:tc>
          <w:tcPr>
            <w:tcW w:w="1800" w:type="dxa"/>
            <w:shd w:val="clear" w:color="auto" w:fill="FFFFFF"/>
          </w:tcPr>
          <w:p>
            <w:pPr>
              <w:spacing w:before="40" w:after="40" w:line="220" w:lineRule="auto"/>
            </w:pPr>
            <w:r>
              <w:rPr>
                <w:color w:val="1F2937"/>
                <w:sz w:val="19"/>
                <w:szCs w:val="19"/>
              </w:rPr>
              <w:t>Real-Time Gross Settlement. Transfers outside business hours display a non-clearing warning.</w:t>
            </w:r>
          </w:p>
        </w:tc>
      </w:tr>
    </w:tbl>
    <w:p>
      <w:pPr>
        <w:jc w:val="left"/>
        <w:spacing w:before="0" w:after="120" w:line="260" w:lineRule="auto"/>
      </w:pPr>
      <w:r>
        <w:rPr>
          <w:color w:val="1F2937"/>
          <w:sz w:val="22"/>
          <w:szCs w:val="22"/>
        </w:rPr>
        <w:t xml:space="preserve"/>
      </w:r>
    </w:p>
    <w:p>
      <w:pPr>
        <w:pStyle w:val="Heading2"/>
        <w:spacing w:before="240" w:after="120"/>
      </w:pPr>
      <w:r>
        <w:rPr>
          <w:b/>
          <w:color w:val="1E3A8A"/>
          <w:sz w:val="28"/>
          <w:szCs w:val="28"/>
        </w:rPr>
        <w:t>1.3 Mobile Financial Services (MFS) Disbursements</w:t>
      </w:r>
    </w:p>
    <w:p>
      <w:pPr>
        <w:jc w:val="left"/>
        <w:spacing w:before="0" w:after="120" w:line="260" w:lineRule="auto"/>
      </w:pPr>
      <w:r>
        <w:rPr>
          <w:color w:val="1F2937"/>
          <w:sz w:val="22"/>
          <w:szCs w:val="22"/>
        </w:rPr>
        <w:t xml:space="preserve">The system supports direct electronic fund transfers to registered MFS providers: bKash, Nagad, Rocket, Upay, and TAP. The interface dynamically renders active MFS rails from backend configurations. To eliminate typographical errors, direct manual entry of wallet numbers is restricted; users must select an enrolled, pre-authorized MFS payee. Provider-specific syntax validation is enforced (11 digits for bKash/Nagad/Upay/TAP, and strictly 12 digits for Rocket wallets).</w:t>
      </w:r>
    </w:p>
    <w:p>
      <w:pPr>
        <w:pStyle w:val="Heading2"/>
        <w:spacing w:before="240" w:after="120"/>
      </w:pPr>
      <w:r>
        <w:rPr>
          <w:b/>
          <w:color w:val="1E3A8A"/>
          <w:sz w:val="28"/>
          <w:szCs w:val="28"/>
        </w:rPr>
        <w:t>1.4 Enterprise Corporate Bulk Fund Transfer &amp; Payroll Engine</w:t>
      </w:r>
    </w:p>
    <w:p>
      <w:pPr>
        <w:jc w:val="left"/>
        <w:spacing w:before="0" w:after="120" w:line="260" w:lineRule="auto"/>
      </w:pPr>
      <w:r>
        <w:rPr>
          <w:color w:val="1F2937"/>
          <w:sz w:val="22"/>
          <w:szCs w:val="22"/>
        </w:rPr>
        <w:t xml:space="preserve">For corporate institutions, the portal incorporates the high-volume Bulk Fund Transfer engine (/transactions/bulk-transfer), supporting up to 10,000 transactions per disbursement file:</w:t>
      </w:r>
    </w:p>
    <w:p>
      <w:pPr>
        <w:ind w:left="480" w:hanging="240"/>
        <w:spacing w:before="40" w:after="80" w:line="240" w:lineRule="auto"/>
      </w:pPr>
      <w:r>
        <w:rPr>
          <w:b/>
          <w:color w:val="0A3871"/>
          <w:sz w:val="22"/>
          <w:szCs w:val="22"/>
        </w:rPr>
        <w:t xml:space="preserve">•  Dynamic File Mapping: </w:t>
      </w:r>
      <w:r>
        <w:rPr>
          <w:color w:val="1F2937"/>
          <w:sz w:val="22"/>
          <w:szCs w:val="22"/>
        </w:rPr>
        <w:t xml:space="preserve">Corporate operators upload spreadsheets in Microsoft Excel (.xlsx, .xls) or CSV format directly exported from SAP, Oracle, Tally, or proprietary HRMS.</w:t>
      </w:r>
    </w:p>
    <w:p>
      <w:pPr>
        <w:ind w:left="480" w:hanging="240"/>
        <w:spacing w:before="40" w:after="80" w:line="240" w:lineRule="auto"/>
      </w:pPr>
      <w:r>
        <w:rPr>
          <w:b/>
          <w:color w:val="0A3871"/>
          <w:sz w:val="22"/>
          <w:szCs w:val="22"/>
        </w:rPr>
        <w:t xml:space="preserve">•  Pre-Execution Validation Grid: </w:t>
      </w:r>
      <w:r>
        <w:rPr>
          <w:color w:val="1F2937"/>
          <w:sz w:val="22"/>
          <w:szCs w:val="22"/>
        </w:rPr>
        <w:t xml:space="preserve">The engine pre-validates every row prior to debit execution: syntax checks, routing number resolution, and real-time CBS account status checks for internal accounts. An interactive error grid displays row-level issues with downloadable correction reports.</w:t>
      </w:r>
    </w:p>
    <w:p>
      <w:pPr>
        <w:ind w:left="480" w:hanging="240"/>
        <w:spacing w:before="40" w:after="80" w:line="240" w:lineRule="auto"/>
      </w:pPr>
      <w:r>
        <w:rPr>
          <w:b/>
          <w:color w:val="0A3871"/>
          <w:sz w:val="22"/>
          <w:szCs w:val="22"/>
        </w:rPr>
        <w:t xml:space="preserve">•  Batch Submission &amp; Tracking: </w:t>
      </w:r>
      <w:r>
        <w:rPr>
          <w:color w:val="1F2937"/>
          <w:sz w:val="22"/>
          <w:szCs w:val="22"/>
        </w:rPr>
        <w:t xml:space="preserve">The Maker inspects batch totals in figures and words and clicks 'Submit Batch', generating a unique Batch Reference Number (e.g., BATCH-CZB-20261007-0042) and routing it to the authorization queue.</w:t>
      </w:r>
    </w:p>
    <w:p>
      <w:pPr>
        <w:pStyle w:val="Heading1"/>
        <w:spacing w:before="360" w:after="160"/>
      </w:pPr>
      <w:r>
        <w:br w:type="page"/>
      </w:r>
      <w:r>
        <w:rPr>
          <w:b/>
          <w:color w:val="0A3871"/>
          <w:sz w:val="34"/>
          <w:szCs w:val="34"/>
        </w:rPr>
        <w:t>2. Beneficiary Manager (Dynamic)</w:t>
      </w:r>
    </w:p>
    <w:p>
      <w:pPr>
        <w:jc w:val="left"/>
        <w:spacing w:before="0" w:after="120" w:line="260" w:lineRule="auto"/>
      </w:pPr>
      <w:r>
        <w:rPr>
          <w:color w:val="1F2937"/>
          <w:sz w:val="22"/>
          <w:szCs w:val="22"/>
        </w:rPr>
        <w:t xml:space="preserve">The Beneficiary Manager centralizes payee lifecycle administration across Own Bank, Other Bank, and MFS categories. The module is split into two primary operational components: Add Beneficiary and View/Manage Beneficiary Directory.</w:t>
      </w:r>
    </w:p>
    <w:p>
      <w:pPr>
        <w:pStyle w:val="Heading2"/>
        <w:spacing w:before="240" w:after="120"/>
      </w:pPr>
      <w:r>
        <w:rPr>
          <w:b/>
          <w:color w:val="1E3A8A"/>
          <w:sz w:val="28"/>
          <w:szCs w:val="28"/>
        </w:rPr>
        <w:t>2.1 Beneficiary Enrollment Workflow</w:t>
      </w:r>
    </w:p>
    <w:p>
      <w:pPr>
        <w:ind w:left="480" w:hanging="240"/>
        <w:spacing w:before="40" w:after="80" w:line="240" w:lineRule="auto"/>
      </w:pPr>
      <w:r>
        <w:rPr>
          <w:b/>
          <w:color w:val="0A3871"/>
          <w:sz w:val="22"/>
          <w:szCs w:val="22"/>
        </w:rPr>
        <w:t xml:space="preserve">•  Own Bank Payee: </w:t>
      </w:r>
      <w:r>
        <w:rPr>
          <w:color w:val="1F2937"/>
          <w:sz w:val="22"/>
          <w:szCs w:val="22"/>
        </w:rPr>
        <w:t xml:space="preserve">The customer enters the 13-digit account number. The system performs an automated CBS inquiry, displays the official Account Title in read-only format, and requires a customer-assigned Nickname before OTP authorization.</w:t>
      </w:r>
    </w:p>
    <w:p>
      <w:pPr>
        <w:ind w:left="480" w:hanging="240"/>
        <w:spacing w:before="40" w:after="80" w:line="240" w:lineRule="auto"/>
      </w:pPr>
      <w:r>
        <w:rPr>
          <w:b/>
          <w:color w:val="0A3871"/>
          <w:sz w:val="22"/>
          <w:szCs w:val="22"/>
        </w:rPr>
        <w:t xml:space="preserve">•  Other Bank Payee: </w:t>
      </w:r>
      <w:r>
        <w:rPr>
          <w:color w:val="1F2937"/>
          <w:sz w:val="22"/>
          <w:szCs w:val="22"/>
        </w:rPr>
        <w:t xml:space="preserve">The customer selects transfer method (Account or Card). For accounts, the customer inputs Account Number, Account Title, and selects Bank, District, and Branch from cascading dropdowns. The system auto-populates the 9-digit Bangladesh Bank routing number. For cards, the 16-digit card number and cardholder title are validated.</w:t>
      </w:r>
    </w:p>
    <w:p>
      <w:pPr>
        <w:ind w:left="480" w:hanging="240"/>
        <w:spacing w:before="40" w:after="80" w:line="240" w:lineRule="auto"/>
      </w:pPr>
      <w:r>
        <w:rPr>
          <w:b/>
          <w:color w:val="0A3871"/>
          <w:sz w:val="22"/>
          <w:szCs w:val="22"/>
        </w:rPr>
        <w:t xml:space="preserve">•  MFS Payee: </w:t>
      </w:r>
      <w:r>
        <w:rPr>
          <w:color w:val="1F2937"/>
          <w:sz w:val="22"/>
          <w:szCs w:val="22"/>
        </w:rPr>
        <w:t xml:space="preserve">The customer selects the provider (bKash, Nagad, Rocket, Upay, TAP), enters the wallet number, assigns a Nickname, and authorizes via OTP.</w:t>
      </w:r>
    </w:p>
    <w:p>
      <w:pPr>
        <w:ind w:left="480" w:hanging="240"/>
        <w:spacing w:before="40" w:after="80" w:line="240" w:lineRule="auto"/>
      </w:pPr>
      <w:r>
        <w:rPr>
          <w:b/>
          <w:color w:val="0A3871"/>
          <w:sz w:val="22"/>
          <w:szCs w:val="22"/>
        </w:rPr>
        <w:t xml:space="preserve">•  Standard Enrollment Flow: </w:t>
      </w:r>
      <w:r>
        <w:rPr>
          <w:color w:val="1F2937"/>
          <w:sz w:val="22"/>
          <w:szCs w:val="22"/>
        </w:rPr>
        <w:t xml:space="preserve">Type Selection -&gt; Data Entry -&gt; CBS / Routing Verification -&gt; Duplicate Check -&gt; 2FA OTP Authentication -&gt; Enrolled Payee.</w:t>
      </w:r>
    </w:p>
    <w:p>
      <w:pPr>
        <w:pStyle w:val="Heading2"/>
        <w:spacing w:before="240" w:after="120"/>
      </w:pPr>
      <w:r>
        <w:rPr>
          <w:b/>
          <w:color w:val="1E3A8A"/>
          <w:sz w:val="28"/>
          <w:szCs w:val="28"/>
        </w:rPr>
        <w:t>2.2 Enterprise Field-Locking &amp; Maker-Checker Governance</w:t>
      </w:r>
    </w:p>
    <w:p>
      <w:pPr>
        <w:jc w:val="left"/>
        <w:spacing w:before="0" w:after="120" w:line="260" w:lineRule="auto"/>
      </w:pPr>
      <w:r>
        <w:rPr>
          <w:color w:val="1F2937"/>
          <w:sz w:val="22"/>
          <w:szCs w:val="22"/>
        </w:rPr>
        <w:t xml:space="preserve">In strict adherence to enterprise security governance, all core financial routing fields (Account Number, Bank Name, Branch Name, Routing Code, and Wallet Number) are permanently locked once approved. Users can modify only the assigned Nickname. For corporate entities, newly enrolled beneficiaries require independent Checker authorization before being activated for outbound payments.</w:t>
      </w:r>
    </w:p>
    <w:p>
      <w:pPr>
        <w:ind w:left="480" w:hanging="240"/>
        <w:spacing w:before="40" w:after="80" w:line="240" w:lineRule="auto"/>
      </w:pPr>
      <w:r>
        <w:rPr>
          <w:b/>
          <w:color w:val="0A3871"/>
          <w:sz w:val="22"/>
          <w:szCs w:val="22"/>
        </w:rPr>
        <w:t xml:space="preserve">•  Directory Features: </w:t>
      </w:r>
      <w:r>
        <w:rPr>
          <w:color w:val="1F2937"/>
          <w:sz w:val="22"/>
          <w:szCs w:val="22"/>
        </w:rPr>
        <w:t xml:space="preserve">Tabbed navigation segregating Own Bank, Other Bank, MFS, and Favorites.</w:t>
      </w:r>
    </w:p>
    <w:p>
      <w:pPr>
        <w:ind w:left="480" w:hanging="240"/>
        <w:spacing w:before="40" w:after="80" w:line="240" w:lineRule="auto"/>
      </w:pPr>
      <w:r>
        <w:rPr>
          <w:b/>
          <w:color w:val="0A3871"/>
          <w:sz w:val="22"/>
          <w:szCs w:val="22"/>
        </w:rPr>
        <w:t xml:space="preserve">•  Directory Search: </w:t>
      </w:r>
      <w:r>
        <w:rPr>
          <w:color w:val="1F2937"/>
          <w:sz w:val="22"/>
          <w:szCs w:val="22"/>
        </w:rPr>
        <w:t xml:space="preserve">Real-time searching across payee name, nickname, masked account/card/wallet number, and bank name.</w:t>
      </w:r>
    </w:p>
    <w:p>
      <w:pPr>
        <w:ind w:left="480" w:hanging="240"/>
        <w:spacing w:before="40" w:after="80" w:line="240" w:lineRule="auto"/>
      </w:pPr>
      <w:r>
        <w:rPr>
          <w:b/>
          <w:color w:val="0A3871"/>
          <w:sz w:val="22"/>
          <w:szCs w:val="22"/>
        </w:rPr>
        <w:t xml:space="preserve">•  Favorite Payees: </w:t>
      </w:r>
      <w:r>
        <w:rPr>
          <w:color w:val="1F2937"/>
          <w:sz w:val="22"/>
          <w:szCs w:val="22"/>
        </w:rPr>
        <w:t xml:space="preserve">Toggling payees as 'Favorites' pins them prominently at the top of the directory and within fund transfer selection drawers.</w:t>
      </w:r>
    </w:p>
    <w:p>
      <w:pPr>
        <w:pStyle w:val="Heading1"/>
        <w:spacing w:before="360" w:after="160"/>
      </w:pPr>
      <w:r>
        <w:br w:type="page"/>
      </w:r>
      <w:r>
        <w:rPr>
          <w:b/>
          <w:color w:val="0A3871"/>
          <w:sz w:val="34"/>
          <w:szCs w:val="34"/>
        </w:rPr>
        <w:t>3. Sign-up / Self Registration</w:t>
      </w:r>
    </w:p>
    <w:p>
      <w:pPr>
        <w:jc w:val="left"/>
        <w:spacing w:before="0" w:after="120" w:line="260" w:lineRule="auto"/>
      </w:pPr>
      <w:r>
        <w:rPr>
          <w:color w:val="1F2937"/>
          <w:sz w:val="22"/>
          <w:szCs w:val="22"/>
        </w:rPr>
        <w:t xml:space="preserve">The Sign-up and Self-Registration framework provides a secure, streamlined digital onboarding gateway for both retail customers and corporate institutional administrators.</w:t>
      </w:r>
    </w:p>
    <w:p>
      <w:pPr>
        <w:ind w:left="480" w:hanging="240"/>
        <w:spacing w:before="40" w:after="80" w:line="240" w:lineRule="auto"/>
      </w:pPr>
      <w:r>
        <w:rPr>
          <w:b/>
          <w:color w:val="0A3871"/>
          <w:sz w:val="22"/>
          <w:szCs w:val="22"/>
        </w:rPr>
        <w:t xml:space="preserve">•  New-to-Bank Customers (eKYC): </w:t>
      </w:r>
      <w:r>
        <w:rPr>
          <w:color w:val="1F2937"/>
          <w:sz w:val="22"/>
          <w:szCs w:val="22"/>
        </w:rPr>
        <w:t xml:space="preserve">Prospective clients without existing bank accounts are seamlessly routed to the Citizens Bank digital eKYC onboarding portal, facilitating automated NID OCR scanning, facial biometric liveness checks against the Election Commission database, and instant digital CASA account generation.</w:t>
      </w:r>
    </w:p>
    <w:p>
      <w:pPr>
        <w:ind w:left="480" w:hanging="240"/>
        <w:spacing w:before="40" w:after="80" w:line="240" w:lineRule="auto"/>
      </w:pPr>
      <w:r>
        <w:rPr>
          <w:b/>
          <w:color w:val="0A3871"/>
          <w:sz w:val="22"/>
          <w:szCs w:val="22"/>
        </w:rPr>
        <w:t xml:space="preserve">•  Existing Bank Customers: </w:t>
      </w:r>
      <w:r>
        <w:rPr>
          <w:color w:val="1F2937"/>
          <w:sz w:val="22"/>
          <w:szCs w:val="22"/>
        </w:rPr>
        <w:t xml:space="preserve">Existing account holders register by verifying four essential data points: Branch Code, Core Banking Account Number, Registered Mobile Number, and Corporate/Personal Email Address.</w:t>
      </w:r>
    </w:p>
    <w:p>
      <w:pPr>
        <w:ind w:left="480" w:hanging="240"/>
        <w:spacing w:before="40" w:after="80" w:line="240" w:lineRule="auto"/>
      </w:pPr>
      <w:r>
        <w:rPr>
          <w:b/>
          <w:color w:val="0A3871"/>
          <w:sz w:val="22"/>
          <w:szCs w:val="22"/>
        </w:rPr>
        <w:t xml:space="preserve">•  Core Banking Validation: </w:t>
      </w:r>
      <w:r>
        <w:rPr>
          <w:color w:val="1F2937"/>
          <w:sz w:val="22"/>
          <w:szCs w:val="22"/>
        </w:rPr>
        <w:t xml:space="preserve">The system performs real-time validation against the Core Banking customer master file, confirming that the account is active, non-dormant, and authorized for digital banking.</w:t>
      </w:r>
    </w:p>
    <w:p>
      <w:pPr>
        <w:ind w:left="480" w:hanging="240"/>
        <w:spacing w:before="40" w:after="80" w:line="240" w:lineRule="auto"/>
      </w:pPr>
      <w:r>
        <w:rPr>
          <w:b/>
          <w:color w:val="0A3871"/>
          <w:sz w:val="22"/>
          <w:szCs w:val="22"/>
        </w:rPr>
        <w:t xml:space="preserve">•  Corporate Client Registration: </w:t>
      </w:r>
      <w:r>
        <w:rPr>
          <w:color w:val="1F2937"/>
          <w:sz w:val="22"/>
          <w:szCs w:val="22"/>
        </w:rPr>
        <w:t xml:space="preserve">Corporate institutions utilize the dedicated Corporate Self-Registration module (/selfregistration), capturing organizational registration numbers, tax identification numbers (TIN), authorized signatory board resolutions, and master administrative contact details.</w:t>
      </w:r>
    </w:p>
    <w:p>
      <w:pPr>
        <w:ind w:left="480" w:hanging="240"/>
        <w:spacing w:before="40" w:after="80" w:line="240" w:lineRule="auto"/>
      </w:pPr>
      <w:r>
        <w:rPr>
          <w:b/>
          <w:color w:val="0A3871"/>
          <w:sz w:val="22"/>
          <w:szCs w:val="22"/>
        </w:rPr>
        <w:t xml:space="preserve">•  Dual-Channel Authentication: </w:t>
      </w:r>
      <w:r>
        <w:rPr>
          <w:color w:val="1F2937"/>
          <w:sz w:val="22"/>
          <w:szCs w:val="22"/>
        </w:rPr>
        <w:t xml:space="preserve">The system enforces dual-channel OTP verification (simultaneous dispatch to both mobile and email) before generating a temporary profile.</w:t>
      </w:r>
    </w:p>
    <w:p>
      <w:pPr>
        <w:pStyle w:val="Heading1"/>
        <w:spacing w:before="360" w:after="160"/>
      </w:pPr>
      <w:r>
        <w:br w:type="page"/>
      </w:r>
      <w:r>
        <w:rPr>
          <w:b/>
          <w:color w:val="0A3871"/>
          <w:sz w:val="34"/>
          <w:szCs w:val="34"/>
        </w:rPr>
        <w:t>4. Device Change / Device Binding</w:t>
      </w:r>
    </w:p>
    <w:p>
      <w:pPr>
        <w:jc w:val="left"/>
        <w:spacing w:before="0" w:after="120" w:line="260" w:lineRule="auto"/>
      </w:pPr>
      <w:r>
        <w:rPr>
          <w:color w:val="1F2937"/>
          <w:sz w:val="22"/>
          <w:szCs w:val="22"/>
        </w:rPr>
        <w:t xml:space="preserve">To prevent session hijacking, man-in-the-browser attacks, and unauthorized device access, the platform implements a robust hardware-anchored Device Binding architecture.</w:t>
      </w:r>
    </w:p>
    <w:p>
      <w:pPr>
        <w:ind w:left="480" w:hanging="240"/>
        <w:spacing w:before="40" w:after="80" w:line="240" w:lineRule="auto"/>
      </w:pPr>
      <w:r>
        <w:rPr>
          <w:b/>
          <w:color w:val="0A3871"/>
          <w:sz w:val="22"/>
          <w:szCs w:val="22"/>
        </w:rPr>
        <w:t xml:space="preserve">•  Mobile Hardware Binding: </w:t>
      </w:r>
      <w:r>
        <w:rPr>
          <w:color w:val="1F2937"/>
          <w:sz w:val="22"/>
          <w:szCs w:val="22"/>
        </w:rPr>
        <w:t xml:space="preserve">During initial login, the mobile application captures unique cryptographic hardware identifiers (IMEI, device UUID, OS build fingerprint) and securely registers the device token in the identity database.</w:t>
      </w:r>
    </w:p>
    <w:p>
      <w:pPr>
        <w:ind w:left="480" w:hanging="240"/>
        <w:spacing w:before="40" w:after="80" w:line="240" w:lineRule="auto"/>
      </w:pPr>
      <w:r>
        <w:rPr>
          <w:b/>
          <w:color w:val="0A3871"/>
          <w:sz w:val="22"/>
          <w:szCs w:val="22"/>
        </w:rPr>
        <w:t xml:space="preserve">•  Web Client Fingerprinting: </w:t>
      </w:r>
      <w:r>
        <w:rPr>
          <w:color w:val="1F2937"/>
          <w:sz w:val="22"/>
          <w:szCs w:val="22"/>
        </w:rPr>
        <w:t xml:space="preserve">Corporate web portal sessions analyze client browser fingerprints, TLS session parameters, and dynamic network IP addresses resolved via the UserIPUrl service endpoint.</w:t>
      </w:r>
    </w:p>
    <w:p>
      <w:pPr>
        <w:ind w:left="480" w:hanging="240"/>
        <w:spacing w:before="40" w:after="80" w:line="240" w:lineRule="auto"/>
      </w:pPr>
      <w:r>
        <w:rPr>
          <w:b/>
          <w:color w:val="0A3871"/>
          <w:sz w:val="22"/>
          <w:szCs w:val="22"/>
        </w:rPr>
        <w:t xml:space="preserve">•  Device Switch Authentication Flow: </w:t>
      </w:r>
      <w:r>
        <w:rPr>
          <w:color w:val="1F2937"/>
          <w:sz w:val="22"/>
          <w:szCs w:val="22"/>
        </w:rPr>
        <w:t xml:space="preserve">When a login attempt is detected from an unrecognized handset or browser, standard authentication is immediately suspended. The user must complete an enhanced verification sequence: primary password check -&gt; dual SMS and Email OTP -&gt; mandatory live facial biometric verification matching the registration baseline.</w:t>
      </w:r>
    </w:p>
    <w:p>
      <w:pPr>
        <w:ind w:left="480" w:hanging="240"/>
        <w:spacing w:before="40" w:after="80" w:line="240" w:lineRule="auto"/>
      </w:pPr>
      <w:r>
        <w:rPr>
          <w:b/>
          <w:color w:val="0A3871"/>
          <w:sz w:val="22"/>
          <w:szCs w:val="22"/>
        </w:rPr>
        <w:t xml:space="preserve">•  Automatic Token Revocation: </w:t>
      </w:r>
      <w:r>
        <w:rPr>
          <w:color w:val="1F2937"/>
          <w:sz w:val="22"/>
          <w:szCs w:val="22"/>
        </w:rPr>
        <w:t xml:space="preserve">Upon successful re-authentication, the previous device token is instantly revoked, and an immutable security advisory notification is dispatched to all registered contact channels.</w:t>
      </w:r>
    </w:p>
    <w:p>
      <w:pPr>
        <w:pStyle w:val="Heading1"/>
        <w:spacing w:before="360" w:after="160"/>
      </w:pPr>
      <w:r>
        <w:br w:type="page"/>
      </w:r>
      <w:r>
        <w:rPr>
          <w:b/>
          <w:color w:val="0A3871"/>
          <w:sz w:val="34"/>
          <w:szCs w:val="34"/>
        </w:rPr>
        <w:t>5. Dark Mode Support</w:t>
      </w:r>
    </w:p>
    <w:p>
      <w:pPr>
        <w:jc w:val="left"/>
        <w:spacing w:before="0" w:after="120" w:line="260" w:lineRule="auto"/>
      </w:pPr>
      <w:r>
        <w:rPr>
          <w:color w:val="1F2937"/>
          <w:sz w:val="22"/>
          <w:szCs w:val="22"/>
        </w:rPr>
        <w:t xml:space="preserve">The application features a fully integrated Dark Mode display theme across mobile and corporate web interfaces. The theme adheres to WCAG 2.1 AA accessibility contrast standards, utilizing a dark slate and navy palette with crisp white and gold typography. Users can select System Default, Explicit Dark Theme, or Explicit Light Theme within User Settings, reducing visual fatigue during extended treasury operations and conserving device battery life.</w:t>
      </w:r>
    </w:p>
    <w:p>
      <w:pPr>
        <w:pStyle w:val="Heading1"/>
        <w:spacing w:before="360" w:after="160"/>
      </w:pPr>
      <w:r>
        <w:br w:type="page"/>
      </w:r>
      <w:r>
        <w:rPr>
          <w:b/>
          <w:color w:val="0A3871"/>
          <w:sz w:val="34"/>
          <w:szCs w:val="34"/>
        </w:rPr>
        <w:t>6. Enhanced Account Overview</w:t>
      </w:r>
    </w:p>
    <w:p>
      <w:pPr>
        <w:jc w:val="left"/>
        <w:spacing w:before="0" w:after="120" w:line="260" w:lineRule="auto"/>
      </w:pPr>
      <w:r>
        <w:rPr>
          <w:color w:val="1F2937"/>
          <w:sz w:val="22"/>
          <w:szCs w:val="22"/>
        </w:rPr>
        <w:t xml:space="preserve">The Enhanced Account Overview provides an executive dashboard synthesizing comprehensive asset and liability portfolios for retail and corporate operators.</w:t>
      </w:r>
    </w:p>
    <w:p>
      <w:pPr>
        <w:ind w:left="480" w:hanging="240"/>
        <w:spacing w:before="40" w:after="80" w:line="240" w:lineRule="auto"/>
      </w:pPr>
      <w:r>
        <w:rPr>
          <w:b/>
          <w:color w:val="0A3871"/>
          <w:sz w:val="22"/>
          <w:szCs w:val="22"/>
        </w:rPr>
        <w:t xml:space="preserve">•  Portfolio Summary Widgets: </w:t>
      </w:r>
      <w:r>
        <w:rPr>
          <w:color w:val="1F2937"/>
          <w:sz w:val="22"/>
          <w:szCs w:val="22"/>
        </w:rPr>
        <w:t xml:space="preserve">Aggregates real-time ledger balances, available funds, and credit facility utilization across Current Accounts, Savings Accounts, Term Deposits (FDR), Scheme Deposits (DPS), and Corporate Loan Facilities.</w:t>
      </w:r>
    </w:p>
    <w:p>
      <w:pPr>
        <w:ind w:left="480" w:hanging="240"/>
        <w:spacing w:before="40" w:after="80" w:line="240" w:lineRule="auto"/>
      </w:pPr>
      <w:r>
        <w:rPr>
          <w:b/>
          <w:color w:val="0A3871"/>
          <w:sz w:val="22"/>
          <w:szCs w:val="22"/>
        </w:rPr>
        <w:t xml:space="preserve">•  Lien &amp; Hold Transparency: </w:t>
      </w:r>
      <w:r>
        <w:rPr>
          <w:color w:val="1F2937"/>
          <w:sz w:val="22"/>
          <w:szCs w:val="22"/>
        </w:rPr>
        <w:t xml:space="preserve">Explicitly highlights Lien and Hold amounts, providing instant transparency regarding funds collateralized for Letters of Credit (LCs), Bank Guarantees, or judicial holds.</w:t>
      </w:r>
    </w:p>
    <w:p>
      <w:pPr>
        <w:ind w:left="480" w:hanging="240"/>
        <w:spacing w:before="40" w:after="80" w:line="240" w:lineRule="auto"/>
      </w:pPr>
      <w:r>
        <w:rPr>
          <w:b/>
          <w:color w:val="0A3871"/>
          <w:sz w:val="22"/>
          <w:szCs w:val="22"/>
        </w:rPr>
        <w:t xml:space="preserve">•  Pending Authorization Center: </w:t>
      </w:r>
      <w:r>
        <w:rPr>
          <w:color w:val="1F2937"/>
          <w:sz w:val="22"/>
          <w:szCs w:val="22"/>
        </w:rPr>
        <w:t xml:space="preserve">Prominently renders an amber counter badge for corporate Checkers, detailing the exact count and cumulative monetary value of pending transfers awaiting authorizer sign-off.</w:t>
      </w:r>
    </w:p>
    <w:p>
      <w:pPr>
        <w:ind w:left="480" w:hanging="240"/>
        <w:spacing w:before="40" w:after="80" w:line="240" w:lineRule="auto"/>
      </w:pPr>
      <w:r>
        <w:rPr>
          <w:b/>
          <w:color w:val="0A3871"/>
          <w:sz w:val="22"/>
          <w:szCs w:val="22"/>
        </w:rPr>
        <w:t xml:space="preserve">•  Quick Action Shortcuts: </w:t>
      </w:r>
      <w:r>
        <w:rPr>
          <w:color w:val="1F2937"/>
          <w:sz w:val="22"/>
          <w:szCs w:val="22"/>
        </w:rPr>
        <w:t xml:space="preserve">One-click direct navigation tiles to Single Transfers, Bulk Payroll, Beneficiary Management, Statement Inquiry, and Cheque Services.</w:t>
      </w:r>
    </w:p>
    <w:p>
      <w:pPr>
        <w:ind w:left="480" w:hanging="240"/>
        <w:spacing w:before="40" w:after="80" w:line="240" w:lineRule="auto"/>
      </w:pPr>
      <w:r>
        <w:rPr>
          <w:b/>
          <w:color w:val="0A3871"/>
          <w:sz w:val="22"/>
          <w:szCs w:val="22"/>
        </w:rPr>
        <w:t xml:space="preserve">•  Balance Privacy Masking: </w:t>
      </w:r>
      <w:r>
        <w:rPr>
          <w:color w:val="1F2937"/>
          <w:sz w:val="22"/>
          <w:szCs w:val="22"/>
        </w:rPr>
        <w:t xml:space="preserve">Configurable privacy toggle allowing operators to mask numerical balance figures on shared office screens with a single tap.</w:t>
      </w:r>
    </w:p>
    <w:p>
      <w:pPr>
        <w:pStyle w:val="Heading1"/>
        <w:spacing w:before="360" w:after="160"/>
      </w:pPr>
      <w:r>
        <w:br w:type="page"/>
      </w:r>
      <w:r>
        <w:rPr>
          <w:b/>
          <w:color w:val="0A3871"/>
          <w:sz w:val="34"/>
          <w:szCs w:val="34"/>
        </w:rPr>
        <w:t>7. Zakat Calculator</w:t>
      </w:r>
    </w:p>
    <w:p>
      <w:pPr>
        <w:jc w:val="left"/>
        <w:spacing w:before="0" w:after="120" w:line="260" w:lineRule="auto"/>
      </w:pPr>
      <w:r>
        <w:rPr>
          <w:color w:val="1F2937"/>
          <w:sz w:val="22"/>
          <w:szCs w:val="22"/>
        </w:rPr>
        <w:t xml:space="preserve">The platform includes an automated Islamic financial planning tool enabling customers to accurately calculate their annual Zakat obligations in strict accordance with Shariah principles.</w:t>
      </w:r>
    </w:p>
    <w:p>
      <w:pPr>
        <w:ind w:left="480" w:hanging="240"/>
        <w:spacing w:before="40" w:after="80" w:line="240" w:lineRule="auto"/>
      </w:pPr>
      <w:r>
        <w:rPr>
          <w:b/>
          <w:color w:val="0A3871"/>
          <w:sz w:val="22"/>
          <w:szCs w:val="22"/>
        </w:rPr>
        <w:t xml:space="preserve">•  Automated Balance Ingestion: </w:t>
      </w:r>
      <w:r>
        <w:rPr>
          <w:color w:val="1F2937"/>
          <w:sz w:val="22"/>
          <w:szCs w:val="22"/>
        </w:rPr>
        <w:t xml:space="preserve">The calculator allows customers to pull current eligible liquid balances directly from linked CASA and FDR accounts with a single tap.</w:t>
      </w:r>
    </w:p>
    <w:p>
      <w:pPr>
        <w:ind w:left="480" w:hanging="240"/>
        <w:spacing w:before="40" w:after="80" w:line="240" w:lineRule="auto"/>
      </w:pPr>
      <w:r>
        <w:rPr>
          <w:b/>
          <w:color w:val="0A3871"/>
          <w:sz w:val="22"/>
          <w:szCs w:val="22"/>
        </w:rPr>
        <w:t xml:space="preserve">•  Asset Categorization: </w:t>
      </w:r>
      <w:r>
        <w:rPr>
          <w:color w:val="1F2937"/>
          <w:sz w:val="22"/>
          <w:szCs w:val="22"/>
        </w:rPr>
        <w:t xml:space="preserve">Provides categorized input fields for additional Zakatable assets, including gold and silver holdings (with daily market rate multipliers), cash in hand, traded business inventory, and receivables.</w:t>
      </w:r>
    </w:p>
    <w:p>
      <w:pPr>
        <w:ind w:left="480" w:hanging="240"/>
        <w:spacing w:before="40" w:after="80" w:line="240" w:lineRule="auto"/>
      </w:pPr>
      <w:r>
        <w:rPr>
          <w:b/>
          <w:color w:val="0A3871"/>
          <w:sz w:val="22"/>
          <w:szCs w:val="22"/>
        </w:rPr>
        <w:t xml:space="preserve">•  Nisab &amp; Liability Deduction: </w:t>
      </w:r>
      <w:r>
        <w:rPr>
          <w:color w:val="1F2937"/>
          <w:sz w:val="22"/>
          <w:szCs w:val="22"/>
        </w:rPr>
        <w:t xml:space="preserve">Incorporates deductible liabilities fields (short-term debts, due operational expenses) and compares net wealth against the current gold and silver Nisab thresholds.</w:t>
      </w:r>
    </w:p>
    <w:p>
      <w:pPr>
        <w:ind w:left="480" w:hanging="240"/>
        <w:spacing w:before="40" w:after="80" w:line="240" w:lineRule="auto"/>
      </w:pPr>
      <w:r>
        <w:rPr>
          <w:b/>
          <w:color w:val="0A3871"/>
          <w:sz w:val="22"/>
          <w:szCs w:val="22"/>
        </w:rPr>
        <w:t xml:space="preserve">•  Calculation &amp; Direct Disbursement: </w:t>
      </w:r>
      <w:r>
        <w:rPr>
          <w:color w:val="1F2937"/>
          <w:sz w:val="22"/>
          <w:szCs w:val="22"/>
        </w:rPr>
        <w:t xml:space="preserve">Calculates the final 2.5% Zakat obligation and provides direct transfer options to pre-vetted corporate charity and donation accounts.</w:t>
      </w:r>
    </w:p>
    <w:p>
      <w:pPr>
        <w:pStyle w:val="Heading1"/>
        <w:spacing w:before="360" w:after="160"/>
      </w:pPr>
      <w:r>
        <w:br w:type="page"/>
      </w:r>
      <w:r>
        <w:rPr>
          <w:b/>
          <w:color w:val="0A3871"/>
          <w:sz w:val="34"/>
          <w:szCs w:val="34"/>
        </w:rPr>
        <w:t>8. Prayer Time</w:t>
      </w:r>
    </w:p>
    <w:p>
      <w:pPr>
        <w:jc w:val="left"/>
        <w:spacing w:before="0" w:after="120" w:line="260" w:lineRule="auto"/>
      </w:pPr>
      <w:r>
        <w:rPr>
          <w:color w:val="1F2937"/>
          <w:sz w:val="22"/>
          <w:szCs w:val="22"/>
        </w:rPr>
        <w:t xml:space="preserve">The application incorporates a geolocation-aware Prayer Times module providing accurate daily prayer schedules (Fajr, Dhuhr, Asr, Maghrib, Isha) and sunrise/sunset times based on the customer's current GPS coordinates or selected district in Bangladesh. Supports configurable calculation conventions (University of Islamic Sciences, Karachi / Islamic Foundation Bangladesh) and provides optional push notifications before prayer times.</w:t>
      </w:r>
    </w:p>
    <w:p>
      <w:pPr>
        <w:pStyle w:val="Heading1"/>
        <w:spacing w:before="360" w:after="160"/>
      </w:pPr>
      <w:r>
        <w:br w:type="page"/>
      </w:r>
      <w:r>
        <w:rPr>
          <w:b/>
          <w:color w:val="0A3871"/>
          <w:sz w:val="34"/>
          <w:szCs w:val="34"/>
        </w:rPr>
        <w:t>9. Tasbeeh</w:t>
      </w:r>
    </w:p>
    <w:p>
      <w:pPr>
        <w:jc w:val="left"/>
        <w:spacing w:before="0" w:after="120" w:line="260" w:lineRule="auto"/>
      </w:pPr>
      <w:r>
        <w:rPr>
          <w:color w:val="1F2937"/>
          <w:sz w:val="22"/>
          <w:szCs w:val="22"/>
        </w:rPr>
        <w:t xml:space="preserve">A dedicated digital Tasbeeh counter module providing tactile and visual counting interfaces. Features include customizable cycle targets (33, 99, 100, custom), haptic feedback upon each increment, auditory cues, customizable Dhikr phrases, and persistent history logging enabling users to track cumulative recitations over time.</w:t>
      </w:r>
    </w:p>
    <w:p>
      <w:pPr>
        <w:pStyle w:val="Heading1"/>
        <w:spacing w:before="360" w:after="160"/>
      </w:pPr>
      <w:r>
        <w:br w:type="page"/>
      </w:r>
      <w:r>
        <w:rPr>
          <w:b/>
          <w:color w:val="0A3871"/>
          <w:sz w:val="34"/>
          <w:szCs w:val="34"/>
        </w:rPr>
        <w:t>10. Important Link</w:t>
      </w:r>
    </w:p>
    <w:p>
      <w:pPr>
        <w:jc w:val="left"/>
        <w:spacing w:before="0" w:after="120" w:line="260" w:lineRule="auto"/>
      </w:pPr>
      <w:r>
        <w:rPr>
          <w:color w:val="1F2937"/>
          <w:sz w:val="22"/>
          <w:szCs w:val="22"/>
        </w:rPr>
        <w:t xml:space="preserve">The Important Links repository provides authenticated, sandboxed access to external statutory portals and banking resources via embedded secure WebViews:</w:t>
      </w:r>
    </w:p>
    <w:p>
      <w:pPr>
        <w:ind w:left="480" w:hanging="240"/>
        <w:spacing w:before="40" w:after="80" w:line="240" w:lineRule="auto"/>
      </w:pPr>
      <w:r>
        <w:rPr>
          <w:b/>
          <w:color w:val="0A3871"/>
          <w:sz w:val="22"/>
          <w:szCs w:val="22"/>
        </w:rPr>
        <w:t xml:space="preserve">•  A-Challan Portal: </w:t>
      </w:r>
      <w:r>
        <w:rPr>
          <w:color w:val="1F2937"/>
          <w:sz w:val="22"/>
          <w:szCs w:val="22"/>
        </w:rPr>
        <w:t xml:space="preserve">Direct integration with the National Board of Revenue (NBR) automated treasury tax and fees deposit portal.</w:t>
      </w:r>
    </w:p>
    <w:p>
      <w:pPr>
        <w:ind w:left="480" w:hanging="240"/>
        <w:spacing w:before="40" w:after="80" w:line="240" w:lineRule="auto"/>
      </w:pPr>
      <w:r>
        <w:rPr>
          <w:b/>
          <w:color w:val="0A3871"/>
          <w:sz w:val="22"/>
          <w:szCs w:val="22"/>
        </w:rPr>
        <w:t xml:space="preserve">•  Green PIN Generation: </w:t>
      </w:r>
      <w:r>
        <w:rPr>
          <w:color w:val="1F2937"/>
          <w:sz w:val="22"/>
          <w:szCs w:val="22"/>
        </w:rPr>
        <w:t xml:space="preserve">Instant self-service generation and resetting of ATM/Debit Card PINs without visiting branch premises.</w:t>
      </w:r>
    </w:p>
    <w:p>
      <w:pPr>
        <w:ind w:left="480" w:hanging="240"/>
        <w:spacing w:before="40" w:after="80" w:line="240" w:lineRule="auto"/>
      </w:pPr>
      <w:r>
        <w:rPr>
          <w:b/>
          <w:color w:val="0A3871"/>
          <w:sz w:val="22"/>
          <w:szCs w:val="22"/>
        </w:rPr>
        <w:t xml:space="preserve">•  Form-C (Remittance): </w:t>
      </w:r>
      <w:r>
        <w:rPr>
          <w:color w:val="1F2937"/>
          <w:sz w:val="22"/>
          <w:szCs w:val="22"/>
        </w:rPr>
        <w:t xml:space="preserve">Digital declaration portal for outward remittance declarations and export-import compliance.</w:t>
      </w:r>
    </w:p>
    <w:p>
      <w:pPr>
        <w:ind w:left="480" w:hanging="240"/>
        <w:spacing w:before="40" w:after="80" w:line="240" w:lineRule="auto"/>
      </w:pPr>
      <w:r>
        <w:rPr>
          <w:b/>
          <w:color w:val="0A3871"/>
          <w:sz w:val="22"/>
          <w:szCs w:val="22"/>
        </w:rPr>
        <w:t xml:space="preserve">•  Security Architecture: </w:t>
      </w:r>
      <w:r>
        <w:rPr>
          <w:color w:val="1F2937"/>
          <w:sz w:val="22"/>
          <w:szCs w:val="22"/>
        </w:rPr>
        <w:t xml:space="preserve">All third-party portals execute within restricted sandboxed WebViews, enforcing strict content security policies (CSP) and preventing credential caching.</w:t>
      </w:r>
    </w:p>
    <w:p>
      <w:pPr>
        <w:pStyle w:val="Heading1"/>
        <w:spacing w:before="360" w:after="160"/>
      </w:pPr>
      <w:r>
        <w:br w:type="page"/>
      </w:r>
      <w:r>
        <w:rPr>
          <w:b/>
          <w:color w:val="0A3871"/>
          <w:sz w:val="34"/>
          <w:szCs w:val="34"/>
        </w:rPr>
        <w:t>11. Bank Services</w:t>
      </w:r>
    </w:p>
    <w:p>
      <w:pPr>
        <w:jc w:val="left"/>
        <w:spacing w:before="0" w:after="120" w:line="260" w:lineRule="auto"/>
      </w:pPr>
      <w:r>
        <w:rPr>
          <w:color w:val="1F2937"/>
          <w:sz w:val="22"/>
          <w:szCs w:val="22"/>
        </w:rPr>
        <w:t xml:space="preserve">The Bank Services module provides direct access to institutional services including Branch and ATM Network Locators (with GPS routing and real-time operational status), Schedule of Charges (SOC), Daily Foreign Exchange Rate sheets, and direct links to Citizens Bank customer service desks and regulatory disclosures.</w:t>
      </w:r>
    </w:p>
    <w:p>
      <w:pPr>
        <w:pStyle w:val="Heading1"/>
        <w:spacing w:before="360" w:after="160"/>
      </w:pPr>
      <w:r>
        <w:br w:type="page"/>
      </w:r>
      <w:r>
        <w:rPr>
          <w:b/>
          <w:color w:val="0A3871"/>
          <w:sz w:val="34"/>
          <w:szCs w:val="34"/>
        </w:rPr>
        <w:t>12. Bangla QR - Payment</w:t>
      </w:r>
    </w:p>
    <w:p>
      <w:pPr>
        <w:jc w:val="left"/>
        <w:spacing w:before="0" w:after="120" w:line="260" w:lineRule="auto"/>
      </w:pPr>
      <w:r>
        <w:rPr>
          <w:color w:val="1F2937"/>
          <w:sz w:val="22"/>
          <w:szCs w:val="22"/>
        </w:rPr>
        <w:t xml:space="preserve">The system fully implements the Bangladesh Bank National Interoperable QR standard ('Bangla QR') for merchant retail payments and institutional collections.</w:t>
      </w:r>
    </w:p>
    <w:p>
      <w:pPr>
        <w:ind w:left="480" w:hanging="240"/>
        <w:spacing w:before="40" w:after="80" w:line="240" w:lineRule="auto"/>
      </w:pPr>
      <w:r>
        <w:rPr>
          <w:b/>
          <w:color w:val="0A3871"/>
          <w:sz w:val="22"/>
          <w:szCs w:val="22"/>
        </w:rPr>
        <w:t xml:space="preserve">•  Camera Scanner &amp; EMVCo Parsing: </w:t>
      </w:r>
      <w:r>
        <w:rPr>
          <w:color w:val="1F2937"/>
          <w:sz w:val="22"/>
          <w:szCs w:val="22"/>
        </w:rPr>
        <w:t xml:space="preserve">The mobile application integrates an ultra-fast camera scanner capable of parsing EMVCo-compliant Bangla QR codes generated by any acquiring bank, MFS provider, or payment gateway.</w:t>
      </w:r>
    </w:p>
    <w:p>
      <w:pPr>
        <w:ind w:left="480" w:hanging="240"/>
        <w:spacing w:before="40" w:after="80" w:line="240" w:lineRule="auto"/>
      </w:pPr>
      <w:r>
        <w:rPr>
          <w:b/>
          <w:color w:val="0A3871"/>
          <w:sz w:val="22"/>
          <w:szCs w:val="22"/>
        </w:rPr>
        <w:t xml:space="preserve">•  Merchant Verification: </w:t>
      </w:r>
      <w:r>
        <w:rPr>
          <w:color w:val="1F2937"/>
          <w:sz w:val="22"/>
          <w:szCs w:val="22"/>
        </w:rPr>
        <w:t xml:space="preserve">Upon scanning, the interface decodes and displays the Verified Merchant Title, Terminal ID, Merchant Category Code (MCC), and invoice reference.</w:t>
      </w:r>
    </w:p>
    <w:p>
      <w:pPr>
        <w:ind w:left="480" w:hanging="240"/>
        <w:spacing w:before="40" w:after="80" w:line="240" w:lineRule="auto"/>
      </w:pPr>
      <w:r>
        <w:rPr>
          <w:b/>
          <w:color w:val="0A3871"/>
          <w:sz w:val="22"/>
          <w:szCs w:val="22"/>
        </w:rPr>
        <w:t xml:space="preserve">•  Payment Authorization: </w:t>
      </w:r>
      <w:r>
        <w:rPr>
          <w:color w:val="1F2937"/>
          <w:sz w:val="22"/>
          <w:szCs w:val="22"/>
        </w:rPr>
        <w:t xml:space="preserve">The customer selects the funding account/card, inputs the amount (or confirms pre-populated invoice amount), and authorizes via T-PIN and 2FA OTP.</w:t>
      </w:r>
    </w:p>
    <w:p>
      <w:pPr>
        <w:ind w:left="480" w:hanging="240"/>
        <w:spacing w:before="40" w:after="80" w:line="240" w:lineRule="auto"/>
      </w:pPr>
      <w:r>
        <w:rPr>
          <w:b/>
          <w:color w:val="0A3871"/>
          <w:sz w:val="22"/>
          <w:szCs w:val="22"/>
        </w:rPr>
        <w:t xml:space="preserve">•  Settlement &amp; Receipting: </w:t>
      </w:r>
      <w:r>
        <w:rPr>
          <w:color w:val="1F2937"/>
          <w:sz w:val="22"/>
          <w:szCs w:val="22"/>
        </w:rPr>
        <w:t xml:space="preserve">Generates instant digital receipts with downloadable transaction vouchers and immediate SMS notification to both customer and merchant.</w:t>
      </w:r>
    </w:p>
    <w:p>
      <w:pPr>
        <w:pStyle w:val="Heading1"/>
        <w:spacing w:before="360" w:after="160"/>
      </w:pPr>
      <w:r>
        <w:br w:type="page"/>
      </w:r>
      <w:r>
        <w:rPr>
          <w:b/>
          <w:color w:val="0A3871"/>
          <w:sz w:val="34"/>
          <w:szCs w:val="34"/>
        </w:rPr>
        <w:t>14. Intra Bank Transfer with QR Code</w:t>
      </w:r>
    </w:p>
    <w:p>
      <w:pPr>
        <w:jc w:val="left"/>
        <w:spacing w:before="0" w:after="120" w:line="260" w:lineRule="auto"/>
      </w:pPr>
      <w:r>
        <w:rPr>
          <w:color w:val="1F2937"/>
          <w:sz w:val="22"/>
          <w:szCs w:val="22"/>
        </w:rPr>
        <w:t xml:space="preserve">The Intra Bank QR module enables peer-to-peer and corporate collections within Citizens Bank PLC using dynamic, encrypted QR codes.</w:t>
      </w:r>
    </w:p>
    <w:p>
      <w:pPr>
        <w:ind w:left="480" w:hanging="240"/>
        <w:spacing w:before="40" w:after="80" w:line="240" w:lineRule="auto"/>
      </w:pPr>
      <w:r>
        <w:rPr>
          <w:b/>
          <w:color w:val="0A3871"/>
          <w:sz w:val="22"/>
          <w:szCs w:val="22"/>
        </w:rPr>
        <w:t xml:space="preserve">•  Dynamic QR Generation: </w:t>
      </w:r>
      <w:r>
        <w:rPr>
          <w:color w:val="1F2937"/>
          <w:sz w:val="22"/>
          <w:szCs w:val="22"/>
        </w:rPr>
        <w:t xml:space="preserve">Users can generate a personal or corporate account QR code directly within the app, embedding the 13-digit account number, verified account title, and an optional requested payment amount.</w:t>
      </w:r>
    </w:p>
    <w:p>
      <w:pPr>
        <w:ind w:left="480" w:hanging="240"/>
        <w:spacing w:before="40" w:after="80" w:line="240" w:lineRule="auto"/>
      </w:pPr>
      <w:r>
        <w:rPr>
          <w:b/>
          <w:color w:val="0A3871"/>
          <w:sz w:val="22"/>
          <w:szCs w:val="22"/>
        </w:rPr>
        <w:t xml:space="preserve">•  Instant P2P Scanning &amp; Execution: </w:t>
      </w:r>
      <w:r>
        <w:rPr>
          <w:color w:val="1F2937"/>
          <w:sz w:val="22"/>
          <w:szCs w:val="22"/>
        </w:rPr>
        <w:t xml:space="preserve">Payers scan the recipient's QR code using the application camera. The system auto-populates destination details, performs an instant CBS title match, and executes the intra-bank transfer with zero manual account typing.</w:t>
      </w:r>
    </w:p>
    <w:p>
      <w:pPr>
        <w:ind w:left="480" w:hanging="240"/>
        <w:spacing w:before="40" w:after="80" w:line="240" w:lineRule="auto"/>
      </w:pPr>
      <w:r>
        <w:rPr>
          <w:b/>
          <w:color w:val="0A3871"/>
          <w:sz w:val="22"/>
          <w:szCs w:val="22"/>
        </w:rPr>
        <w:t xml:space="preserve">•  Operational Use Cases: </w:t>
      </w:r>
      <w:r>
        <w:rPr>
          <w:color w:val="1F2937"/>
          <w:sz w:val="22"/>
          <w:szCs w:val="22"/>
        </w:rPr>
        <w:t xml:space="preserve">Ideal for retail peer transfers, corporate vendor desk payments, and instant invoice settlements.</w:t>
      </w:r>
    </w:p>
    <w:p>
      <w:pPr>
        <w:pStyle w:val="Heading1"/>
        <w:spacing w:before="360" w:after="160"/>
      </w:pPr>
      <w:r>
        <w:br w:type="page"/>
      </w:r>
      <w:r>
        <w:rPr>
          <w:b/>
          <w:color w:val="0A3871"/>
          <w:sz w:val="34"/>
          <w:szCs w:val="34"/>
        </w:rPr>
        <w:t>15. Enable customers to set a preferred alias User ID during the self-registration process</w:t>
      </w:r>
    </w:p>
    <w:p>
      <w:pPr>
        <w:jc w:val="left"/>
        <w:spacing w:before="0" w:after="120" w:line="260" w:lineRule="auto"/>
      </w:pPr>
      <w:r>
        <w:rPr>
          <w:color w:val="1F2937"/>
          <w:sz w:val="22"/>
          <w:szCs w:val="22"/>
        </w:rPr>
        <w:t xml:space="preserve">To replace difficult-to-memorize system-generated customer identification numbers (CIFs), the self-registration workflow allows customers to define a customized, human-readable Alias User ID (e.g., 'foysal.corporate' or 'ttml2023').</w:t>
      </w:r>
    </w:p>
    <w:p>
      <w:pPr>
        <w:ind w:left="480" w:hanging="240"/>
        <w:spacing w:before="40" w:after="80" w:line="240" w:lineRule="auto"/>
      </w:pPr>
      <w:r>
        <w:rPr>
          <w:b/>
          <w:color w:val="0A3871"/>
          <w:sz w:val="22"/>
          <w:szCs w:val="22"/>
        </w:rPr>
        <w:t xml:space="preserve">•  Real-time Availability Check: </w:t>
      </w:r>
      <w:r>
        <w:rPr>
          <w:color w:val="1F2937"/>
          <w:sz w:val="22"/>
          <w:szCs w:val="22"/>
        </w:rPr>
        <w:t xml:space="preserve">The registration form provides an asynchronous lookup checking alias availability across the entire database in real-time.</w:t>
      </w:r>
    </w:p>
    <w:p>
      <w:pPr>
        <w:ind w:left="480" w:hanging="240"/>
        <w:spacing w:before="40" w:after="80" w:line="240" w:lineRule="auto"/>
      </w:pPr>
      <w:r>
        <w:rPr>
          <w:b/>
          <w:color w:val="0A3871"/>
          <w:sz w:val="22"/>
          <w:szCs w:val="22"/>
        </w:rPr>
        <w:t xml:space="preserve">•  Syntax &amp; Complexity Policy: </w:t>
      </w:r>
      <w:r>
        <w:rPr>
          <w:color w:val="1F2937"/>
          <w:sz w:val="22"/>
          <w:szCs w:val="22"/>
        </w:rPr>
        <w:t xml:space="preserve">Must be between 6 and 20 alphanumeric characters, permitting select safe special characters (. and _), while prohibiting offensive strings and system keywords.</w:t>
      </w:r>
    </w:p>
    <w:p>
      <w:pPr>
        <w:ind w:left="480" w:hanging="240"/>
        <w:spacing w:before="40" w:after="80" w:line="240" w:lineRule="auto"/>
      </w:pPr>
      <w:r>
        <w:rPr>
          <w:b/>
          <w:color w:val="0A3871"/>
          <w:sz w:val="22"/>
          <w:szCs w:val="22"/>
        </w:rPr>
        <w:t xml:space="preserve">•  Profile Binding: </w:t>
      </w:r>
      <w:r>
        <w:rPr>
          <w:color w:val="1F2937"/>
          <w:sz w:val="22"/>
          <w:szCs w:val="22"/>
        </w:rPr>
        <w:t xml:space="preserve">Once finalized and verified via dual OTP, the alias is permanently bound to the customer profile as the primary login credential.</w:t>
      </w:r>
    </w:p>
    <w:p>
      <w:pPr>
        <w:pStyle w:val="Heading1"/>
        <w:spacing w:before="360" w:after="160"/>
      </w:pPr>
      <w:r>
        <w:br w:type="page"/>
      </w:r>
      <w:r>
        <w:rPr>
          <w:b/>
          <w:color w:val="0A3871"/>
          <w:sz w:val="34"/>
          <w:szCs w:val="34"/>
        </w:rPr>
        <w:t>16. Login Options with Biometric (Android) and Face Verifications (iOS)</w:t>
      </w:r>
    </w:p>
    <w:p>
      <w:pPr>
        <w:jc w:val="left"/>
        <w:spacing w:before="0" w:after="120" w:line="260" w:lineRule="auto"/>
      </w:pPr>
      <w:r>
        <w:rPr>
          <w:color w:val="1F2937"/>
          <w:sz w:val="22"/>
          <w:szCs w:val="22"/>
        </w:rPr>
        <w:t xml:space="preserve">The mobile platform provides seamless biometric authentication leveraging native platform security frameworks: Fingerprint / BiometricPrompt on Android and Face ID / Touch ID via LocalAuthentication on iOS.</w:t>
      </w:r>
    </w:p>
    <w:p>
      <w:pPr>
        <w:ind w:left="480" w:hanging="240"/>
        <w:spacing w:before="40" w:after="80" w:line="240" w:lineRule="auto"/>
      </w:pPr>
      <w:r>
        <w:rPr>
          <w:b/>
          <w:color w:val="0A3871"/>
          <w:sz w:val="22"/>
          <w:szCs w:val="22"/>
        </w:rPr>
        <w:t xml:space="preserve">•  Hardware Keystore Storage: </w:t>
      </w:r>
      <w:r>
        <w:rPr>
          <w:color w:val="1F2937"/>
          <w:sz w:val="22"/>
          <w:szCs w:val="22"/>
        </w:rPr>
        <w:t xml:space="preserve">Biometric keys are stored strictly inside the device hardware Secure Enclave / Trusted Execution Environment (TEE); biometric data is never transmitted to bank servers.</w:t>
      </w:r>
    </w:p>
    <w:p>
      <w:pPr>
        <w:ind w:left="480" w:hanging="240"/>
        <w:spacing w:before="40" w:after="80" w:line="240" w:lineRule="auto"/>
      </w:pPr>
      <w:r>
        <w:rPr>
          <w:b/>
          <w:color w:val="0A3871"/>
          <w:sz w:val="22"/>
          <w:szCs w:val="22"/>
        </w:rPr>
        <w:t xml:space="preserve">•  Fallback Architecture: </w:t>
      </w:r>
      <w:r>
        <w:rPr>
          <w:color w:val="1F2937"/>
          <w:sz w:val="22"/>
          <w:szCs w:val="22"/>
        </w:rPr>
        <w:t xml:space="preserve">Biometrics can be toggled on/off in Security Settings. Primary password fallback is mandatory upon device reboot, app reinstall, or after three consecutive biometric failures.</w:t>
      </w:r>
    </w:p>
    <w:p>
      <w:pPr>
        <w:ind w:left="480" w:hanging="240"/>
        <w:spacing w:before="40" w:after="80" w:line="240" w:lineRule="auto"/>
      </w:pPr>
      <w:r>
        <w:rPr>
          <w:b/>
          <w:color w:val="0A3871"/>
          <w:sz w:val="22"/>
          <w:szCs w:val="22"/>
        </w:rPr>
        <w:t xml:space="preserve">•  Granular Authorization Scope: </w:t>
      </w:r>
      <w:r>
        <w:rPr>
          <w:color w:val="1F2937"/>
          <w:sz w:val="22"/>
          <w:szCs w:val="22"/>
        </w:rPr>
        <w:t xml:space="preserve">Biometric authentication can be independently configured for Application Login and/or Low-Risk Transaction Authorization.</w:t>
      </w:r>
    </w:p>
    <w:p>
      <w:pPr>
        <w:pStyle w:val="Heading1"/>
        <w:spacing w:before="360" w:after="160"/>
      </w:pPr>
      <w:r>
        <w:br w:type="page"/>
      </w:r>
      <w:r>
        <w:rPr>
          <w:b/>
          <w:color w:val="0A3871"/>
          <w:sz w:val="34"/>
          <w:szCs w:val="34"/>
        </w:rPr>
        <w:t>17. Send Temporary User ID and Temporary Password to customer using standard secure process</w:t>
      </w:r>
    </w:p>
    <w:p>
      <w:pPr>
        <w:jc w:val="left"/>
        <w:spacing w:before="0" w:after="120" w:line="260" w:lineRule="auto"/>
      </w:pPr>
      <w:r>
        <w:rPr>
          <w:color w:val="1F2937"/>
          <w:sz w:val="22"/>
          <w:szCs w:val="22"/>
        </w:rPr>
        <w:t xml:space="preserve">Upon successful branch onboarding or corporate domain provisioning, temporary credentials are electronically dispatched via separate, secure transmission channels in strict compliance with ICT security governance.</w:t>
      </w:r>
    </w:p>
    <w:p>
      <w:pPr>
        <w:ind w:left="480" w:hanging="240"/>
        <w:spacing w:before="40" w:after="80" w:line="240" w:lineRule="auto"/>
      </w:pPr>
      <w:r>
        <w:rPr>
          <w:b/>
          <w:color w:val="0A3871"/>
          <w:sz w:val="22"/>
          <w:szCs w:val="22"/>
        </w:rPr>
        <w:t xml:space="preserve">•  Channel Segregation (User ID): </w:t>
      </w:r>
      <w:r>
        <w:rPr>
          <w:color w:val="1F2937"/>
          <w:sz w:val="22"/>
          <w:szCs w:val="22"/>
        </w:rPr>
        <w:t xml:space="preserve">The temporary User ID is transmitted via official SMS to the customer's registered mobile number.</w:t>
      </w:r>
    </w:p>
    <w:p>
      <w:pPr>
        <w:ind w:left="480" w:hanging="240"/>
        <w:spacing w:before="40" w:after="80" w:line="240" w:lineRule="auto"/>
      </w:pPr>
      <w:r>
        <w:rPr>
          <w:b/>
          <w:color w:val="0A3871"/>
          <w:sz w:val="22"/>
          <w:szCs w:val="22"/>
        </w:rPr>
        <w:t xml:space="preserve">•  Channel Segregation (Password): </w:t>
      </w:r>
      <w:r>
        <w:rPr>
          <w:color w:val="1F2937"/>
          <w:sz w:val="22"/>
          <w:szCs w:val="22"/>
        </w:rPr>
        <w:t xml:space="preserve">The cryptographically generated temporary password is dispatched separately to the registered email address with a 24-hour expiration window.</w:t>
      </w:r>
    </w:p>
    <w:p>
      <w:pPr>
        <w:ind w:left="480" w:hanging="240"/>
        <w:spacing w:before="40" w:after="80" w:line="240" w:lineRule="auto"/>
      </w:pPr>
      <w:r>
        <w:rPr>
          <w:b/>
          <w:color w:val="0A3871"/>
          <w:sz w:val="22"/>
          <w:szCs w:val="22"/>
        </w:rPr>
        <w:t xml:space="preserve">•  Mandatory Initial Password Change: </w:t>
      </w:r>
      <w:r>
        <w:rPr>
          <w:color w:val="1F2937"/>
          <w:sz w:val="22"/>
          <w:szCs w:val="22"/>
        </w:rPr>
        <w:t xml:space="preserve">First login using temporary credentials forces an immediate redirect to the Mandatory Password Change screen (/account/changepassword), requiring a permanent 12+ character high-entropy password.</w:t>
      </w:r>
    </w:p>
    <w:p>
      <w:pPr>
        <w:pStyle w:val="Heading1"/>
        <w:spacing w:before="360" w:after="160"/>
      </w:pPr>
      <w:r>
        <w:br w:type="page"/>
      </w:r>
      <w:r>
        <w:rPr>
          <w:b/>
          <w:color w:val="0A3871"/>
          <w:sz w:val="34"/>
          <w:szCs w:val="34"/>
        </w:rPr>
        <w:t>18. Account details view will be enhanced</w:t>
      </w:r>
    </w:p>
    <w:p>
      <w:pPr>
        <w:jc w:val="left"/>
        <w:spacing w:before="0" w:after="120" w:line="260" w:lineRule="auto"/>
      </w:pPr>
      <w:r>
        <w:rPr>
          <w:color w:val="1F2937"/>
          <w:sz w:val="22"/>
          <w:szCs w:val="22"/>
        </w:rPr>
        <w:t xml:space="preserve">The Enhanced Account Details console (/account/account-details) provides granular financial metrics for operational reconciliation: 13-digit Core Banking Account Number, 16-digit Card Numbers (with PCI-DSS masking), Account Status (Active, Dormant, Blocked), Available Balance, Ledger Balance, Accrued Interest, Lien/Collateral Amount, Branch Name, and 9-digit Central Bank Routing Code. Corporate accounts include assigned limit matrices and signatory powers.</w:t>
      </w:r>
    </w:p>
    <w:p>
      <w:pPr>
        <w:pStyle w:val="Heading1"/>
        <w:spacing w:before="360" w:after="160"/>
      </w:pPr>
      <w:r>
        <w:br w:type="page"/>
      </w:r>
      <w:r>
        <w:rPr>
          <w:b/>
          <w:color w:val="0A3871"/>
          <w:sz w:val="34"/>
          <w:szCs w:val="34"/>
        </w:rPr>
        <w:t>19. Account details can be shared easily right from the home screen</w:t>
      </w:r>
    </w:p>
    <w:p>
      <w:pPr>
        <w:jc w:val="left"/>
        <w:spacing w:before="0" w:after="120" w:line="260" w:lineRule="auto"/>
      </w:pPr>
      <w:r>
        <w:rPr>
          <w:color w:val="1F2937"/>
          <w:sz w:val="22"/>
          <w:szCs w:val="22"/>
        </w:rPr>
        <w:t xml:space="preserve">To streamline inbound remittances and domestic wire transfers, the platform provides a dedicated 'Share Account Details' action directly accessible from account cards on the dashboard. Generates a standardized text block containing Account Holder Name, 13-digit Account Number, Bank Name, Branch Name, and 9-digit Routing Number, allowing one-tap copying or sharing via native OS share sheets (Email, WhatsApp, Messaging) with sensitive balance figures automatically stripped.</w:t>
      </w:r>
    </w:p>
    <w:p>
      <w:pPr>
        <w:pStyle w:val="Heading1"/>
        <w:spacing w:before="360" w:after="160"/>
      </w:pPr>
      <w:r>
        <w:br w:type="page"/>
      </w:r>
      <w:r>
        <w:rPr>
          <w:b/>
          <w:color w:val="0A3871"/>
          <w:sz w:val="34"/>
          <w:szCs w:val="34"/>
        </w:rPr>
        <w:t>20. Enable self-registration verification to include only Branch, Account Number, Mobile Number, and Email Address</w:t>
      </w:r>
    </w:p>
    <w:p>
      <w:pPr>
        <w:jc w:val="left"/>
        <w:spacing w:before="0" w:after="120" w:line="260" w:lineRule="auto"/>
      </w:pPr>
      <w:r>
        <w:rPr>
          <w:color w:val="1F2937"/>
          <w:sz w:val="22"/>
          <w:szCs w:val="22"/>
        </w:rPr>
        <w:t xml:space="preserve">The registration verification workflow eliminates cumbersome multi-field forms, requiring only four essential parameters: Branch Code, Account Number, Registered Mobile Number, and Email Address. The system validates these inputs against the Core Banking customer master record, verifying active status and generating dual OTP challenges without requiring physical branch attendance.</w:t>
      </w:r>
    </w:p>
    <w:p>
      <w:pPr>
        <w:pStyle w:val="Heading1"/>
        <w:spacing w:before="360" w:after="160"/>
      </w:pPr>
      <w:r>
        <w:br w:type="page"/>
      </w:r>
      <w:r>
        <w:rPr>
          <w:b/>
          <w:color w:val="0A3871"/>
          <w:sz w:val="34"/>
          <w:szCs w:val="34"/>
        </w:rPr>
        <w:t>21. Facilitate to capture customer picture during initial registration process and can verify during device change</w:t>
      </w:r>
    </w:p>
    <w:p>
      <w:pPr>
        <w:jc w:val="left"/>
        <w:spacing w:before="0" w:after="120" w:line="260" w:lineRule="auto"/>
      </w:pPr>
      <w:r>
        <w:rPr>
          <w:color w:val="1F2937"/>
          <w:sz w:val="22"/>
          <w:szCs w:val="22"/>
        </w:rPr>
        <w:t xml:space="preserve">The digital onboarding engine incorporates active camera liveness detection (blink, head tilt, smile detection) to capture a high-resolution facial profile during initial registration. The image is cryptographically hashed and verified against the National Identity (NID) database. During subsequent device change requests or high-risk password resets, the system re-captures the user's face and performs biometric template matching, preventing account takeover even if SIM cards are compromised.</w:t>
      </w:r>
    </w:p>
    <w:p>
      <w:pPr>
        <w:pStyle w:val="Heading1"/>
        <w:spacing w:before="360" w:after="160"/>
      </w:pPr>
      <w:r>
        <w:br w:type="page"/>
      </w:r>
      <w:r>
        <w:rPr>
          <w:b/>
          <w:color w:val="0A3871"/>
          <w:sz w:val="34"/>
          <w:szCs w:val="34"/>
        </w:rPr>
        <w:t>22. Modify the registration process - Ensure dual verification (SMS and Email) for registration request validation</w:t>
      </w:r>
    </w:p>
    <w:p>
      <w:pPr>
        <w:jc w:val="left"/>
        <w:spacing w:before="0" w:after="120" w:line="260" w:lineRule="auto"/>
      </w:pPr>
      <w:r>
        <w:rPr>
          <w:color w:val="1F2937"/>
          <w:sz w:val="22"/>
          <w:szCs w:val="22"/>
        </w:rPr>
        <w:t xml:space="preserve">The registration validation sequence mandates simultaneous dual-factor verification. Upon data validation, the system generates two distinct cryptographic OTP tokens: a 6-digit numeric token dispatched via cellular SMS and a 6-digit alphanumeric token dispatched via registered email. The customer must enter both valid tokens within the synchronized 120-second countdown window to complete registration.</w:t>
      </w:r>
    </w:p>
    <w:p>
      <w:pPr>
        <w:pStyle w:val="Heading1"/>
        <w:spacing w:before="360" w:after="160"/>
      </w:pPr>
      <w:r>
        <w:br w:type="page"/>
      </w:r>
      <w:r>
        <w:rPr>
          <w:b/>
          <w:color w:val="0A3871"/>
          <w:sz w:val="34"/>
          <w:szCs w:val="34"/>
        </w:rPr>
        <w:t>23. Account details can be shared easily right from the home screen</w:t>
      </w:r>
    </w:p>
    <w:p>
      <w:pPr>
        <w:jc w:val="left"/>
        <w:spacing w:before="0" w:after="120" w:line="260" w:lineRule="auto"/>
      </w:pPr>
      <w:r>
        <w:rPr>
          <w:color w:val="1F2937"/>
          <w:sz w:val="22"/>
          <w:szCs w:val="22"/>
        </w:rPr>
        <w:t xml:space="preserve">This feature reinforces seamless account detail dissemination by providing quick-action sharing shortcuts directly on the primary dashboard interface. Users can copy IBAN/routing credentials to clipboard or export a branded PDF account credential voucher for commercial suppliers with a single tap.</w:t>
      </w:r>
    </w:p>
    <w:p>
      <w:pPr>
        <w:pStyle w:val="Heading1"/>
        <w:spacing w:before="360" w:after="160"/>
      </w:pPr>
      <w:r>
        <w:br w:type="page"/>
      </w:r>
      <w:r>
        <w:rPr>
          <w:b/>
          <w:color w:val="0A3871"/>
          <w:sz w:val="34"/>
          <w:szCs w:val="34"/>
        </w:rPr>
        <w:t>24. Remodeled Beneficiary management with edit facility</w:t>
      </w:r>
    </w:p>
    <w:p>
      <w:pPr>
        <w:jc w:val="left"/>
        <w:spacing w:before="0" w:after="120" w:line="260" w:lineRule="auto"/>
      </w:pPr>
      <w:r>
        <w:rPr>
          <w:color w:val="1F2937"/>
          <w:sz w:val="22"/>
          <w:szCs w:val="22"/>
        </w:rPr>
        <w:t xml:space="preserve">The remodeled Beneficiary Management hub (/beneficiary/beneficiary) provides complete lifecycle control over saved recipients while enforcing regulatory immutability rules. Customers can edit user-friendly Nicknames, update notification preferences, and toggle Favorite status. Core routing identifiers (Account Number, Bank, Branch, Routing Number, Wallet Number) remain permanently locked; modifying routing numbers requires deleting and re-enrolling the payee with full OTP authorization.</w:t>
      </w:r>
    </w:p>
    <w:p>
      <w:pPr>
        <w:pStyle w:val="Heading1"/>
        <w:spacing w:before="360" w:after="160"/>
      </w:pPr>
      <w:r>
        <w:br w:type="page"/>
      </w:r>
      <w:r>
        <w:rPr>
          <w:b/>
          <w:color w:val="0A3871"/>
          <w:sz w:val="34"/>
          <w:szCs w:val="34"/>
        </w:rPr>
        <w:t>25. Dynamic alerts at beginning will be added to notify users after opening the app</w:t>
      </w:r>
    </w:p>
    <w:p>
      <w:pPr>
        <w:jc w:val="left"/>
        <w:spacing w:before="0" w:after="120" w:line="260" w:lineRule="auto"/>
      </w:pPr>
      <w:r>
        <w:rPr>
          <w:color w:val="1F2937"/>
          <w:sz w:val="22"/>
          <w:szCs w:val="22"/>
        </w:rPr>
        <w:t xml:space="preserve">The platform incorporates an administrative broadcast alert engine displaying modal or floating notification banners immediately upon application launch. Used for broadcasting central bank clearing window modifications, scheduled CBS maintenance downtime, security advisories, and holiday operating notices. Alerts support rich HTML text and require explicit acknowledgment.</w:t>
      </w:r>
    </w:p>
    <w:p>
      <w:pPr>
        <w:pStyle w:val="Heading1"/>
        <w:spacing w:before="360" w:after="160"/>
      </w:pPr>
      <w:r>
        <w:br w:type="page"/>
      </w:r>
      <w:r>
        <w:rPr>
          <w:b/>
          <w:color w:val="0A3871"/>
          <w:sz w:val="34"/>
          <w:szCs w:val="34"/>
        </w:rPr>
        <w:t>26. Space added to home page for promotional slider to showcase latest products or offers</w:t>
      </w:r>
    </w:p>
    <w:p>
      <w:pPr>
        <w:jc w:val="left"/>
        <w:spacing w:before="0" w:after="120" w:line="260" w:lineRule="auto"/>
      </w:pPr>
      <w:r>
        <w:rPr>
          <w:color w:val="1F2937"/>
          <w:sz w:val="22"/>
          <w:szCs w:val="22"/>
        </w:rPr>
        <w:t xml:space="preserve">The dashboard interface allocates a prominent, responsive promotional banner slider. Administrators configure banner graphics, headline text, display priority, and deep-link destination routes (e.g., directing users directly to FDR creation, credit card applications, or corporate trade services). Supports segmented targeting for retail vs. corporate user profiles.</w:t>
      </w:r>
    </w:p>
    <w:p>
      <w:pPr>
        <w:pStyle w:val="Heading1"/>
        <w:spacing w:before="360" w:after="160"/>
      </w:pPr>
      <w:r>
        <w:br w:type="page"/>
      </w:r>
      <w:r>
        <w:rPr>
          <w:b/>
          <w:color w:val="0A3871"/>
          <w:sz w:val="34"/>
          <w:szCs w:val="34"/>
        </w:rPr>
        <w:t>27. Enhancement of FDR account management including: (a) Auto-renewal option (Yes/No), (b) Renewal preference based on principal amount or maturity amount, (c) Display of FDR interest rate, maturity date and maturity amount</w:t>
      </w:r>
    </w:p>
    <w:p>
      <w:pPr>
        <w:jc w:val="left"/>
        <w:spacing w:before="0" w:after="120" w:line="260" w:lineRule="auto"/>
      </w:pPr>
      <w:r>
        <w:rPr>
          <w:color w:val="1F2937"/>
          <w:sz w:val="22"/>
          <w:szCs w:val="22"/>
        </w:rPr>
        <w:t xml:space="preserve">The Fixed Deposit Receipt (FDR) lifecycle management module incorporates comprehensive self-service deposit controls:</w:t>
      </w:r>
    </w:p>
    <w:p>
      <w:pPr>
        <w:ind w:left="480" w:hanging="240"/>
        <w:spacing w:before="40" w:after="80" w:line="240" w:lineRule="auto"/>
      </w:pPr>
      <w:r>
        <w:rPr>
          <w:b/>
          <w:color w:val="0A3871"/>
          <w:sz w:val="22"/>
          <w:szCs w:val="22"/>
        </w:rPr>
        <w:t xml:space="preserve">•  Auto-Renewal Toggle: </w:t>
      </w:r>
      <w:r>
        <w:rPr>
          <w:color w:val="1F2937"/>
          <w:sz w:val="22"/>
          <w:szCs w:val="22"/>
        </w:rPr>
        <w:t xml:space="preserve">Users can configure or modify the Auto-Renewal flag (Yes / No) at any point prior to maturity.</w:t>
      </w:r>
    </w:p>
    <w:p>
      <w:pPr>
        <w:ind w:left="480" w:hanging="240"/>
        <w:spacing w:before="40" w:after="80" w:line="240" w:lineRule="auto"/>
      </w:pPr>
      <w:r>
        <w:rPr>
          <w:b/>
          <w:color w:val="0A3871"/>
          <w:sz w:val="22"/>
          <w:szCs w:val="22"/>
        </w:rPr>
        <w:t xml:space="preserve">•  Renewal Preference: </w:t>
      </w:r>
      <w:r>
        <w:rPr>
          <w:color w:val="1F2937"/>
          <w:sz w:val="22"/>
          <w:szCs w:val="22"/>
        </w:rPr>
        <w:t xml:space="preserve">Configurable renewal options: Renew Principal Only (accrued interest credited to CASA account) or Renew Principal + Interest (cumulative compound maturity).</w:t>
      </w:r>
    </w:p>
    <w:p>
      <w:pPr>
        <w:ind w:left="480" w:hanging="240"/>
        <w:spacing w:before="40" w:after="80" w:line="240" w:lineRule="auto"/>
      </w:pPr>
      <w:r>
        <w:rPr>
          <w:b/>
          <w:color w:val="0A3871"/>
          <w:sz w:val="22"/>
          <w:szCs w:val="22"/>
        </w:rPr>
        <w:t xml:space="preserve">•  Financial Metric Transparency: </w:t>
      </w:r>
      <w:r>
        <w:rPr>
          <w:color w:val="1F2937"/>
          <w:sz w:val="22"/>
          <w:szCs w:val="22"/>
        </w:rPr>
        <w:t xml:space="preserve">Real-time rendering of Contracted Interest Rate, Deposit Value Date, Maturity Date, Accrued Interest to Date, and Projected Net Maturity Amount (post-tax deduction).</w:t>
      </w:r>
    </w:p>
    <w:p>
      <w:pPr>
        <w:ind w:left="480" w:hanging="240"/>
        <w:spacing w:before="40" w:after="80" w:line="240" w:lineRule="auto"/>
      </w:pPr>
      <w:r>
        <w:rPr>
          <w:b/>
          <w:color w:val="0A3871"/>
          <w:sz w:val="22"/>
          <w:szCs w:val="22"/>
        </w:rPr>
        <w:t xml:space="preserve">•  Certificate Download: </w:t>
      </w:r>
      <w:r>
        <w:rPr>
          <w:color w:val="1F2937"/>
          <w:sz w:val="22"/>
          <w:szCs w:val="22"/>
        </w:rPr>
        <w:t xml:space="preserve">One-tap digital download of official signed FDR opening advice certificates.</w:t>
      </w:r>
    </w:p>
    <w:p>
      <w:pPr>
        <w:pStyle w:val="Heading1"/>
        <w:spacing w:before="360" w:after="160"/>
      </w:pPr>
      <w:r>
        <w:br w:type="page"/>
      </w:r>
      <w:r>
        <w:rPr>
          <w:b/>
          <w:color w:val="0A3871"/>
          <w:sz w:val="34"/>
          <w:szCs w:val="34"/>
        </w:rPr>
        <w:t>28. Enable Account Statement Download option in PDF format</w:t>
      </w:r>
    </w:p>
    <w:p>
      <w:pPr>
        <w:jc w:val="left"/>
        <w:spacing w:before="0" w:after="120" w:line="260" w:lineRule="auto"/>
      </w:pPr>
      <w:r>
        <w:rPr>
          <w:color w:val="1F2937"/>
          <w:sz w:val="22"/>
          <w:szCs w:val="22"/>
        </w:rPr>
        <w:t xml:space="preserve">The Statement Inquiry module (/account/statement) enables instant generation and download of official high-resolution PDF statements. Statements are generated dynamically via the backend CloudNetReportAPI service, embedding the official Citizens Bank logo, branch details, customer CIF, opening/closing balances, and a verifiable digital signature hash. Supports preset date ranges (Today, 7 Days, 1 Month, 3 Months, Financial Year) or custom date filters.</w:t>
      </w:r>
    </w:p>
    <w:p>
      <w:pPr>
        <w:pStyle w:val="Heading1"/>
        <w:spacing w:before="360" w:after="160"/>
      </w:pPr>
      <w:r>
        <w:br w:type="page"/>
      </w:r>
      <w:r>
        <w:rPr>
          <w:b/>
          <w:color w:val="0A3871"/>
          <w:sz w:val="34"/>
          <w:szCs w:val="34"/>
        </w:rPr>
        <w:t>29. Allow users to download receipt after fund transfer</w:t>
      </w:r>
    </w:p>
    <w:p>
      <w:pPr>
        <w:jc w:val="left"/>
        <w:spacing w:before="0" w:after="120" w:line="260" w:lineRule="auto"/>
      </w:pPr>
      <w:r>
        <w:rPr>
          <w:color w:val="1F2937"/>
          <w:sz w:val="22"/>
          <w:szCs w:val="22"/>
        </w:rPr>
        <w:t xml:space="preserve">Upon completion of any financial movement (Own Bank, BEFTN, NPSB, RTGS, or MFS), the success screen features a prominent 'Download Receipt' action. The generated PDF voucher captures the CBS Transaction ID, Value Date, Sender Account, Recipient Title, Destination Bank/Branch, Clearing Rail, Amount in Figures and Words, and Execution Status, serving as verifiable proof for vendor and tax reconciliation.</w:t>
      </w:r>
    </w:p>
    <w:p>
      <w:pPr>
        <w:pStyle w:val="Heading1"/>
        <w:spacing w:before="360" w:after="160"/>
      </w:pPr>
      <w:r>
        <w:br w:type="page"/>
      </w:r>
      <w:r>
        <w:rPr>
          <w:b/>
          <w:color w:val="0A3871"/>
          <w:sz w:val="34"/>
          <w:szCs w:val="34"/>
        </w:rPr>
        <w:t>30. Allow customers to unlock and reset their passwords directly within the mobile app, without redirection to web platforms</w:t>
      </w:r>
    </w:p>
    <w:p>
      <w:pPr>
        <w:jc w:val="left"/>
        <w:spacing w:before="0" w:after="120" w:line="260" w:lineRule="auto"/>
      </w:pPr>
      <w:r>
        <w:rPr>
          <w:color w:val="1F2937"/>
          <w:sz w:val="22"/>
          <w:szCs w:val="22"/>
        </w:rPr>
        <w:t xml:space="preserve">Customers with locked accounts (resulting from excessive failed login attempts) or forgotten passwords can perform self-service account unlocking and password resets natively within the mobile application. The recovery sequence verifies Account Number and Registered Mobile Number, validates dual-channel SMS and Email OTPs, confirms facial liveness verification, and enforces the creation of a compliant new password without requiring web browser redirection or branch intervention.</w:t>
      </w:r>
    </w:p>
    <w:p>
      <w:pPr>
        <w:pStyle w:val="Heading1"/>
        <w:spacing w:before="360" w:after="160"/>
      </w:pPr>
      <w:r>
        <w:br w:type="page"/>
      </w:r>
      <w:r>
        <w:rPr>
          <w:b/>
          <w:color w:val="0A3871"/>
          <w:sz w:val="34"/>
          <w:szCs w:val="34"/>
        </w:rPr>
        <w:t>31. History will be remaining same as per new design (History of Transfer / Recharge / Payment)</w:t>
      </w:r>
    </w:p>
    <w:p>
      <w:pPr>
        <w:jc w:val="left"/>
        <w:spacing w:before="0" w:after="120" w:line="260" w:lineRule="auto"/>
      </w:pPr>
      <w:r>
        <w:rPr>
          <w:color w:val="1F2937"/>
          <w:sz w:val="22"/>
          <w:szCs w:val="22"/>
        </w:rPr>
        <w:t xml:space="preserve">The Transaction History console (/account/financial-transactions) maintains an intuitive, high-speed searchable audit grid. Transactions are classified across dedicated tabs: Fund Transfers (Own Bank, Other Bank), Mobile Recharges, Utility Bill Payments, and Corporate Batch Disbursements. Each row displays the Value Date, Channel, Recipient Account/Wallet, Reference Number, Debit/Credit indicator, and Status (Completed, In-Clearing, Failed, Reversed), complete with one-tap receipt re-downloading.</w:t>
      </w:r>
    </w:p>
    <w:p>
      <w:pPr>
        <w:pStyle w:val="Heading1"/>
        <w:spacing w:before="360" w:after="160"/>
      </w:pPr>
      <w:r>
        <w:br w:type="page"/>
      </w:r>
      <w:r>
        <w:rPr>
          <w:b/>
          <w:color w:val="0A3871"/>
          <w:sz w:val="34"/>
          <w:szCs w:val="34"/>
        </w:rPr>
        <w:t>32. Facilitate Users activity logs generation including device IMEI and IP address</w:t>
      </w:r>
    </w:p>
    <w:p>
      <w:pPr>
        <w:jc w:val="left"/>
        <w:spacing w:before="0" w:after="120" w:line="260" w:lineRule="auto"/>
      </w:pPr>
      <w:r>
        <w:rPr>
          <w:color w:val="1F2937"/>
          <w:sz w:val="22"/>
          <w:szCs w:val="22"/>
        </w:rPr>
        <w:t xml:space="preserve">The system maintains an immutable, tamper-resistant User Activity Log (/activity/useractivity) recording all user interactions across mobile and corporate web channels. Each log entry captures ISO 8601 Timestamp, User ID, Client Network IP Address (resolved dynamically via the UserIPUrl service), Hardware Device IMEI / Browser User-Agent, Action Category (Login, Transfer Initiated, Batch Uploaded, Checker Approved), and Outcome (SUCCESS, FAILED, REVOKED).</w:t>
      </w:r>
    </w:p>
    <w:p>
      <w:pPr>
        <w:pStyle w:val="Heading1"/>
        <w:spacing w:before="360" w:after="160"/>
      </w:pPr>
      <w:r>
        <w:br w:type="page"/>
      </w:r>
      <w:r>
        <w:rPr>
          <w:b/>
          <w:color w:val="0A3871"/>
          <w:sz w:val="34"/>
          <w:szCs w:val="34"/>
        </w:rPr>
        <w:t>33. No separate User ID for Joint Accounts. Individual customers can view only. Admin can enable transactional services to one or more individual customers</w:t>
      </w:r>
    </w:p>
    <w:p>
      <w:pPr>
        <w:jc w:val="left"/>
        <w:spacing w:before="0" w:after="120" w:line="260" w:lineRule="auto"/>
      </w:pPr>
      <w:r>
        <w:rPr>
          <w:color w:val="1F2937"/>
          <w:sz w:val="22"/>
          <w:szCs w:val="22"/>
        </w:rPr>
        <w:t xml:space="preserve">The platform modernizes Joint Account digital management by mapping joint accounts directly to the individual digital banking profiles of each co-signatory, eliminating the need for awkward shared Joint User IDs.</w:t>
      </w:r>
    </w:p>
    <w:p>
      <w:pPr>
        <w:ind w:left="480" w:hanging="240"/>
        <w:spacing w:before="40" w:after="80" w:line="240" w:lineRule="auto"/>
      </w:pPr>
      <w:r>
        <w:rPr>
          <w:b/>
          <w:color w:val="0A3871"/>
          <w:sz w:val="22"/>
          <w:szCs w:val="22"/>
        </w:rPr>
        <w:t xml:space="preserve">•  Default View-Only Governance: </w:t>
      </w:r>
      <w:r>
        <w:rPr>
          <w:color w:val="1F2937"/>
          <w:sz w:val="22"/>
          <w:szCs w:val="22"/>
        </w:rPr>
        <w:t xml:space="preserve">By default, linked joint accounts operate in View-Only mode across all individual co-signatory profiles, allowing balance and statement inquiry.</w:t>
      </w:r>
    </w:p>
    <w:p>
      <w:pPr>
        <w:ind w:left="480" w:hanging="240"/>
        <w:spacing w:before="40" w:after="80" w:line="240" w:lineRule="auto"/>
      </w:pPr>
      <w:r>
        <w:rPr>
          <w:b/>
          <w:color w:val="0A3871"/>
          <w:sz w:val="22"/>
          <w:szCs w:val="22"/>
        </w:rPr>
        <w:t xml:space="preserve">•  Administrative Transaction Enablement: </w:t>
      </w:r>
      <w:r>
        <w:rPr>
          <w:color w:val="1F2937"/>
          <w:sz w:val="22"/>
          <w:szCs w:val="22"/>
        </w:rPr>
        <w:t xml:space="preserve">In accordance with the account mandate ('Either or Survivor' vs. 'Jointly by All'), an authorized Bank Administrator can selectively enable transactional capabilities for designated co-signatories via the internal administrative console.</w:t>
      </w:r>
    </w:p>
    <w:p>
      <w:pPr>
        <w:ind w:left="480" w:hanging="240"/>
        <w:spacing w:before="40" w:after="80" w:line="240" w:lineRule="auto"/>
      </w:pPr>
      <w:r>
        <w:rPr>
          <w:b/>
          <w:color w:val="0A3871"/>
          <w:sz w:val="22"/>
          <w:szCs w:val="22"/>
        </w:rPr>
        <w:t xml:space="preserve">•  Individual Audit Accountability: </w:t>
      </w:r>
      <w:r>
        <w:rPr>
          <w:color w:val="1F2937"/>
          <w:sz w:val="22"/>
          <w:szCs w:val="22"/>
        </w:rPr>
        <w:t xml:space="preserve">Maintains full audit logging identifying the specific individual co-signatory who executed each financial transaction.</w:t>
      </w:r>
    </w:p>
    <w:p>
      <w:pPr>
        <w:pStyle w:val="Heading1"/>
        <w:spacing w:before="360" w:after="160"/>
      </w:pPr>
      <w:r>
        <w:br w:type="page"/>
      </w:r>
      <w:r>
        <w:rPr>
          <w:b/>
          <w:color w:val="0A3871"/>
          <w:sz w:val="34"/>
          <w:szCs w:val="34"/>
        </w:rPr>
        <w:t>34. Facility to manage all member customers (organization) under a Corporate Group from single ID</w:t>
      </w:r>
    </w:p>
    <w:p>
      <w:pPr>
        <w:jc w:val="left"/>
        <w:spacing w:before="0" w:after="120" w:line="260" w:lineRule="auto"/>
      </w:pPr>
      <w:r>
        <w:rPr>
          <w:color w:val="1F2937"/>
          <w:sz w:val="22"/>
          <w:szCs w:val="22"/>
        </w:rPr>
        <w:t xml:space="preserve">The Corporate Group Management architecture empowers conglomerates, multinational groups, and holding corporations to oversee multiple subsidiary entities, sister companies, and branch divisions under a single Master Corporate Login ID.</w:t>
      </w:r>
    </w:p>
    <w:p>
      <w:pPr>
        <w:ind w:left="480" w:hanging="240"/>
        <w:spacing w:before="40" w:after="80" w:line="240" w:lineRule="auto"/>
      </w:pPr>
      <w:r>
        <w:rPr>
          <w:b/>
          <w:color w:val="0A3871"/>
          <w:sz w:val="22"/>
          <w:szCs w:val="22"/>
        </w:rPr>
        <w:t xml:space="preserve">•  Hierarchical Organization Tree: </w:t>
      </w:r>
      <w:r>
        <w:rPr>
          <w:color w:val="1F2937"/>
          <w:sz w:val="22"/>
          <w:szCs w:val="22"/>
        </w:rPr>
        <w:t xml:space="preserve">Master administrators view an organizational hierarchy tree and seamlessly switch active operating profiles without logging out.</w:t>
      </w:r>
    </w:p>
    <w:p>
      <w:pPr>
        <w:ind w:left="480" w:hanging="240"/>
        <w:spacing w:before="40" w:after="80" w:line="240" w:lineRule="auto"/>
      </w:pPr>
      <w:r>
        <w:rPr>
          <w:b/>
          <w:color w:val="0A3871"/>
          <w:sz w:val="22"/>
          <w:szCs w:val="22"/>
        </w:rPr>
        <w:t xml:space="preserve">•  Consolidated Group Liquidity: </w:t>
      </w:r>
      <w:r>
        <w:rPr>
          <w:color w:val="1F2937"/>
          <w:sz w:val="22"/>
          <w:szCs w:val="22"/>
        </w:rPr>
        <w:t xml:space="preserve">Executive treasurers access aggregated liquidity views displaying total cash positions across all group entities.</w:t>
      </w:r>
    </w:p>
    <w:p>
      <w:pPr>
        <w:ind w:left="480" w:hanging="240"/>
        <w:spacing w:before="40" w:after="80" w:line="240" w:lineRule="auto"/>
      </w:pPr>
      <w:r>
        <w:rPr>
          <w:b/>
          <w:color w:val="0A3871"/>
          <w:sz w:val="22"/>
          <w:szCs w:val="22"/>
        </w:rPr>
        <w:t xml:space="preserve">•  Data Segregation &amp; Isolation: </w:t>
      </w:r>
      <w:r>
        <w:rPr>
          <w:color w:val="1F2937"/>
          <w:sz w:val="22"/>
          <w:szCs w:val="22"/>
        </w:rPr>
        <w:t xml:space="preserve">Enforces complete data isolation and accounting boundaries between separate corporate tax entities.</w:t>
      </w:r>
    </w:p>
    <w:p>
      <w:pPr>
        <w:pStyle w:val="Heading1"/>
        <w:spacing w:before="360" w:after="160"/>
      </w:pPr>
      <w:r>
        <w:br w:type="page"/>
      </w:r>
      <w:r>
        <w:rPr>
          <w:b/>
          <w:color w:val="0A3871"/>
          <w:sz w:val="34"/>
          <w:szCs w:val="34"/>
        </w:rPr>
        <w:t>35. Enabling transactional services by Admin to one or more member individual customers</w:t>
      </w:r>
    </w:p>
    <w:p>
      <w:pPr>
        <w:jc w:val="left"/>
        <w:spacing w:before="0" w:after="120" w:line="260" w:lineRule="auto"/>
      </w:pPr>
      <w:r>
        <w:rPr>
          <w:color w:val="1F2937"/>
          <w:sz w:val="22"/>
          <w:szCs w:val="22"/>
        </w:rPr>
        <w:t xml:space="preserve">Within corporate domains, the Corporate Master Administrator configures granular, role-based account permissions on a per-user, per-account basis (/usermanagement/useraccountpermission):</w:t>
      </w:r>
    </w:p>
    <w:p>
      <w:pPr>
        <w:ind w:left="480" w:hanging="240"/>
        <w:spacing w:before="40" w:after="80" w:line="240" w:lineRule="auto"/>
      </w:pPr>
      <w:r>
        <w:rPr>
          <w:b/>
          <w:color w:val="0A3871"/>
          <w:sz w:val="22"/>
          <w:szCs w:val="22"/>
        </w:rPr>
        <w:t xml:space="preserve">•  Role Segregation: </w:t>
      </w:r>
      <w:r>
        <w:rPr>
          <w:color w:val="1F2937"/>
          <w:sz w:val="22"/>
          <w:szCs w:val="22"/>
        </w:rPr>
        <w:t xml:space="preserve">Users are assigned explicit operational designations: Maker (drafting only), Checker (approval only), or Viewer (auditing only).</w:t>
      </w:r>
    </w:p>
    <w:p>
      <w:pPr>
        <w:ind w:left="480" w:hanging="240"/>
        <w:spacing w:before="40" w:after="80" w:line="240" w:lineRule="auto"/>
      </w:pPr>
      <w:r>
        <w:rPr>
          <w:b/>
          <w:color w:val="0A3871"/>
          <w:sz w:val="22"/>
          <w:szCs w:val="22"/>
        </w:rPr>
        <w:t xml:space="preserve">•  Monetary Slabs &amp; Caps: </w:t>
      </w:r>
      <w:r>
        <w:rPr>
          <w:color w:val="1F2937"/>
          <w:sz w:val="22"/>
          <w:szCs w:val="22"/>
        </w:rPr>
        <w:t xml:space="preserve">Configurable per-user caps: Single Transaction Limit, Daily Cumulative Volume Limit, and Daily Transaction Count.</w:t>
      </w:r>
    </w:p>
    <w:p>
      <w:pPr>
        <w:ind w:left="480" w:hanging="240"/>
        <w:spacing w:before="40" w:after="80" w:line="240" w:lineRule="auto"/>
      </w:pPr>
      <w:r>
        <w:rPr>
          <w:b/>
          <w:color w:val="0A3871"/>
          <w:sz w:val="22"/>
          <w:szCs w:val="22"/>
        </w:rPr>
        <w:t xml:space="preserve">•  Module-Level Access Control: </w:t>
      </w:r>
      <w:r>
        <w:rPr>
          <w:color w:val="1F2937"/>
          <w:sz w:val="22"/>
          <w:szCs w:val="22"/>
        </w:rPr>
        <w:t xml:space="preserve">Permissions can be selectively granted for specific modules (Single Transfers, Bulk Payroll, Beneficiary Management, Trade Finance).</w:t>
      </w:r>
    </w:p>
    <w:p>
      <w:pPr>
        <w:pStyle w:val="Heading1"/>
        <w:spacing w:before="360" w:after="160"/>
      </w:pPr>
      <w:r>
        <w:br w:type="page"/>
      </w:r>
      <w:r>
        <w:rPr>
          <w:b/>
          <w:color w:val="0A3871"/>
          <w:sz w:val="34"/>
          <w:szCs w:val="34"/>
        </w:rPr>
        <w:t>36. Facilitate Mini Statement Feature in place of history</w:t>
      </w:r>
    </w:p>
    <w:p>
      <w:pPr>
        <w:jc w:val="left"/>
        <w:spacing w:before="0" w:after="120" w:line="260" w:lineRule="auto"/>
      </w:pPr>
      <w:r>
        <w:rPr>
          <w:color w:val="1F2937"/>
          <w:sz w:val="22"/>
          <w:szCs w:val="22"/>
        </w:rPr>
        <w:t xml:space="preserve">The Mini Statement module provides instant visibility into the last 10 to 20 financial transactions directly from the account overview card. Utilizes high-speed caching and lightweight REST payloads to deliver transaction dates, narrations, debit/credit indicators, and running balance deltas within milliseconds without requiring full statement query execution.</w:t>
      </w:r>
    </w:p>
    <w:p>
      <w:pPr>
        <w:pStyle w:val="Heading1"/>
        <w:spacing w:before="360" w:after="160"/>
      </w:pPr>
      <w:r>
        <w:br w:type="page"/>
      </w:r>
      <w:r>
        <w:rPr>
          <w:b/>
          <w:color w:val="0A3871"/>
          <w:sz w:val="34"/>
          <w:szCs w:val="34"/>
        </w:rPr>
        <w:t>37. Display an animated CZB logo as the loading indicator across all application pages</w:t>
      </w:r>
    </w:p>
    <w:p>
      <w:pPr>
        <w:jc w:val="left"/>
        <w:spacing w:before="0" w:after="120" w:line="260" w:lineRule="auto"/>
      </w:pPr>
      <w:r>
        <w:rPr>
          <w:color w:val="1F2937"/>
          <w:sz w:val="22"/>
          <w:szCs w:val="22"/>
        </w:rPr>
        <w:t xml:space="preserve">To reinforce brand identity and provide refined visual feedback, all default system loading spinners are replaced by a sleek, animated Citizens Bank (CZB) logo loader. The vector animation activates seamlessly during asynchronous API transactions, cryptographic signing, and background report generation, ensuring visual consistency across mobile and web interfaces.</w:t>
      </w:r>
    </w:p>
    <w:p>
      <w:pPr>
        <w:pStyle w:val="Heading1"/>
        <w:spacing w:before="360" w:after="160"/>
      </w:pPr>
      <w:r>
        <w:br w:type="page"/>
      </w:r>
      <w:r>
        <w:rPr>
          <w:b/>
          <w:color w:val="0A3871"/>
          <w:sz w:val="34"/>
          <w:szCs w:val="34"/>
        </w:rPr>
        <w:t>38. Introduce an Auto Pay feature for scheduled transfer. (Notification required to keep balance on selected day)</w:t>
      </w:r>
    </w:p>
    <w:p>
      <w:pPr>
        <w:jc w:val="left"/>
        <w:spacing w:before="0" w:after="120" w:line="260" w:lineRule="auto"/>
      </w:pPr>
      <w:r>
        <w:rPr>
          <w:color w:val="1F2937"/>
          <w:sz w:val="22"/>
          <w:szCs w:val="22"/>
        </w:rPr>
        <w:t xml:space="preserve">The Auto Pay scheduling engine enables retail and corporate customers to automate recurring payments (standing orders, monthly vendor retainers, lease payments, and recurring bill settlements).</w:t>
      </w:r>
    </w:p>
    <w:p>
      <w:pPr>
        <w:ind w:left="480" w:hanging="240"/>
        <w:spacing w:before="40" w:after="80" w:line="240" w:lineRule="auto"/>
      </w:pPr>
      <w:r>
        <w:rPr>
          <w:b/>
          <w:color w:val="0A3871"/>
          <w:sz w:val="22"/>
          <w:szCs w:val="22"/>
        </w:rPr>
        <w:t xml:space="preserve">•  Configurable Scheduling: </w:t>
      </w:r>
      <w:r>
        <w:rPr>
          <w:color w:val="1F2937"/>
          <w:sz w:val="22"/>
          <w:szCs w:val="22"/>
        </w:rPr>
        <w:t xml:space="preserve">Users define the frequency (Weekly, Monthly, Quarterly), execution date, duration, and transfer channel.</w:t>
      </w:r>
    </w:p>
    <w:p>
      <w:pPr>
        <w:ind w:left="480" w:hanging="240"/>
        <w:spacing w:before="40" w:after="80" w:line="240" w:lineRule="auto"/>
      </w:pPr>
      <w:r>
        <w:rPr>
          <w:b/>
          <w:color w:val="0A3871"/>
          <w:sz w:val="22"/>
          <w:szCs w:val="22"/>
        </w:rPr>
        <w:t xml:space="preserve">•  Pre-Execution Balance Advisory: </w:t>
      </w:r>
      <w:r>
        <w:rPr>
          <w:color w:val="1F2937"/>
          <w:sz w:val="22"/>
          <w:szCs w:val="22"/>
        </w:rPr>
        <w:t xml:space="preserve">The system sends proactive push notifications and SMS alerts 24 hours prior to the scheduled execution date, reminding the customer to maintain sufficient balance.</w:t>
      </w:r>
    </w:p>
    <w:p>
      <w:pPr>
        <w:ind w:left="480" w:hanging="240"/>
        <w:spacing w:before="40" w:after="80" w:line="240" w:lineRule="auto"/>
      </w:pPr>
      <w:r>
        <w:rPr>
          <w:b/>
          <w:color w:val="0A3871"/>
          <w:sz w:val="22"/>
          <w:szCs w:val="22"/>
        </w:rPr>
        <w:t xml:space="preserve">•  Execution &amp; Advice Generation: </w:t>
      </w:r>
      <w:r>
        <w:rPr>
          <w:color w:val="1F2937"/>
          <w:sz w:val="22"/>
          <w:szCs w:val="22"/>
        </w:rPr>
        <w:t xml:space="preserve">Executes automated settlement, retries upon transient network faults, and dispatches detailed execution advice.</w:t>
      </w:r>
    </w:p>
    <w:p>
      <w:pPr>
        <w:pStyle w:val="Heading1"/>
        <w:spacing w:before="360" w:after="160"/>
      </w:pPr>
      <w:r>
        <w:br w:type="page"/>
      </w:r>
      <w:r>
        <w:rPr>
          <w:b/>
          <w:color w:val="0A3871"/>
          <w:sz w:val="34"/>
          <w:szCs w:val="34"/>
        </w:rPr>
        <w:t>39. Display transaction limits and consumed amount, along with general instructions during other bank/MFS transaction initiation</w:t>
      </w:r>
    </w:p>
    <w:p>
      <w:pPr>
        <w:jc w:val="left"/>
        <w:spacing w:before="0" w:after="120" w:line="260" w:lineRule="auto"/>
      </w:pPr>
      <w:r>
        <w:rPr>
          <w:color w:val="1F2937"/>
          <w:sz w:val="22"/>
          <w:szCs w:val="22"/>
        </w:rPr>
        <w:t xml:space="preserve">To eliminate transaction rejections and guide user behavior, all transfer screens prominently feature dynamic limit consumption cards. As the customer prepares a transfer, the interface displays: Per-Transaction Ceiling, Daily Consumed Volume vs. Daily Limit (with an intuitive visual progress bar), Monthly Remaining Cap, and channel-specific operational cutoff advisories (e.g., RTGS operational window notices).</w:t>
      </w:r>
    </w:p>
    <w:p>
      <w:pPr>
        <w:pStyle w:val="Heading1"/>
        <w:spacing w:before="360" w:after="160"/>
      </w:pPr>
      <w:r>
        <w:br w:type="page"/>
      </w:r>
      <w:r>
        <w:rPr>
          <w:b/>
          <w:color w:val="0A3871"/>
          <w:sz w:val="34"/>
          <w:szCs w:val="34"/>
        </w:rPr>
        <w:t>40. Facilitate EMI Merchant list view for users and manage by Admins</w:t>
      </w:r>
    </w:p>
    <w:p>
      <w:pPr>
        <w:jc w:val="left"/>
        <w:spacing w:before="0" w:after="120" w:line="260" w:lineRule="auto"/>
      </w:pPr>
      <w:r>
        <w:rPr>
          <w:color w:val="1F2937"/>
          <w:sz w:val="22"/>
          <w:szCs w:val="22"/>
        </w:rPr>
        <w:t xml:space="preserve">The platform provides a comprehensive Equal Monthly Installment (EMI) Merchant Directory. Customers can search and filter merchant partners offering 0% interest and tenure-based financing (3, 6, 9, 12, 24, 36 months) across electronics, healthcare, and travel categories. Bank administrators manage merchant profiles, active tenures, and promotional campaigns via a dedicated administrative console.</w:t>
      </w:r>
    </w:p>
    <w:p>
      <w:pPr>
        <w:pStyle w:val="Heading1"/>
        <w:spacing w:before="360" w:after="160"/>
      </w:pPr>
      <w:r>
        <w:br w:type="page"/>
      </w:r>
      <w:r>
        <w:rPr>
          <w:b/>
          <w:color w:val="0A3871"/>
          <w:sz w:val="34"/>
          <w:szCs w:val="34"/>
        </w:rPr>
        <w:t>41. Incorporate security verification through OTP when customer login using new mobile devices. (Need to add face verification to change device for both apps and web)</w:t>
      </w:r>
    </w:p>
    <w:p>
      <w:pPr>
        <w:jc w:val="left"/>
        <w:spacing w:before="0" w:after="120" w:line="260" w:lineRule="auto"/>
      </w:pPr>
      <w:r>
        <w:rPr>
          <w:color w:val="1F2937"/>
          <w:sz w:val="22"/>
          <w:szCs w:val="22"/>
        </w:rPr>
        <w:t xml:space="preserve">To mitigate unauthorized account takeover, any login attempt originating from a new mobile device or unregistered web browser triggers mandatory multi-layered identity challenges: valid password check -&gt; simultaneous SMS and Email OTP verification -&gt; mandatory active facial biometric liveness verification. The device or browser is registered only upon successful biometric authentication.</w:t>
      </w:r>
    </w:p>
    <w:p>
      <w:pPr>
        <w:pStyle w:val="Heading1"/>
        <w:spacing w:before="360" w:after="160"/>
      </w:pPr>
      <w:r>
        <w:br w:type="page"/>
      </w:r>
      <w:r>
        <w:rPr>
          <w:b/>
          <w:color w:val="0A3871"/>
          <w:sz w:val="34"/>
          <w:szCs w:val="34"/>
        </w:rPr>
        <w:t>42. Enable Online Service Request for: A/C Services, Card Services</w:t>
      </w:r>
    </w:p>
    <w:p>
      <w:pPr>
        <w:jc w:val="left"/>
        <w:spacing w:before="0" w:after="120" w:line="260" w:lineRule="auto"/>
      </w:pPr>
      <w:r>
        <w:rPr>
          <w:color w:val="1F2937"/>
          <w:sz w:val="22"/>
          <w:szCs w:val="22"/>
        </w:rPr>
        <w:t xml:space="preserve">The digital service desk provides self-service requisitions across Account and Card lifecycles: Cheque Book Requisition (20/50/100 leaves with delivery branch selection), Stop Cheque Leaf / Range, Account Solvency Certificate requisition (/myservices/banksolvencyrequest), Tax Return Proof (PSR) slip upload (/myservices/tax-document-upload), and Card Activation/Deactivation.</w:t>
      </w:r>
    </w:p>
    <w:p>
      <w:pPr>
        <w:pStyle w:val="Heading1"/>
        <w:spacing w:before="360" w:after="160"/>
      </w:pPr>
      <w:r>
        <w:br w:type="page"/>
      </w:r>
      <w:r>
        <w:rPr>
          <w:b/>
          <w:color w:val="0A3871"/>
          <w:sz w:val="34"/>
          <w:szCs w:val="34"/>
        </w:rPr>
        <w:t>43. Credit Card Services - Activate, Deactivate, EMI Conversion, Contact Update Request</w:t>
      </w:r>
    </w:p>
    <w:p>
      <w:pPr>
        <w:jc w:val="left"/>
        <w:spacing w:before="0" w:after="120" w:line="260" w:lineRule="auto"/>
      </w:pPr>
      <w:r>
        <w:rPr>
          <w:color w:val="1F2937"/>
          <w:sz w:val="22"/>
          <w:szCs w:val="22"/>
        </w:rPr>
        <w:t xml:space="preserve">Credit Card holders access specialized card management controls: instant Card Activation/PIN Setup, Emergency Temporary Card Lock (Block/Freeze), International E-Commerce / Roaming Quota Enrolment, Transaction-to-EMI Conversion (converting eligible settled transactions into 3 to 36 month installment plans), and Contact Information Update Requisitions.</w:t>
      </w:r>
    </w:p>
    <w:p>
      <w:pPr>
        <w:pStyle w:val="Heading1"/>
        <w:spacing w:before="360" w:after="160"/>
      </w:pPr>
      <w:r>
        <w:br w:type="page"/>
      </w:r>
      <w:r>
        <w:rPr>
          <w:b/>
          <w:color w:val="0A3871"/>
          <w:sz w:val="34"/>
          <w:szCs w:val="34"/>
        </w:rPr>
        <w:t>44. Complaints, Disputes, and Feedback</w:t>
      </w:r>
    </w:p>
    <w:p>
      <w:pPr>
        <w:jc w:val="left"/>
        <w:spacing w:before="0" w:after="120" w:line="260" w:lineRule="auto"/>
      </w:pPr>
      <w:r>
        <w:rPr>
          <w:color w:val="1F2937"/>
          <w:sz w:val="22"/>
          <w:szCs w:val="22"/>
        </w:rPr>
        <w:t xml:space="preserve">The customer care module enables formal logging of complaints, transaction disputes (ATM cash dispense failures, POS double debits, unauthorized MFS charges), and general service feedback. Users select dispute categories, attach transaction receipts and supporting documents, and receive an official tracking ticket number with SLA resolution timelines.</w:t>
      </w:r>
    </w:p>
    <w:p>
      <w:pPr>
        <w:pStyle w:val="Heading1"/>
        <w:spacing w:before="360" w:after="160"/>
      </w:pPr>
      <w:r>
        <w:br w:type="page"/>
      </w:r>
      <w:r>
        <w:rPr>
          <w:b/>
          <w:color w:val="0A3871"/>
          <w:sz w:val="34"/>
          <w:szCs w:val="34"/>
        </w:rPr>
        <w:t>45. Service Request Status</w:t>
      </w:r>
    </w:p>
    <w:p>
      <w:pPr>
        <w:jc w:val="left"/>
        <w:spacing w:before="0" w:after="120" w:line="260" w:lineRule="auto"/>
      </w:pPr>
      <w:r>
        <w:rPr>
          <w:color w:val="1F2937"/>
          <w:sz w:val="22"/>
          <w:szCs w:val="22"/>
        </w:rPr>
        <w:t xml:space="preserve">The Centralized Service Request Log (/myservices/request-log) enables real-time tracking of all submitted tickets, requisitions, and disputes. Each item displays Submission Date, Category, Unique Tracking ID, and color-coded status badges: Pending (Amber), In-Review / In-Progress (Blue), Approved / Resolved (Green), and Rejected (Red), complete with auditor and branch resolution notes.</w:t>
      </w:r>
    </w:p>
    <w:p>
      <w:pPr>
        <w:pStyle w:val="Heading1"/>
        <w:spacing w:before="360" w:after="160"/>
      </w:pPr>
      <w:r>
        <w:br w:type="page"/>
      </w:r>
      <w:r>
        <w:rPr>
          <w:b/>
          <w:color w:val="0A3871"/>
          <w:sz w:val="34"/>
          <w:szCs w:val="34"/>
        </w:rPr>
        <w:t>46. Display Inward / Outward Cheque Status</w:t>
      </w:r>
    </w:p>
    <w:p>
      <w:pPr>
        <w:jc w:val="left"/>
        <w:spacing w:before="0" w:after="120" w:line="260" w:lineRule="auto"/>
      </w:pPr>
      <w:r>
        <w:rPr>
          <w:color w:val="1F2937"/>
          <w:sz w:val="22"/>
          <w:szCs w:val="22"/>
        </w:rPr>
        <w:t xml:space="preserve">The Cheque Management module provides end-to-end clearing lifecycle visibility across two dedicated consoles:</w:t>
      </w:r>
    </w:p>
    <w:p>
      <w:pPr>
        <w:ind w:left="480" w:hanging="240"/>
        <w:spacing w:before="40" w:after="80" w:line="240" w:lineRule="auto"/>
      </w:pPr>
      <w:r>
        <w:rPr>
          <w:b/>
          <w:color w:val="0A3871"/>
          <w:sz w:val="22"/>
          <w:szCs w:val="22"/>
        </w:rPr>
        <w:t xml:space="preserve">•  Inward Cheques: </w:t>
      </w:r>
      <w:r>
        <w:rPr>
          <w:color w:val="1F2937"/>
          <w:sz w:val="22"/>
          <w:szCs w:val="22"/>
        </w:rPr>
        <w:t xml:space="preserve">Instruments issued by the customer and presented by third parties via Bangladesh Automated Clearing House (BACH). Displays Cheque Leaf Number, Presenting Bank, Amount, and Status (Pending Clearing, Honored, Stopped, or Dishonored with return reason codes).</w:t>
      </w:r>
    </w:p>
    <w:p>
      <w:pPr>
        <w:ind w:left="480" w:hanging="240"/>
        <w:spacing w:before="40" w:after="80" w:line="240" w:lineRule="auto"/>
      </w:pPr>
      <w:r>
        <w:rPr>
          <w:b/>
          <w:color w:val="0A3871"/>
          <w:sz w:val="22"/>
          <w:szCs w:val="22"/>
        </w:rPr>
        <w:t xml:space="preserve">•  Outward Cheques: </w:t>
      </w:r>
      <w:r>
        <w:rPr>
          <w:color w:val="1F2937"/>
          <w:sz w:val="22"/>
          <w:szCs w:val="22"/>
        </w:rPr>
        <w:t xml:space="preserve">Physical instruments deposited by the customer into their account for collection. Displays Cheque Number, Drawee Bank, Deposited Date, Instrument Amount, and Real-Time Clearing Status.</w:t>
      </w:r>
    </w:p>
    <w:p>
      <w:pPr>
        <w:pStyle w:val="Heading1"/>
        <w:spacing w:before="360" w:after="160"/>
      </w:pPr>
      <w:r>
        <w:br w:type="page"/>
      </w:r>
      <w:r>
        <w:rPr>
          <w:b/>
          <w:color w:val="0A3871"/>
          <w:sz w:val="34"/>
          <w:szCs w:val="34"/>
        </w:rPr>
        <w:t>47. Introducing a Favorite Transfer feature like Mobile Recharge, EFT, RTGS, NPSB, allowing users to repeat transactions without re-entering details</w:t>
      </w:r>
    </w:p>
    <w:p>
      <w:pPr>
        <w:jc w:val="left"/>
        <w:spacing w:before="0" w:after="120" w:line="260" w:lineRule="auto"/>
      </w:pPr>
      <w:r>
        <w:rPr>
          <w:color w:val="1F2937"/>
          <w:sz w:val="22"/>
          <w:szCs w:val="22"/>
        </w:rPr>
        <w:t xml:space="preserve">The Favorite Transfer engine accelerates repetitive payments across Mobile Recharge, BEFTN, NPSB, and RTGS. Upon completing any transfer, users can save it as a 'Favorite' with a custom nickname. Selecting a saved Favorite pre-populates funding account, recipient details, and routing codes, requiring the user only to confirm or modify the amount and authorize the payment.</w:t>
      </w:r>
    </w:p>
    <w:p>
      <w:pPr>
        <w:pStyle w:val="Heading1"/>
        <w:spacing w:before="360" w:after="160"/>
      </w:pPr>
      <w:r>
        <w:br w:type="page"/>
      </w:r>
      <w:r>
        <w:rPr>
          <w:b/>
          <w:color w:val="0A3871"/>
          <w:sz w:val="34"/>
          <w:szCs w:val="34"/>
        </w:rPr>
        <w:t>48. Display Character Lengths and Limits</w:t>
      </w:r>
    </w:p>
    <w:p>
      <w:pPr>
        <w:jc w:val="left"/>
        <w:spacing w:before="0" w:after="120" w:line="260" w:lineRule="auto"/>
      </w:pPr>
      <w:r>
        <w:rPr>
          <w:color w:val="1F2937"/>
          <w:sz w:val="22"/>
          <w:szCs w:val="22"/>
        </w:rPr>
        <w:t xml:space="preserve">All free-text inputs across the platform (Narration, Remarks, Nicknames, Addresses) incorporate dynamic character limit indicators (e.g., '24/50 characters'). The interface prevents input beyond regulatory character ceilings and displays clear inline validation warnings if illegal special characters or SQL/XSS escape strings are entered.</w:t>
      </w:r>
    </w:p>
    <w:p>
      <w:pPr>
        <w:pStyle w:val="Heading1"/>
        <w:spacing w:before="360" w:after="160"/>
      </w:pPr>
      <w:r>
        <w:br w:type="page"/>
      </w:r>
      <w:r>
        <w:rPr>
          <w:b/>
          <w:color w:val="0A3871"/>
          <w:sz w:val="34"/>
          <w:szCs w:val="34"/>
        </w:rPr>
        <w:t>49. Introduce an Explore Tab Providing Access to: Offers, Annual Reports, Sustainability Reports, ATM/Branch Location, FAQ, Loan Calculator, Exchange Rate, Social Media Links</w:t>
      </w:r>
    </w:p>
    <w:p>
      <w:pPr>
        <w:jc w:val="left"/>
        <w:spacing w:before="0" w:after="120" w:line="260" w:lineRule="auto"/>
      </w:pPr>
      <w:r>
        <w:rPr>
          <w:color w:val="1F2937"/>
          <w:sz w:val="22"/>
          <w:szCs w:val="22"/>
        </w:rPr>
        <w:t xml:space="preserve">The centralized Explore Hub provides public non-transactional banking resources and financial tools: Curated Promotional Offers &amp; Discounts, Corporate Annual Reports &amp; Sustainability Disclosures, Interactive Branch &amp; ATM GIS Map Locators, Frequently Asked Questions (FAQ), Loan &amp; EMI Financial Calculators, Daily Foreign Exchange Rate Boards, and links to official Citizens Bank social media channels.</w:t>
      </w:r>
    </w:p>
    <w:p>
      <w:pPr>
        <w:pStyle w:val="Heading1"/>
        <w:spacing w:before="360" w:after="160"/>
      </w:pPr>
      <w:r>
        <w:br w:type="page"/>
      </w:r>
      <w:r>
        <w:rPr>
          <w:b/>
          <w:color w:val="0A3871"/>
          <w:sz w:val="34"/>
          <w:szCs w:val="34"/>
        </w:rPr>
        <w:t>50. Incorporate a searching function to quickly navigate to a desired menu</w:t>
      </w:r>
    </w:p>
    <w:p>
      <w:pPr>
        <w:jc w:val="left"/>
        <w:spacing w:before="0" w:after="120" w:line="260" w:lineRule="auto"/>
      </w:pPr>
      <w:r>
        <w:rPr>
          <w:color w:val="1F2937"/>
          <w:sz w:val="22"/>
          <w:szCs w:val="22"/>
        </w:rPr>
        <w:t xml:space="preserve">The application integrates a prominent global navigation search tool on the dashboard. As the user types keywords (e.g., 'statement', 'cheque', 'BEFTN', 'solvency', 'payroll'), the search bar dynamically filters and displays relevant menu routes, direct transaction links, and service forms with one-tap deep navigation.</w:t>
      </w:r>
    </w:p>
    <w:p>
      <w:pPr>
        <w:pStyle w:val="Heading1"/>
        <w:spacing w:before="360" w:after="160"/>
      </w:pPr>
      <w:r>
        <w:br w:type="page"/>
      </w:r>
      <w:r>
        <w:rPr>
          <w:b/>
          <w:color w:val="0A3871"/>
          <w:sz w:val="34"/>
          <w:szCs w:val="34"/>
        </w:rPr>
        <w:t>51. Enable automatic OTP reading from SMS to streamline authentication and verification processes</w:t>
      </w:r>
    </w:p>
    <w:p>
      <w:pPr>
        <w:jc w:val="left"/>
        <w:spacing w:before="0" w:after="120" w:line="260" w:lineRule="auto"/>
      </w:pPr>
      <w:r>
        <w:rPr>
          <w:color w:val="1F2937"/>
          <w:sz w:val="22"/>
          <w:szCs w:val="22"/>
        </w:rPr>
        <w:t xml:space="preserve">The mobile application integrates native operating system SMS verification APIs (SMS Retriever API on Android and iOS Security Code AutoFill). Upon receipt of the official bank OTP message, the application securely parses the cryptographic 6-digit token and auto-fills the input boxes, expediting authorization while supporting manual entry fallback.</w:t>
      </w:r>
    </w:p>
    <w:p>
      <w:pPr>
        <w:pStyle w:val="Heading1"/>
        <w:spacing w:before="360" w:after="160"/>
      </w:pPr>
      <w:r>
        <w:br w:type="page"/>
      </w:r>
      <w:r>
        <w:rPr>
          <w:b/>
          <w:color w:val="0A3871"/>
          <w:sz w:val="34"/>
          <w:szCs w:val="34"/>
        </w:rPr>
        <w:t>52. Facilitate setting transaction limits separately for individual, proprietorship and corporate customers</w:t>
      </w:r>
    </w:p>
    <w:p>
      <w:pPr>
        <w:jc w:val="left"/>
        <w:spacing w:before="0" w:after="120" w:line="260" w:lineRule="auto"/>
      </w:pPr>
      <w:r>
        <w:rPr>
          <w:color w:val="1F2937"/>
          <w:sz w:val="22"/>
          <w:szCs w:val="22"/>
        </w:rPr>
        <w:t xml:space="preserve">The risk management engine enforces segmented operational limits based on the customer's legal and structural profile:</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1800"/>
        <w:gridCol w:w="1860"/>
        <w:gridCol w:w="1800"/>
        <w:gridCol w:w="1800"/>
        <w:gridCol w:w="2100"/>
      </w:tblGrid>
      <w:tr>
        <w:trPr>
          <w:tblHeader/>
        </w:trPr>
        <w:tc>
          <w:tcPr>
            <w:tcW w:w="1800" w:type="dxa"/>
            <w:shd w:val="clear" w:color="auto" w:fill="0A3871"/>
          </w:tcPr>
          <w:p>
            <w:pPr>
              <w:spacing w:before="60" w:after="60"/>
            </w:pPr>
            <w:r>
              <w:rPr>
                <w:b/>
                <w:color w:val="FFFFFF"/>
                <w:sz w:val="20"/>
                <w:szCs w:val="20"/>
              </w:rPr>
              <w:t>Customer Segment</w:t>
            </w:r>
          </w:p>
        </w:tc>
        <w:tc>
          <w:tcPr>
            <w:tcW w:w="1860" w:type="dxa"/>
            <w:shd w:val="clear" w:color="auto" w:fill="0A3871"/>
          </w:tcPr>
          <w:p>
            <w:pPr>
              <w:spacing w:before="60" w:after="60"/>
            </w:pPr>
            <w:r>
              <w:rPr>
                <w:b/>
                <w:color w:val="FFFFFF"/>
                <w:sz w:val="20"/>
                <w:szCs w:val="20"/>
              </w:rPr>
              <w:t>Single Txn Ceiling</w:t>
            </w:r>
          </w:p>
        </w:tc>
        <w:tc>
          <w:tcPr>
            <w:tcW w:w="1800" w:type="dxa"/>
            <w:shd w:val="clear" w:color="auto" w:fill="0A3871"/>
          </w:tcPr>
          <w:p>
            <w:pPr>
              <w:spacing w:before="60" w:after="60"/>
            </w:pPr>
            <w:r>
              <w:rPr>
                <w:b/>
                <w:color w:val="FFFFFF"/>
                <w:sz w:val="20"/>
                <w:szCs w:val="20"/>
              </w:rPr>
              <w:t>Daily Volume Ceiling</w:t>
            </w:r>
          </w:p>
        </w:tc>
        <w:tc>
          <w:tcPr>
            <w:tcW w:w="1800" w:type="dxa"/>
            <w:shd w:val="clear" w:color="auto" w:fill="0A3871"/>
          </w:tcPr>
          <w:p>
            <w:pPr>
              <w:spacing w:before="60" w:after="60"/>
            </w:pPr>
            <w:r>
              <w:rPr>
                <w:b/>
                <w:color w:val="FFFFFF"/>
                <w:sz w:val="20"/>
                <w:szCs w:val="20"/>
              </w:rPr>
              <w:t>Monthly Volume Ceiling</w:t>
            </w:r>
          </w:p>
        </w:tc>
        <w:tc>
          <w:tcPr>
            <w:tcW w:w="2100" w:type="dxa"/>
            <w:shd w:val="clear" w:color="auto" w:fill="0A3871"/>
          </w:tcPr>
          <w:p>
            <w:pPr>
              <w:spacing w:before="60" w:after="60"/>
            </w:pPr>
            <w:r>
              <w:rPr>
                <w:b/>
                <w:color w:val="FFFFFF"/>
                <w:sz w:val="20"/>
                <w:szCs w:val="20"/>
              </w:rPr>
              <w:t>Approval Matrix Required</w:t>
            </w:r>
          </w:p>
        </w:tc>
      </w:tr>
      <w:tr>
        <w:tc>
          <w:tcPr>
            <w:tcW w:w="1800" w:type="dxa"/>
            <w:shd w:val="clear" w:color="auto" w:fill="FFFFFF"/>
          </w:tcPr>
          <w:p>
            <w:pPr>
              <w:spacing w:before="40" w:after="40" w:line="220" w:lineRule="auto"/>
            </w:pPr>
            <w:r>
              <w:rPr>
                <w:color w:val="1F2937"/>
                <w:sz w:val="19"/>
                <w:szCs w:val="19"/>
              </w:rPr>
              <w:t>Individual (Retail)</w:t>
            </w:r>
          </w:p>
        </w:tc>
        <w:tc>
          <w:tcPr>
            <w:tcW w:w="1860" w:type="dxa"/>
            <w:shd w:val="clear" w:color="auto" w:fill="FFFFFF"/>
          </w:tcPr>
          <w:p>
            <w:pPr>
              <w:spacing w:before="40" w:after="40" w:line="220" w:lineRule="auto"/>
            </w:pPr>
            <w:r>
              <w:rPr>
                <w:color w:val="1F2937"/>
                <w:sz w:val="19"/>
                <w:szCs w:val="19"/>
              </w:rPr>
              <w:t>Standard Retail Cap (e.g., BDT 300,000)</w:t>
            </w:r>
          </w:p>
        </w:tc>
        <w:tc>
          <w:tcPr>
            <w:tcW w:w="1800" w:type="dxa"/>
            <w:shd w:val="clear" w:color="auto" w:fill="FFFFFF"/>
          </w:tcPr>
          <w:p>
            <w:pPr>
              <w:spacing w:before="40" w:after="40" w:line="220" w:lineRule="auto"/>
            </w:pPr>
            <w:r>
              <w:rPr>
                <w:color w:val="1F2937"/>
                <w:sz w:val="19"/>
                <w:szCs w:val="19"/>
              </w:rPr>
              <w:t>BDT 1,000,000</w:t>
            </w:r>
          </w:p>
        </w:tc>
        <w:tc>
          <w:tcPr>
            <w:tcW w:w="1800" w:type="dxa"/>
            <w:shd w:val="clear" w:color="auto" w:fill="FFFFFF"/>
          </w:tcPr>
          <w:p>
            <w:pPr>
              <w:spacing w:before="40" w:after="40" w:line="220" w:lineRule="auto"/>
            </w:pPr>
            <w:r>
              <w:rPr>
                <w:color w:val="1F2937"/>
                <w:sz w:val="19"/>
                <w:szCs w:val="19"/>
              </w:rPr>
              <w:t>BDT 10,000,000</w:t>
            </w:r>
          </w:p>
        </w:tc>
        <w:tc>
          <w:tcPr>
            <w:tcW w:w="2100" w:type="dxa"/>
            <w:shd w:val="clear" w:color="auto" w:fill="FFFFFF"/>
          </w:tcPr>
          <w:p>
            <w:pPr>
              <w:spacing w:before="40" w:after="40" w:line="220" w:lineRule="auto"/>
            </w:pPr>
            <w:r>
              <w:rPr>
                <w:color w:val="1F2937"/>
                <w:sz w:val="19"/>
                <w:szCs w:val="19"/>
              </w:rPr>
              <w:t>Direct User T-PIN + 2FA OTP</w:t>
            </w:r>
          </w:p>
        </w:tc>
      </w:tr>
      <w:tr>
        <w:tc>
          <w:tcPr>
            <w:tcW w:w="1800" w:type="dxa"/>
            <w:shd w:val="clear" w:color="auto" w:fill="F8FAFC"/>
          </w:tcPr>
          <w:p>
            <w:pPr>
              <w:spacing w:before="40" w:after="40" w:line="220" w:lineRule="auto"/>
            </w:pPr>
            <w:r>
              <w:rPr>
                <w:color w:val="1F2937"/>
                <w:sz w:val="19"/>
                <w:szCs w:val="19"/>
              </w:rPr>
              <w:t>Proprietorship Business</w:t>
            </w:r>
          </w:p>
        </w:tc>
        <w:tc>
          <w:tcPr>
            <w:tcW w:w="1860" w:type="dxa"/>
            <w:shd w:val="clear" w:color="auto" w:fill="F8FAFC"/>
          </w:tcPr>
          <w:p>
            <w:pPr>
              <w:spacing w:before="40" w:after="40" w:line="220" w:lineRule="auto"/>
            </w:pPr>
            <w:r>
              <w:rPr>
                <w:color w:val="1F2937"/>
                <w:sz w:val="19"/>
                <w:szCs w:val="19"/>
              </w:rPr>
              <w:t>Enhanced SME Cap (e.g., BDT 1,000,000)</w:t>
            </w:r>
          </w:p>
        </w:tc>
        <w:tc>
          <w:tcPr>
            <w:tcW w:w="1800" w:type="dxa"/>
            <w:shd w:val="clear" w:color="auto" w:fill="F8FAFC"/>
          </w:tcPr>
          <w:p>
            <w:pPr>
              <w:spacing w:before="40" w:after="40" w:line="220" w:lineRule="auto"/>
            </w:pPr>
            <w:r>
              <w:rPr>
                <w:color w:val="1F2937"/>
                <w:sz w:val="19"/>
                <w:szCs w:val="19"/>
              </w:rPr>
              <w:t>BDT 5,000,000</w:t>
            </w:r>
          </w:p>
        </w:tc>
        <w:tc>
          <w:tcPr>
            <w:tcW w:w="1800" w:type="dxa"/>
            <w:shd w:val="clear" w:color="auto" w:fill="F8FAFC"/>
          </w:tcPr>
          <w:p>
            <w:pPr>
              <w:spacing w:before="40" w:after="40" w:line="220" w:lineRule="auto"/>
            </w:pPr>
            <w:r>
              <w:rPr>
                <w:color w:val="1F2937"/>
                <w:sz w:val="19"/>
                <w:szCs w:val="19"/>
              </w:rPr>
              <w:t>BDT 50,000,000</w:t>
            </w:r>
          </w:p>
        </w:tc>
        <w:tc>
          <w:tcPr>
            <w:tcW w:w="2100" w:type="dxa"/>
            <w:shd w:val="clear" w:color="auto" w:fill="F8FAFC"/>
          </w:tcPr>
          <w:p>
            <w:pPr>
              <w:spacing w:before="40" w:after="40" w:line="220" w:lineRule="auto"/>
            </w:pPr>
            <w:r>
              <w:rPr>
                <w:color w:val="1F2937"/>
                <w:sz w:val="19"/>
                <w:szCs w:val="19"/>
              </w:rPr>
              <w:t>Dual-Channel OTP + Optional Checker</w:t>
            </w:r>
          </w:p>
        </w:tc>
      </w:tr>
      <w:tr>
        <w:tc>
          <w:tcPr>
            <w:tcW w:w="1800" w:type="dxa"/>
            <w:shd w:val="clear" w:color="auto" w:fill="FFFFFF"/>
          </w:tcPr>
          <w:p>
            <w:pPr>
              <w:spacing w:before="40" w:after="40" w:line="220" w:lineRule="auto"/>
            </w:pPr>
            <w:r>
              <w:rPr>
                <w:color w:val="1F2937"/>
                <w:sz w:val="19"/>
                <w:szCs w:val="19"/>
              </w:rPr>
              <w:t>Corporate Institutional</w:t>
            </w:r>
          </w:p>
        </w:tc>
        <w:tc>
          <w:tcPr>
            <w:tcW w:w="1860" w:type="dxa"/>
            <w:shd w:val="clear" w:color="auto" w:fill="FFFFFF"/>
          </w:tcPr>
          <w:p>
            <w:pPr>
              <w:spacing w:before="40" w:after="40" w:line="220" w:lineRule="auto"/>
            </w:pPr>
            <w:r>
              <w:rPr>
                <w:color w:val="1F2937"/>
                <w:sz w:val="19"/>
                <w:szCs w:val="19"/>
              </w:rPr>
              <w:t>High-Value Custom Slab (e.g., BDT 50,000,000+)</w:t>
            </w:r>
          </w:p>
        </w:tc>
        <w:tc>
          <w:tcPr>
            <w:tcW w:w="1800" w:type="dxa"/>
            <w:shd w:val="clear" w:color="auto" w:fill="FFFFFF"/>
          </w:tcPr>
          <w:p>
            <w:pPr>
              <w:spacing w:before="40" w:after="40" w:line="220" w:lineRule="auto"/>
            </w:pPr>
            <w:r>
              <w:rPr>
                <w:color w:val="1F2937"/>
                <w:sz w:val="19"/>
                <w:szCs w:val="19"/>
              </w:rPr>
              <w:t>Configurable Custom Treasury Cap</w:t>
            </w:r>
          </w:p>
        </w:tc>
        <w:tc>
          <w:tcPr>
            <w:tcW w:w="1800" w:type="dxa"/>
            <w:shd w:val="clear" w:color="auto" w:fill="FFFFFF"/>
          </w:tcPr>
          <w:p>
            <w:pPr>
              <w:spacing w:before="40" w:after="40" w:line="220" w:lineRule="auto"/>
            </w:pPr>
            <w:r>
              <w:rPr>
                <w:color w:val="1F2937"/>
                <w:sz w:val="19"/>
                <w:szCs w:val="19"/>
              </w:rPr>
              <w:t>Configurable Custom Treasury Cap</w:t>
            </w:r>
          </w:p>
        </w:tc>
        <w:tc>
          <w:tcPr>
            <w:tcW w:w="2100" w:type="dxa"/>
            <w:shd w:val="clear" w:color="auto" w:fill="FFFFFF"/>
          </w:tcPr>
          <w:p>
            <w:pPr>
              <w:spacing w:before="40" w:after="40" w:line="220" w:lineRule="auto"/>
            </w:pPr>
            <w:r>
              <w:rPr>
                <w:color w:val="1F2937"/>
                <w:sz w:val="19"/>
                <w:szCs w:val="19"/>
              </w:rPr>
              <w:t>Mandatory Maker-Checker Slabs (Level 1, Level 2, Level 3, Board)</w:t>
            </w:r>
          </w:p>
        </w:tc>
      </w:tr>
    </w:tbl>
    <w:p>
      <w:pPr>
        <w:jc w:val="left"/>
        <w:spacing w:before="0" w:after="120" w:line="260" w:lineRule="auto"/>
      </w:pPr>
      <w:r>
        <w:rPr>
          <w:color w:val="1F2937"/>
          <w:sz w:val="22"/>
          <w:szCs w:val="22"/>
        </w:rPr>
        <w:t xml:space="preserve"/>
      </w:r>
    </w:p>
    <w:p>
      <w:pPr>
        <w:pStyle w:val="Heading1"/>
        <w:spacing w:before="360" w:after="160"/>
      </w:pPr>
      <w:r>
        <w:br w:type="page"/>
      </w:r>
      <w:r>
        <w:rPr>
          <w:b/>
          <w:color w:val="0A3871"/>
          <w:sz w:val="34"/>
          <w:szCs w:val="34"/>
        </w:rPr>
        <w:t>53. Allow to set transaction PIN for balance transfer security. [Biometric or face verification (Biometric) (we can remove)]</w:t>
      </w:r>
    </w:p>
    <w:p>
      <w:pPr>
        <w:jc w:val="left"/>
        <w:spacing w:before="0" w:after="120" w:line="260" w:lineRule="auto"/>
      </w:pPr>
      <w:r>
        <w:rPr>
          <w:color w:val="1F2937"/>
          <w:sz w:val="22"/>
          <w:szCs w:val="22"/>
        </w:rPr>
        <w:t xml:space="preserve">To establish an independent cryptographic defense separating session authentication from financial execution, the system mandates a dedicated 6-digit numeric Transaction PIN (T-PIN).</w:t>
      </w:r>
    </w:p>
    <w:p>
      <w:pPr>
        <w:ind w:left="480" w:hanging="240"/>
        <w:spacing w:before="40" w:after="80" w:line="240" w:lineRule="auto"/>
      </w:pPr>
      <w:r>
        <w:rPr>
          <w:b/>
          <w:color w:val="0A3871"/>
          <w:sz w:val="22"/>
          <w:szCs w:val="22"/>
        </w:rPr>
        <w:t xml:space="preserve">•  Complexity &amp; Rule Validation: </w:t>
      </w:r>
      <w:r>
        <w:rPr>
          <w:color w:val="1F2937"/>
          <w:sz w:val="22"/>
          <w:szCs w:val="22"/>
        </w:rPr>
        <w:t xml:space="preserve">Mandatory initial configuration enforcing non-sequential, non-repetitive numeric rules (rejecting patterns such as '123456' or '111111').</w:t>
      </w:r>
    </w:p>
    <w:p>
      <w:pPr>
        <w:ind w:left="480" w:hanging="240"/>
        <w:spacing w:before="40" w:after="80" w:line="240" w:lineRule="auto"/>
      </w:pPr>
      <w:r>
        <w:rPr>
          <w:b/>
          <w:color w:val="0A3871"/>
          <w:sz w:val="22"/>
          <w:szCs w:val="22"/>
        </w:rPr>
        <w:t xml:space="preserve">•  Cryptographic Hash Storage: </w:t>
      </w:r>
      <w:r>
        <w:rPr>
          <w:color w:val="1F2937"/>
          <w:sz w:val="22"/>
          <w:szCs w:val="22"/>
        </w:rPr>
        <w:t xml:space="preserve">Stored strictly as salted, cryptographically stretched hashes (Argon2 / PBKDF2); never stored in plaintext.</w:t>
      </w:r>
    </w:p>
    <w:p>
      <w:pPr>
        <w:ind w:left="480" w:hanging="240"/>
        <w:spacing w:before="40" w:after="80" w:line="240" w:lineRule="auto"/>
      </w:pPr>
      <w:r>
        <w:rPr>
          <w:b/>
          <w:color w:val="0A3871"/>
          <w:sz w:val="22"/>
          <w:szCs w:val="22"/>
        </w:rPr>
        <w:t xml:space="preserve">•  Authorization Scope: </w:t>
      </w:r>
      <w:r>
        <w:rPr>
          <w:color w:val="1F2937"/>
          <w:sz w:val="22"/>
          <w:szCs w:val="22"/>
        </w:rPr>
        <w:t xml:space="preserve">Required for all outbound financial disbursements, bill payments, and standing order creations.</w:t>
      </w:r>
    </w:p>
    <w:p>
      <w:pPr>
        <w:ind w:left="480" w:hanging="240"/>
        <w:spacing w:before="40" w:after="80" w:line="240" w:lineRule="auto"/>
      </w:pPr>
      <w:r>
        <w:rPr>
          <w:b/>
          <w:color w:val="0A3871"/>
          <w:sz w:val="22"/>
          <w:szCs w:val="22"/>
        </w:rPr>
        <w:t xml:space="preserve">•  Corporate Dual-Control Integration: </w:t>
      </w:r>
      <w:r>
        <w:rPr>
          <w:color w:val="1F2937"/>
          <w:sz w:val="22"/>
          <w:szCs w:val="22"/>
        </w:rPr>
        <w:t xml:space="preserve">For corporate institutional users, financial execution transitions from individual T-PIN to the Maker-Checker multi-level cryptographic sign-off framework using 2FA OTP tokens.</w:t>
      </w:r>
    </w:p>
    <w:sectPr>
      <w:headerReference w:type="default" r:id="rId3"/>
      <w:footerReference w:type="default" r:id="rId4"/>
      <w:pgSz w:w="12240" w:h="15840"/>
      <w:pgMar w:top="1440" w:right="1440" w:bottom="1440" w:left="1440" w:header="720" w:footer="720" w:gutter="0"/>
    </w:sectPr>
  </w:body>
</w:document>
</file>

<file path=word/footer1.xml><?xml version="1.0" encoding="utf-8"?>
<w:ftr xmlns:w="http://schemas.openxmlformats.org/wordprocessingml/2006/main">
  <w:p>
    <w:pPr>
      <w:jc w:val="both"/>
      <w:tabs>
        <w:tab w:val="right" w:pos="9360"/>
      </w:tabs>
      <w:spacing w:before="100"/>
    </w:pPr>
    <w:r>
      <w:rPr>
        <w:b/>
        <w:color w:val="C00000"/>
        <w:sz w:val="16"/>
        <w:szCs w:val="16"/>
      </w:rPr>
      <w:t>STRICTLY CONFIDENTIAL &amp; PROPRIETARY</w:t>
    </w:r>
    <w:r>
      <w:tab/>
    </w:r>
    <w:r>
      <w:rPr>
        <w:color w:val="64748B"/>
        <w:sz w:val="16"/>
        <w:szCs w:val="16"/>
      </w:rPr>
      <w:t>Page </w:t>
    </w:r>
    <w:fldSimple w:instr="PAGE"/>
    <w:r>
      <w:rPr>
        <w:color w:val="64748B"/>
        <w:sz w:val="16"/>
        <w:szCs w:val="16"/>
      </w:rPr>
      <w:t> of </w:t>
    </w:r>
    <w:fldSimple w:instr="NUMPAGES"/>
  </w:p>
</w:ftr>
</file>

<file path=word/header1.xml><?xml version="1.0" encoding="utf-8"?>
<w:hdr xmlns:w="http://schemas.openxmlformats.org/wordprocessingml/2006/main">
  <w:p>
    <w:pPr>
      <w:jc w:val="both"/>
      <w:tabs>
        <w:tab w:val="right" w:pos="9360"/>
      </w:tabs>
      <w:spacing w:after="100"/>
    </w:pPr>
    <w:r>
      <w:rPr>
        <w:b/>
        <w:color w:val="8B1C1C"/>
        <w:sz w:val="17"/>
        <w:szCs w:val="17"/>
      </w:rPr>
      <w:t>CITIZENS BANK PLC</w:t>
    </w:r>
    <w:r>
      <w:tab/>
    </w:r>
    <w:r>
      <w:rPr>
        <w:color w:val="64748B"/>
        <w:sz w:val="17"/>
        <w:szCs w:val="17"/>
      </w:rPr>
      <w:t>CloudNet Internet Banking — Feature Requirements Details</w:t>
    </w:r>
  </w:p>
</w:hdr>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before="0" w:after="120" w:line="260" w:lineRule="auto"/>
      </w:pPr>
    </w:pPrDefault>
  </w:docDefaults>
  <w:style w:type="paragraph" w:styleId="Heading1">
    <w:name w:val="heading 1"/>
    <w:basedOn w:val="Normal"/>
    <w:next w:val="Normal"/>
    <w:pPr>
      <w:spacing w:before="360" w:after="140"/>
    </w:pPr>
    <w:rPr>
      <w:b/>
      <w:color w:val="0A3871"/>
      <w:sz w:val="32"/>
      <w:szCs w:val="32"/>
    </w:rPr>
  </w:style>
  <w:style w:type="paragraph" w:styleId="Heading2">
    <w:name w:val="heading 2"/>
    <w:basedOn w:val="Normal"/>
    <w:next w:val="Normal"/>
    <w:pPr>
      <w:spacing w:before="240" w:after="100"/>
    </w:pPr>
    <w:rPr>
      <w:b/>
      <w:color w:val="1E3A8A"/>
      <w:sz w:val="26"/>
      <w:szCs w:val="26"/>
    </w:rPr>
  </w:style>
  <w:style w:type="paragraph" w:styleId="Heading3">
    <w:name w:val="heading 3"/>
    <w:basedOn w:val="Normal"/>
    <w:next w:val="Normal"/>
    <w:pPr>
      <w:spacing w:before="160" w:after="80"/>
    </w:pPr>
    <w:rPr>
      <w:b/>
      <w:color w:val="334155"/>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
</Relationships>
</file>