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480"/>
        <w:jc w:val="center"/>
        <w:rPr>
          <w:rFonts w:ascii="黑体" w:hAnsi="黑体" w:eastAsia="黑体"/>
          <w:sz w:val="32"/>
        </w:rPr>
      </w:pPr>
      <w:r>
        <w:rPr>
          <w:rFonts w:hint="eastAsia" w:ascii="黑体" w:hAnsi="黑体" w:eastAsia="黑体"/>
          <w:sz w:val="32"/>
        </w:rPr>
        <w:t>数控车铣加工职业技能等级证书（中级）</w:t>
      </w:r>
    </w:p>
    <w:p>
      <w:pPr>
        <w:ind w:left="480"/>
        <w:jc w:val="center"/>
        <w:rPr>
          <w:rFonts w:ascii="黑体" w:hAnsi="黑体" w:eastAsia="黑体"/>
          <w:sz w:val="32"/>
        </w:rPr>
      </w:pPr>
      <w:r>
        <w:rPr>
          <w:rFonts w:hint="eastAsia" w:ascii="黑体" w:hAnsi="黑体" w:eastAsia="黑体"/>
          <w:sz w:val="32"/>
        </w:rPr>
        <w:t>考核大纲</w:t>
      </w:r>
    </w:p>
    <w:p/>
    <w:p>
      <w:pPr>
        <w:widowControl/>
        <w:autoSpaceDE/>
        <w:autoSpaceDN/>
        <w:snapToGrid w:val="0"/>
        <w:spacing w:line="360" w:lineRule="auto"/>
        <w:ind w:firstLine="482" w:firstLineChars="200"/>
        <w:rPr>
          <w:rFonts w:eastAsiaTheme="minorEastAsia"/>
          <w:b/>
          <w:sz w:val="24"/>
          <w:szCs w:val="24"/>
          <w:lang w:val="en-US" w:bidi="ar-SA"/>
        </w:rPr>
      </w:pPr>
      <w:r>
        <w:rPr>
          <w:rFonts w:hint="eastAsia" w:eastAsiaTheme="minorEastAsia"/>
          <w:b/>
          <w:sz w:val="24"/>
          <w:szCs w:val="24"/>
          <w:lang w:val="en-US" w:bidi="ar-SA"/>
        </w:rPr>
        <w:t>1</w:t>
      </w:r>
      <w:r>
        <w:rPr>
          <w:rFonts w:eastAsiaTheme="minorEastAsia"/>
          <w:b/>
          <w:sz w:val="24"/>
          <w:szCs w:val="24"/>
          <w:lang w:val="en-US" w:bidi="ar-SA"/>
        </w:rPr>
        <w:t>.考核方式</w:t>
      </w:r>
    </w:p>
    <w:p>
      <w:pPr>
        <w:pStyle w:val="6"/>
        <w:spacing w:line="302" w:lineRule="auto"/>
        <w:ind w:left="499" w:right="403" w:firstLine="482"/>
        <w:rPr>
          <w:rFonts w:eastAsiaTheme="minorEastAsia" w:cstheme="minorBidi"/>
          <w:color w:val="FF0000"/>
          <w:kern w:val="2"/>
          <w:lang w:val="en-US" w:bidi="ar-SA"/>
        </w:rPr>
      </w:pPr>
      <w:r>
        <w:rPr>
          <w:rFonts w:hint="eastAsia" w:eastAsiaTheme="minorEastAsia" w:cstheme="minorBidi"/>
          <w:kern w:val="2"/>
          <w:lang w:val="en-US" w:bidi="ar-SA"/>
        </w:rPr>
        <w:t>考核分为理论知识考试、技能操作考核等考核方式。理论知识考试采用闭卷考试方式，</w:t>
      </w:r>
      <w:r>
        <w:rPr>
          <w:rFonts w:eastAsiaTheme="minorEastAsia" w:cstheme="minorBidi"/>
          <w:kern w:val="2"/>
          <w:lang w:val="en-US" w:bidi="ar-SA"/>
        </w:rPr>
        <w:t>职业素养与技能操作考核</w:t>
      </w:r>
      <w:r>
        <w:rPr>
          <w:rFonts w:hint="eastAsia" w:eastAsiaTheme="minorEastAsia" w:cstheme="minorBidi"/>
          <w:kern w:val="2"/>
          <w:lang w:val="en-US" w:bidi="ar-SA"/>
        </w:rPr>
        <w:t>同步考核，采用现场实际操作方式。理论知识考试与技能操作考核均实行</w:t>
      </w:r>
      <w:r>
        <w:rPr>
          <w:rFonts w:eastAsiaTheme="minorEastAsia" w:cstheme="minorBidi"/>
          <w:kern w:val="2"/>
          <w:lang w:val="en-US" w:bidi="ar-SA"/>
        </w:rPr>
        <w:t>100</w:t>
      </w:r>
      <w:r>
        <w:rPr>
          <w:rFonts w:hint="eastAsia" w:eastAsiaTheme="minorEastAsia" w:cstheme="minorBidi"/>
          <w:kern w:val="2"/>
          <w:lang w:val="en-US" w:bidi="ar-SA"/>
        </w:rPr>
        <w:t>分制，两项成绩皆合格者取得证书。</w:t>
      </w:r>
    </w:p>
    <w:p>
      <w:pPr>
        <w:pStyle w:val="6"/>
        <w:spacing w:line="302" w:lineRule="auto"/>
        <w:ind w:left="499" w:right="403" w:firstLine="482"/>
        <w:rPr>
          <w:rFonts w:eastAsiaTheme="minorEastAsia" w:cstheme="minorBidi"/>
          <w:kern w:val="2"/>
          <w:lang w:val="en-US" w:bidi="ar-SA"/>
        </w:rPr>
      </w:pPr>
      <w:r>
        <w:rPr>
          <w:rFonts w:hint="eastAsia" w:eastAsiaTheme="minorEastAsia" w:cstheme="minorBidi"/>
          <w:kern w:val="2"/>
          <w:lang w:val="en-US" w:bidi="ar-SA"/>
        </w:rPr>
        <w:t>考核时间：理论知识考试时间为</w:t>
      </w:r>
      <w:r>
        <w:rPr>
          <w:rFonts w:eastAsiaTheme="minorEastAsia" w:cstheme="minorBidi"/>
          <w:kern w:val="2"/>
          <w:lang w:val="en-US" w:bidi="ar-SA"/>
        </w:rPr>
        <w:t>60</w:t>
      </w:r>
      <w:r>
        <w:rPr>
          <w:rFonts w:hint="eastAsia" w:eastAsiaTheme="minorEastAsia" w:cstheme="minorBidi"/>
          <w:kern w:val="2"/>
          <w:lang w:val="en-US" w:bidi="ar-SA"/>
        </w:rPr>
        <w:t>分钟，技能操作考核时间为2</w:t>
      </w:r>
      <w:r>
        <w:rPr>
          <w:rFonts w:eastAsiaTheme="minorEastAsia" w:cstheme="minorBidi"/>
          <w:kern w:val="2"/>
          <w:lang w:val="en-US" w:bidi="ar-SA"/>
        </w:rPr>
        <w:t>7</w:t>
      </w:r>
      <w:r>
        <w:rPr>
          <w:rFonts w:hint="eastAsia" w:eastAsiaTheme="minorEastAsia" w:cstheme="minorBidi"/>
          <w:kern w:val="2"/>
          <w:lang w:val="en-US" w:bidi="ar-SA"/>
        </w:rPr>
        <w:t>0分钟。</w:t>
      </w:r>
    </w:p>
    <w:p>
      <w:pPr>
        <w:tabs>
          <w:tab w:val="left" w:pos="789"/>
        </w:tabs>
        <w:spacing w:before="159"/>
        <w:ind w:right="6"/>
        <w:jc w:val="center"/>
        <w:rPr>
          <w:rFonts w:asciiTheme="minorEastAsia" w:hAnsiTheme="minorEastAsia" w:eastAsiaTheme="minorEastAsia"/>
          <w:sz w:val="21"/>
          <w:szCs w:val="21"/>
        </w:rPr>
      </w:pPr>
      <w:r>
        <w:rPr>
          <w:rFonts w:asciiTheme="minorEastAsia" w:hAnsiTheme="minorEastAsia" w:eastAsiaTheme="minorEastAsia"/>
          <w:sz w:val="21"/>
          <w:szCs w:val="21"/>
        </w:rPr>
        <w:t xml:space="preserve">表 </w:t>
      </w:r>
      <w:r>
        <w:rPr>
          <w:rFonts w:hint="eastAsia" w:asciiTheme="minorEastAsia" w:hAnsiTheme="minorEastAsia" w:eastAsiaTheme="minorEastAsia"/>
          <w:sz w:val="21"/>
          <w:szCs w:val="21"/>
        </w:rPr>
        <w:t>1</w:t>
      </w:r>
      <w:r>
        <w:rPr>
          <w:rFonts w:asciiTheme="minorEastAsia" w:hAnsiTheme="minorEastAsia" w:eastAsiaTheme="minorEastAsia"/>
          <w:sz w:val="21"/>
          <w:szCs w:val="21"/>
        </w:rPr>
        <w:tab/>
      </w:r>
      <w:r>
        <w:rPr>
          <w:rFonts w:hint="eastAsia" w:asciiTheme="minorEastAsia" w:hAnsiTheme="minorEastAsia" w:eastAsiaTheme="minorEastAsia"/>
          <w:sz w:val="21"/>
          <w:szCs w:val="21"/>
        </w:rPr>
        <w:t>数控车铣加工中级</w:t>
      </w:r>
      <w:r>
        <w:rPr>
          <w:rFonts w:asciiTheme="minorEastAsia" w:hAnsiTheme="minorEastAsia" w:eastAsiaTheme="minorEastAsia"/>
          <w:sz w:val="21"/>
          <w:szCs w:val="21"/>
        </w:rPr>
        <w:t>考核项目</w:t>
      </w:r>
    </w:p>
    <w:tbl>
      <w:tblPr>
        <w:tblStyle w:val="18"/>
        <w:tblW w:w="476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848"/>
        <w:gridCol w:w="1429"/>
        <w:gridCol w:w="5255"/>
        <w:gridCol w:w="531"/>
        <w:gridCol w:w="486"/>
        <w:gridCol w:w="479"/>
        <w:gridCol w:w="5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restart"/>
            <w:vAlign w:val="center"/>
          </w:tcPr>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工作</w:t>
            </w:r>
          </w:p>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领域</w:t>
            </w:r>
          </w:p>
        </w:tc>
        <w:tc>
          <w:tcPr>
            <w:tcW w:w="746" w:type="pct"/>
            <w:vMerge w:val="restart"/>
            <w:vAlign w:val="center"/>
          </w:tcPr>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工作</w:t>
            </w:r>
          </w:p>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任务</w:t>
            </w:r>
          </w:p>
        </w:tc>
        <w:tc>
          <w:tcPr>
            <w:tcW w:w="2744" w:type="pct"/>
            <w:vMerge w:val="restart"/>
            <w:vAlign w:val="center"/>
          </w:tcPr>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职业技能要求</w:t>
            </w:r>
          </w:p>
        </w:tc>
        <w:tc>
          <w:tcPr>
            <w:tcW w:w="1065" w:type="pct"/>
            <w:gridSpan w:val="4"/>
            <w:tcBorders>
              <w:bottom w:val="single" w:color="auto" w:sz="4" w:space="0"/>
            </w:tcBorders>
            <w:vAlign w:val="center"/>
          </w:tcPr>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考核方式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autoSpaceDE/>
              <w:autoSpaceDN/>
              <w:snapToGrid w:val="0"/>
              <w:spacing w:line="300" w:lineRule="auto"/>
              <w:jc w:val="center"/>
              <w:rPr>
                <w:rFonts w:ascii="黑体" w:eastAsia="黑体" w:hAnsiTheme="minorEastAsia"/>
                <w:sz w:val="18"/>
                <w:szCs w:val="18"/>
                <w:lang w:val="en-US" w:bidi="ar-SA"/>
              </w:rPr>
            </w:pPr>
          </w:p>
        </w:tc>
        <w:tc>
          <w:tcPr>
            <w:tcW w:w="746" w:type="pct"/>
            <w:vMerge w:val="continue"/>
            <w:vAlign w:val="center"/>
          </w:tcPr>
          <w:p>
            <w:pPr>
              <w:autoSpaceDE/>
              <w:autoSpaceDN/>
              <w:snapToGrid w:val="0"/>
              <w:spacing w:line="300" w:lineRule="auto"/>
              <w:jc w:val="center"/>
              <w:rPr>
                <w:rFonts w:ascii="黑体" w:eastAsia="黑体" w:hAnsiTheme="minorEastAsia"/>
                <w:sz w:val="18"/>
                <w:szCs w:val="18"/>
                <w:lang w:val="en-US" w:bidi="ar-SA"/>
              </w:rPr>
            </w:pPr>
          </w:p>
        </w:tc>
        <w:tc>
          <w:tcPr>
            <w:tcW w:w="2744" w:type="pct"/>
            <w:vMerge w:val="continue"/>
            <w:vAlign w:val="center"/>
          </w:tcPr>
          <w:p>
            <w:pPr>
              <w:autoSpaceDE/>
              <w:autoSpaceDN/>
              <w:snapToGrid w:val="0"/>
              <w:spacing w:line="300" w:lineRule="auto"/>
              <w:jc w:val="center"/>
              <w:rPr>
                <w:rFonts w:ascii="黑体" w:eastAsia="黑体" w:hAnsiTheme="minorEastAsia"/>
                <w:sz w:val="18"/>
                <w:szCs w:val="18"/>
                <w:lang w:val="en-US" w:bidi="ar-SA"/>
              </w:rPr>
            </w:pPr>
          </w:p>
        </w:tc>
        <w:tc>
          <w:tcPr>
            <w:tcW w:w="276" w:type="pct"/>
            <w:tcBorders>
              <w:top w:val="single" w:color="auto" w:sz="4" w:space="0"/>
              <w:right w:val="single" w:color="auto" w:sz="4" w:space="0"/>
            </w:tcBorders>
            <w:vAlign w:val="center"/>
          </w:tcPr>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 xml:space="preserve">理论    </w:t>
            </w:r>
          </w:p>
        </w:tc>
        <w:tc>
          <w:tcPr>
            <w:tcW w:w="254" w:type="pct"/>
            <w:tcBorders>
              <w:top w:val="single" w:color="auto" w:sz="4" w:space="0"/>
              <w:right w:val="single" w:color="auto" w:sz="4" w:space="0"/>
            </w:tcBorders>
            <w:vAlign w:val="center"/>
          </w:tcPr>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占比</w:t>
            </w:r>
          </w:p>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w:t>
            </w:r>
          </w:p>
        </w:tc>
        <w:tc>
          <w:tcPr>
            <w:tcW w:w="250" w:type="pct"/>
            <w:tcBorders>
              <w:top w:val="single" w:color="auto" w:sz="4" w:space="0"/>
              <w:right w:val="single" w:color="auto" w:sz="4" w:space="0"/>
            </w:tcBorders>
            <w:vAlign w:val="center"/>
          </w:tcPr>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实操</w:t>
            </w:r>
          </w:p>
        </w:tc>
        <w:tc>
          <w:tcPr>
            <w:tcW w:w="284" w:type="pct"/>
            <w:tcBorders>
              <w:top w:val="single" w:color="auto" w:sz="4" w:space="0"/>
              <w:left w:val="single" w:color="auto" w:sz="4" w:space="0"/>
            </w:tcBorders>
            <w:vAlign w:val="center"/>
          </w:tcPr>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占比</w:t>
            </w:r>
          </w:p>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restart"/>
            <w:vAlign w:val="center"/>
          </w:tcPr>
          <w:p>
            <w:pPr>
              <w:rPr>
                <w:rFonts w:ascii="仿宋_GB2312" w:eastAsia="仿宋_GB2312" w:cs="仿宋_GB2312"/>
                <w:bCs/>
                <w:kern w:val="2"/>
                <w:sz w:val="24"/>
                <w:szCs w:val="24"/>
              </w:rPr>
            </w:pPr>
            <w:bookmarkStart w:id="0" w:name="_Hlk33367471"/>
            <w:r>
              <w:rPr>
                <w:rFonts w:hint="eastAsia" w:ascii="仿宋_GB2312" w:eastAsia="仿宋_GB2312" w:cs="仿宋_GB2312"/>
                <w:bCs/>
                <w:kern w:val="2"/>
                <w:sz w:val="24"/>
                <w:szCs w:val="24"/>
              </w:rPr>
              <w:t xml:space="preserve">1.CAM软件编程 </w:t>
            </w:r>
            <w:bookmarkEnd w:id="0"/>
          </w:p>
        </w:tc>
        <w:tc>
          <w:tcPr>
            <w:tcW w:w="746" w:type="pct"/>
            <w:vMerge w:val="restart"/>
            <w:vAlign w:val="center"/>
          </w:tcPr>
          <w:p>
            <w:pPr>
              <w:rPr>
                <w:rFonts w:asciiTheme="minorEastAsia" w:hAnsiTheme="minorEastAsia" w:eastAsiaTheme="minorEastAsia"/>
                <w:sz w:val="18"/>
                <w:szCs w:val="18"/>
              </w:rPr>
            </w:pPr>
            <w:r>
              <w:rPr>
                <w:rFonts w:ascii="仿宋_GB2312" w:eastAsia="仿宋_GB2312" w:cs="仿宋_GB2312"/>
                <w:bCs/>
                <w:kern w:val="2"/>
                <w:sz w:val="24"/>
                <w:szCs w:val="24"/>
              </w:rPr>
              <w:t>1</w:t>
            </w:r>
            <w:r>
              <w:rPr>
                <w:rFonts w:hint="eastAsia" w:ascii="仿宋_GB2312" w:eastAsia="仿宋_GB2312" w:cs="仿宋_GB2312"/>
                <w:bCs/>
                <w:kern w:val="2"/>
                <w:sz w:val="24"/>
                <w:szCs w:val="24"/>
              </w:rPr>
              <w:t>.</w:t>
            </w:r>
            <w:r>
              <w:rPr>
                <w:rFonts w:ascii="仿宋_GB2312" w:eastAsia="仿宋_GB2312" w:cs="仿宋_GB2312"/>
                <w:bCs/>
                <w:kern w:val="2"/>
                <w:sz w:val="24"/>
                <w:szCs w:val="24"/>
              </w:rPr>
              <w:t>1</w:t>
            </w:r>
            <w:r>
              <w:rPr>
                <w:rFonts w:hint="eastAsia" w:ascii="仿宋_GB2312" w:eastAsia="仿宋_GB2312" w:cs="仿宋_GB2312"/>
                <w:bCs/>
                <w:kern w:val="2"/>
                <w:sz w:val="24"/>
                <w:szCs w:val="24"/>
              </w:rPr>
              <w:t>车铣配合件加工工艺文件编制</w:t>
            </w:r>
          </w:p>
        </w:tc>
        <w:tc>
          <w:tcPr>
            <w:tcW w:w="2744" w:type="pct"/>
            <w:tcBorders>
              <w:bottom w:val="single" w:color="auto" w:sz="4" w:space="0"/>
            </w:tcBorders>
            <w:vAlign w:val="center"/>
          </w:tcPr>
          <w:p>
            <w:pPr>
              <w:pStyle w:val="27"/>
              <w:jc w:val="left"/>
              <w:rPr>
                <w:rFonts w:asciiTheme="minorEastAsia" w:hAnsiTheme="minorEastAsia" w:eastAsiaTheme="minorEastAsia"/>
                <w:sz w:val="18"/>
                <w:szCs w:val="18"/>
              </w:rPr>
            </w:pPr>
            <w:r>
              <w:rPr>
                <w:rFonts w:hint="eastAsia" w:ascii="仿宋_GB2312" w:hAnsi="宋体" w:eastAsia="仿宋_GB2312" w:cs="仿宋_GB2312"/>
                <w:bCs/>
                <w:kern w:val="2"/>
                <w:sz w:val="24"/>
                <w:szCs w:val="24"/>
              </w:rPr>
              <w:t>1.1.1能根据车铣配合件加工工作任务要求和机械加工过程卡，分析车铣配合件加工工艺，并能对车铣配合件加工工艺进行优化调整。</w:t>
            </w:r>
          </w:p>
        </w:tc>
        <w:tc>
          <w:tcPr>
            <w:tcW w:w="276" w:type="pct"/>
            <w:tcBorders>
              <w:bottom w:val="single" w:color="auto" w:sz="4" w:space="0"/>
              <w:right w:val="single" w:color="auto" w:sz="4" w:space="0"/>
            </w:tcBorders>
            <w:vAlign w:val="center"/>
          </w:tcPr>
          <w:p>
            <w:pPr>
              <w:autoSpaceDE/>
              <w:autoSpaceDN/>
              <w:snapToGrid w:val="0"/>
              <w:spacing w:line="300" w:lineRule="auto"/>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restart"/>
            <w:tcBorders>
              <w:left w:val="single" w:color="auto" w:sz="4" w:space="0"/>
              <w:right w:val="single" w:color="auto" w:sz="4" w:space="0"/>
            </w:tcBorders>
            <w:vAlign w:val="center"/>
          </w:tcPr>
          <w:p>
            <w:pPr>
              <w:snapToGrid w:val="0"/>
              <w:spacing w:line="300" w:lineRule="auto"/>
              <w:jc w:val="center"/>
              <w:rPr>
                <w:rFonts w:cs="Times New Roman"/>
                <w:kern w:val="2"/>
                <w:sz w:val="18"/>
                <w:szCs w:val="18"/>
                <w:lang w:val="en-US" w:bidi="ar-SA"/>
              </w:rPr>
            </w:pPr>
            <w:r>
              <w:rPr>
                <w:rFonts w:cs="Times New Roman"/>
                <w:kern w:val="2"/>
                <w:sz w:val="18"/>
                <w:szCs w:val="18"/>
                <w:lang w:val="en-US" w:bidi="ar-SA"/>
              </w:rPr>
              <w:t>22</w:t>
            </w:r>
          </w:p>
        </w:tc>
        <w:tc>
          <w:tcPr>
            <w:tcW w:w="250" w:type="pct"/>
            <w:tcBorders>
              <w:left w:val="single" w:color="auto" w:sz="4" w:space="0"/>
              <w:bottom w:val="single" w:color="auto" w:sz="4" w:space="0"/>
            </w:tcBorders>
            <w:vAlign w:val="center"/>
          </w:tcPr>
          <w:p>
            <w:pPr>
              <w:autoSpaceDE/>
              <w:autoSpaceDN/>
              <w:snapToGrid w:val="0"/>
              <w:spacing w:line="300" w:lineRule="auto"/>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restart"/>
            <w:vAlign w:val="center"/>
          </w:tcPr>
          <w:p>
            <w:pPr>
              <w:jc w:val="center"/>
              <w:rPr>
                <w:rFonts w:asciiTheme="minorEastAsia" w:hAnsiTheme="minorEastAsia" w:eastAsiaTheme="minorEastAsia"/>
                <w:sz w:val="18"/>
                <w:szCs w:val="18"/>
              </w:rPr>
            </w:pPr>
            <w:r>
              <w:rPr>
                <w:rFonts w:cs="Times New Roman"/>
                <w:kern w:val="2"/>
                <w:sz w:val="18"/>
                <w:szCs w:val="18"/>
                <w:lang w:val="en-US" w:bidi="ar-SA"/>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仿宋_GB2312" w:eastAsia="仿宋_GB2312" w:cs="仿宋_GB2312"/>
                <w:bCs/>
                <w:kern w:val="2"/>
                <w:sz w:val="24"/>
                <w:szCs w:val="24"/>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1.1.2能根据机械加工工艺规范及车铣配合件机械加工过程卡，根据现场提供的数控机床及工艺设备，完成车铣配合件数控加工工序卡的编制。</w:t>
            </w:r>
          </w:p>
        </w:tc>
        <w:tc>
          <w:tcPr>
            <w:tcW w:w="276" w:type="pct"/>
            <w:tcBorders>
              <w:top w:val="single" w:color="auto" w:sz="4" w:space="0"/>
              <w:bottom w:val="single" w:color="auto" w:sz="4" w:space="0"/>
              <w:right w:val="single" w:color="auto" w:sz="4" w:space="0"/>
            </w:tcBorders>
            <w:vAlign w:val="center"/>
          </w:tcPr>
          <w:p>
            <w:pPr>
              <w:autoSpaceDE/>
              <w:autoSpaceDN/>
              <w:snapToGrid w:val="0"/>
              <w:spacing w:line="300" w:lineRule="auto"/>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tcBorders>
              <w:left w:val="single" w:color="auto" w:sz="4" w:space="0"/>
              <w:right w:val="single" w:color="auto" w:sz="4" w:space="0"/>
            </w:tcBorders>
            <w:vAlign w:val="center"/>
          </w:tcPr>
          <w:p>
            <w:pPr>
              <w:snapToGrid w:val="0"/>
              <w:spacing w:line="300" w:lineRule="auto"/>
              <w:jc w:val="center"/>
              <w:rPr>
                <w:rFonts w:cs="Times New Roman"/>
                <w:kern w:val="2"/>
                <w:sz w:val="18"/>
                <w:szCs w:val="18"/>
                <w:lang w:val="en-US" w:bidi="ar-SA"/>
              </w:rPr>
            </w:pPr>
          </w:p>
        </w:tc>
        <w:tc>
          <w:tcPr>
            <w:tcW w:w="250" w:type="pct"/>
            <w:tcBorders>
              <w:top w:val="single" w:color="auto" w:sz="4" w:space="0"/>
              <w:left w:val="single" w:color="auto" w:sz="4" w:space="0"/>
              <w:bottom w:val="single" w:color="auto" w:sz="4" w:space="0"/>
            </w:tcBorders>
            <w:vAlign w:val="center"/>
          </w:tcPr>
          <w:p>
            <w:pPr>
              <w:autoSpaceDE/>
              <w:autoSpaceDN/>
              <w:snapToGrid w:val="0"/>
              <w:spacing w:line="300" w:lineRule="auto"/>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仿宋_GB2312" w:eastAsia="仿宋_GB2312" w:cs="仿宋_GB2312"/>
                <w:bCs/>
                <w:kern w:val="2"/>
                <w:sz w:val="24"/>
                <w:szCs w:val="24"/>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1.1.</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能根据机械加工工艺规范及车铣配合件机械加工过程卡，根据现场提供的数控机床及工艺设备，完成车铣配合件刀具卡的编制。</w:t>
            </w:r>
          </w:p>
        </w:tc>
        <w:tc>
          <w:tcPr>
            <w:tcW w:w="276" w:type="pct"/>
            <w:tcBorders>
              <w:top w:val="single" w:color="auto" w:sz="4" w:space="0"/>
              <w:bottom w:val="single" w:color="auto" w:sz="4" w:space="0"/>
              <w:right w:val="single" w:color="auto" w:sz="4" w:space="0"/>
            </w:tcBorders>
            <w:vAlign w:val="center"/>
          </w:tcPr>
          <w:p>
            <w:pPr>
              <w:autoSpaceDE/>
              <w:autoSpaceDN/>
              <w:snapToGrid w:val="0"/>
              <w:spacing w:line="300" w:lineRule="auto"/>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tcBorders>
              <w:left w:val="single" w:color="auto" w:sz="4" w:space="0"/>
              <w:right w:val="single" w:color="auto" w:sz="4" w:space="0"/>
            </w:tcBorders>
            <w:vAlign w:val="center"/>
          </w:tcPr>
          <w:p>
            <w:pPr>
              <w:snapToGrid w:val="0"/>
              <w:spacing w:line="300" w:lineRule="auto"/>
              <w:jc w:val="center"/>
              <w:rPr>
                <w:rFonts w:cs="Times New Roman"/>
                <w:kern w:val="2"/>
                <w:sz w:val="18"/>
                <w:szCs w:val="18"/>
                <w:lang w:val="en-US" w:bidi="ar-SA"/>
              </w:rPr>
            </w:pPr>
          </w:p>
        </w:tc>
        <w:tc>
          <w:tcPr>
            <w:tcW w:w="250" w:type="pct"/>
            <w:tcBorders>
              <w:top w:val="single" w:color="auto" w:sz="4" w:space="0"/>
              <w:left w:val="single" w:color="auto" w:sz="4" w:space="0"/>
              <w:bottom w:val="single" w:color="auto" w:sz="4" w:space="0"/>
            </w:tcBorders>
            <w:vAlign w:val="center"/>
          </w:tcPr>
          <w:p>
            <w:pPr>
              <w:autoSpaceDE/>
              <w:autoSpaceDN/>
              <w:snapToGrid w:val="0"/>
              <w:spacing w:line="300" w:lineRule="auto"/>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仿宋_GB2312" w:eastAsia="仿宋_GB2312" w:cs="仿宋_GB2312"/>
                <w:bCs/>
                <w:kern w:val="2"/>
                <w:sz w:val="24"/>
                <w:szCs w:val="24"/>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tcBorders>
            <w:vAlign w:val="center"/>
          </w:tcPr>
          <w:p>
            <w:pPr>
              <w:rPr>
                <w:rFonts w:ascii="仿宋_GB2312" w:eastAsia="仿宋_GB2312" w:cs="仿宋_GB2312"/>
                <w:bCs/>
                <w:kern w:val="2"/>
                <w:sz w:val="24"/>
                <w:szCs w:val="24"/>
              </w:rPr>
            </w:pPr>
            <w:r>
              <w:rPr>
                <w:rFonts w:hint="eastAsia" w:ascii="仿宋_GB2312" w:eastAsia="仿宋_GB2312" w:cs="仿宋_GB2312"/>
                <w:bCs/>
                <w:kern w:val="2"/>
                <w:sz w:val="24"/>
                <w:szCs w:val="24"/>
              </w:rPr>
              <w:t>1.1.</w:t>
            </w:r>
            <w:r>
              <w:rPr>
                <w:rFonts w:ascii="仿宋_GB2312" w:eastAsia="仿宋_GB2312" w:cs="仿宋_GB2312"/>
                <w:bCs/>
                <w:kern w:val="2"/>
                <w:sz w:val="24"/>
                <w:szCs w:val="24"/>
              </w:rPr>
              <w:t>4</w:t>
            </w:r>
            <w:r>
              <w:rPr>
                <w:rFonts w:hint="eastAsia" w:ascii="仿宋_GB2312" w:eastAsia="仿宋_GB2312" w:cs="仿宋_GB2312"/>
                <w:bCs/>
                <w:kern w:val="2"/>
                <w:sz w:val="24"/>
                <w:szCs w:val="24"/>
              </w:rPr>
              <w:t>能根据车铣配合件CAM编程及数控机床调整情况，填写数控加工程序卡。</w:t>
            </w:r>
          </w:p>
        </w:tc>
        <w:tc>
          <w:tcPr>
            <w:tcW w:w="276" w:type="pct"/>
            <w:tcBorders>
              <w:top w:val="single" w:color="auto" w:sz="4" w:space="0"/>
              <w:right w:val="single" w:color="auto" w:sz="4" w:space="0"/>
            </w:tcBorders>
            <w:vAlign w:val="center"/>
          </w:tcPr>
          <w:p>
            <w:pPr>
              <w:autoSpaceDE/>
              <w:autoSpaceDN/>
              <w:snapToGrid w:val="0"/>
              <w:spacing w:line="300" w:lineRule="auto"/>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tcBorders>
              <w:left w:val="single" w:color="auto" w:sz="4" w:space="0"/>
              <w:right w:val="single" w:color="auto" w:sz="4" w:space="0"/>
            </w:tcBorders>
            <w:vAlign w:val="center"/>
          </w:tcPr>
          <w:p>
            <w:pPr>
              <w:autoSpaceDE/>
              <w:autoSpaceDN/>
              <w:snapToGrid w:val="0"/>
              <w:spacing w:line="300" w:lineRule="auto"/>
              <w:jc w:val="center"/>
              <w:rPr>
                <w:rFonts w:cs="Times New Roman"/>
                <w:kern w:val="2"/>
                <w:sz w:val="18"/>
                <w:szCs w:val="18"/>
                <w:lang w:val="en-US" w:bidi="ar-SA"/>
              </w:rPr>
            </w:pPr>
          </w:p>
        </w:tc>
        <w:tc>
          <w:tcPr>
            <w:tcW w:w="250" w:type="pct"/>
            <w:tcBorders>
              <w:top w:val="single" w:color="auto" w:sz="4" w:space="0"/>
              <w:left w:val="single" w:color="auto" w:sz="4" w:space="0"/>
            </w:tcBorders>
            <w:vAlign w:val="center"/>
          </w:tcPr>
          <w:p>
            <w:pPr>
              <w:autoSpaceDE/>
              <w:autoSpaceDN/>
              <w:snapToGrid w:val="0"/>
              <w:spacing w:line="300" w:lineRule="auto"/>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restart"/>
            <w:vAlign w:val="center"/>
          </w:tcPr>
          <w:p>
            <w:pPr>
              <w:rPr>
                <w:rFonts w:asciiTheme="minorEastAsia" w:hAnsiTheme="minorEastAsia" w:eastAsiaTheme="minorEastAsia"/>
                <w:sz w:val="18"/>
                <w:szCs w:val="18"/>
              </w:rPr>
            </w:pPr>
            <w:r>
              <w:rPr>
                <w:rFonts w:hint="eastAsia" w:ascii="仿宋_GB2312" w:eastAsia="仿宋_GB2312" w:cs="仿宋_GB2312"/>
                <w:bCs/>
                <w:kern w:val="2"/>
                <w:sz w:val="24"/>
                <w:szCs w:val="24"/>
              </w:rPr>
              <w:t>1.</w:t>
            </w:r>
            <w:r>
              <w:rPr>
                <w:rFonts w:ascii="仿宋_GB2312" w:eastAsia="仿宋_GB2312" w:cs="仿宋_GB2312"/>
                <w:bCs/>
                <w:kern w:val="2"/>
                <w:sz w:val="24"/>
                <w:szCs w:val="24"/>
              </w:rPr>
              <w:t>2</w:t>
            </w:r>
            <w:r>
              <w:rPr>
                <w:rFonts w:hint="eastAsia" w:ascii="仿宋_GB2312" w:eastAsia="仿宋_GB2312" w:cs="仿宋_GB2312"/>
                <w:bCs/>
                <w:kern w:val="2"/>
                <w:sz w:val="24"/>
                <w:szCs w:val="24"/>
              </w:rPr>
              <w:t>车削件CAM软件编程</w:t>
            </w:r>
          </w:p>
        </w:tc>
        <w:tc>
          <w:tcPr>
            <w:tcW w:w="2744" w:type="pct"/>
            <w:tcBorders>
              <w:bottom w:val="single" w:color="auto" w:sz="4" w:space="0"/>
            </w:tcBorders>
            <w:vAlign w:val="center"/>
          </w:tcPr>
          <w:p>
            <w:pPr>
              <w:pStyle w:val="27"/>
              <w:jc w:val="both"/>
              <w:rPr>
                <w:rFonts w:asciiTheme="minorEastAsia" w:hAnsiTheme="minorEastAsia" w:eastAsiaTheme="minorEastAsia"/>
                <w:sz w:val="18"/>
                <w:szCs w:val="18"/>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.1能根据车削件零件图，使用计算机和CAD/CAM软件，完成车削件的三维造型。</w:t>
            </w:r>
          </w:p>
        </w:tc>
        <w:tc>
          <w:tcPr>
            <w:tcW w:w="276" w:type="pct"/>
            <w:tcBorders>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9</w:t>
            </w:r>
          </w:p>
        </w:tc>
        <w:tc>
          <w:tcPr>
            <w:tcW w:w="250" w:type="pct"/>
            <w:tcBorders>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both"/>
              <w:rPr>
                <w:rFonts w:ascii="仿宋_GB2312" w:hAnsi="宋体" w:eastAsia="仿宋_GB2312" w:cs="仿宋_GB2312"/>
                <w:bCs/>
                <w:kern w:val="2"/>
                <w:sz w:val="24"/>
                <w:szCs w:val="24"/>
              </w:rPr>
            </w:pP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能根据工作任务要求和数控编程手册，使用计算机和CAD/CAM软件，完成车削件C</w:t>
            </w:r>
            <w:r>
              <w:rPr>
                <w:rFonts w:ascii="仿宋_GB2312" w:hAnsi="宋体" w:eastAsia="仿宋_GB2312" w:cs="仿宋_GB2312"/>
                <w:bCs/>
                <w:kern w:val="2"/>
                <w:sz w:val="24"/>
                <w:szCs w:val="24"/>
              </w:rPr>
              <w:t>AM</w:t>
            </w:r>
            <w:r>
              <w:rPr>
                <w:rFonts w:hint="eastAsia" w:ascii="仿宋_GB2312" w:hAnsi="宋体" w:eastAsia="仿宋_GB2312" w:cs="仿宋_GB2312"/>
                <w:bCs/>
                <w:kern w:val="2"/>
                <w:sz w:val="24"/>
                <w:szCs w:val="24"/>
              </w:rPr>
              <w:t>软件编程。</w:t>
            </w:r>
          </w:p>
        </w:tc>
        <w:tc>
          <w:tcPr>
            <w:tcW w:w="276"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both"/>
              <w:rPr>
                <w:rFonts w:ascii="仿宋_GB2312" w:hAnsi="宋体" w:eastAsia="仿宋_GB2312" w:cs="仿宋_GB2312"/>
                <w:bCs/>
                <w:kern w:val="2"/>
                <w:sz w:val="24"/>
                <w:szCs w:val="24"/>
              </w:rPr>
            </w:pP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能根据工作任务要求和数控编程手册，使用计算机和CAD/CAM软件，完成车削件加工仿真验证。</w:t>
            </w:r>
          </w:p>
        </w:tc>
        <w:tc>
          <w:tcPr>
            <w:tcW w:w="276"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tcBorders>
            <w:vAlign w:val="center"/>
          </w:tcPr>
          <w:p>
            <w:pPr>
              <w:rPr>
                <w:rFonts w:ascii="仿宋_GB2312" w:eastAsia="仿宋_GB2312" w:cs="仿宋_GB2312"/>
                <w:bCs/>
                <w:kern w:val="2"/>
                <w:sz w:val="24"/>
                <w:szCs w:val="24"/>
              </w:rPr>
            </w:pPr>
            <w:r>
              <w:rPr>
                <w:rFonts w:ascii="仿宋_GB2312" w:eastAsia="仿宋_GB2312" w:cs="仿宋_GB2312"/>
                <w:bCs/>
                <w:kern w:val="2"/>
                <w:sz w:val="24"/>
                <w:szCs w:val="24"/>
              </w:rPr>
              <w:t>1</w:t>
            </w:r>
            <w:r>
              <w:rPr>
                <w:rFonts w:hint="eastAsia" w:ascii="仿宋_GB2312" w:eastAsia="仿宋_GB2312" w:cs="仿宋_GB2312"/>
                <w:bCs/>
                <w:kern w:val="2"/>
                <w:sz w:val="24"/>
                <w:szCs w:val="24"/>
              </w:rPr>
              <w:t>.</w:t>
            </w:r>
            <w:r>
              <w:rPr>
                <w:rFonts w:ascii="仿宋_GB2312" w:eastAsia="仿宋_GB2312" w:cs="仿宋_GB2312"/>
                <w:bCs/>
                <w:kern w:val="2"/>
                <w:sz w:val="24"/>
                <w:szCs w:val="24"/>
              </w:rPr>
              <w:t>2</w:t>
            </w:r>
            <w:r>
              <w:rPr>
                <w:rFonts w:hint="eastAsia" w:ascii="仿宋_GB2312" w:eastAsia="仿宋_GB2312" w:cs="仿宋_GB2312"/>
                <w:bCs/>
                <w:kern w:val="2"/>
                <w:sz w:val="24"/>
                <w:szCs w:val="24"/>
              </w:rPr>
              <w:t>.</w:t>
            </w:r>
            <w:r>
              <w:rPr>
                <w:rFonts w:ascii="仿宋_GB2312" w:eastAsia="仿宋_GB2312" w:cs="仿宋_GB2312"/>
                <w:bCs/>
                <w:kern w:val="2"/>
                <w:sz w:val="24"/>
                <w:szCs w:val="24"/>
              </w:rPr>
              <w:t>4</w:t>
            </w:r>
            <w:r>
              <w:rPr>
                <w:rFonts w:hint="eastAsia" w:ascii="仿宋_GB2312" w:eastAsia="仿宋_GB2312" w:cs="仿宋_GB2312"/>
                <w:bCs/>
                <w:kern w:val="2"/>
                <w:sz w:val="24"/>
                <w:szCs w:val="24"/>
              </w:rPr>
              <w:t>能根据数控车系统说明书，选用后置处理器，生成数控加工程序。</w:t>
            </w:r>
          </w:p>
        </w:tc>
        <w:tc>
          <w:tcPr>
            <w:tcW w:w="276" w:type="pct"/>
            <w:tcBorders>
              <w:top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restart"/>
            <w:vAlign w:val="center"/>
          </w:tcPr>
          <w:p>
            <w:pPr>
              <w:rPr>
                <w:rFonts w:asciiTheme="minorEastAsia" w:hAnsiTheme="minorEastAsia" w:eastAsiaTheme="minorEastAsia"/>
                <w:sz w:val="18"/>
                <w:szCs w:val="18"/>
              </w:rPr>
            </w:pPr>
            <w:r>
              <w:rPr>
                <w:rFonts w:hint="eastAsia" w:ascii="仿宋_GB2312" w:eastAsia="仿宋_GB2312" w:cs="仿宋_GB2312"/>
                <w:bCs/>
                <w:kern w:val="2"/>
                <w:sz w:val="24"/>
                <w:szCs w:val="24"/>
              </w:rPr>
              <w:t>1.</w:t>
            </w:r>
            <w:r>
              <w:rPr>
                <w:rFonts w:ascii="仿宋_GB2312" w:eastAsia="仿宋_GB2312" w:cs="仿宋_GB2312"/>
                <w:bCs/>
                <w:kern w:val="2"/>
                <w:sz w:val="24"/>
                <w:szCs w:val="24"/>
              </w:rPr>
              <w:t>3</w:t>
            </w:r>
            <w:r>
              <w:rPr>
                <w:rFonts w:hint="eastAsia" w:ascii="仿宋_GB2312" w:eastAsia="仿宋_GB2312" w:cs="仿宋_GB2312"/>
                <w:bCs/>
                <w:kern w:val="2"/>
                <w:sz w:val="24"/>
                <w:szCs w:val="24"/>
              </w:rPr>
              <w:t>铣削件CAM软件编程</w:t>
            </w:r>
          </w:p>
        </w:tc>
        <w:tc>
          <w:tcPr>
            <w:tcW w:w="2744" w:type="pct"/>
            <w:tcBorders>
              <w:bottom w:val="single" w:color="auto" w:sz="4" w:space="0"/>
            </w:tcBorders>
            <w:vAlign w:val="center"/>
          </w:tcPr>
          <w:p>
            <w:pPr>
              <w:pStyle w:val="27"/>
              <w:jc w:val="both"/>
              <w:rPr>
                <w:rFonts w:asciiTheme="minorEastAsia" w:hAnsiTheme="minorEastAsia" w:eastAsiaTheme="minorEastAsia"/>
                <w:sz w:val="18"/>
                <w:szCs w:val="18"/>
              </w:rPr>
            </w:pP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能根据零件图，使用计算机和CAD/CAM软件，完成铣削件的实体和曲面造型。</w:t>
            </w:r>
          </w:p>
        </w:tc>
        <w:tc>
          <w:tcPr>
            <w:tcW w:w="276" w:type="pct"/>
            <w:tcBorders>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10</w:t>
            </w:r>
          </w:p>
        </w:tc>
        <w:tc>
          <w:tcPr>
            <w:tcW w:w="250" w:type="pct"/>
            <w:tcBorders>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both"/>
              <w:rPr>
                <w:rFonts w:ascii="仿宋_GB2312" w:hAnsi="宋体" w:eastAsia="仿宋_GB2312" w:cs="仿宋_GB2312"/>
                <w:bCs/>
                <w:kern w:val="2"/>
                <w:sz w:val="24"/>
                <w:szCs w:val="24"/>
              </w:rPr>
            </w:pP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能根据工作任务要求和数控编程手册，使用计算机和CAD/CAM软件，进行编程参数设置，生成曲线、平面轮廓、曲面轮廓、平面区域、曲面区域、三维曲面等刀具轨迹，完成铣削件C</w:t>
            </w:r>
            <w:r>
              <w:rPr>
                <w:rFonts w:ascii="仿宋_GB2312" w:hAnsi="宋体" w:eastAsia="仿宋_GB2312" w:cs="仿宋_GB2312"/>
                <w:bCs/>
                <w:kern w:val="2"/>
                <w:sz w:val="24"/>
                <w:szCs w:val="24"/>
              </w:rPr>
              <w:t>AM</w:t>
            </w:r>
            <w:r>
              <w:rPr>
                <w:rFonts w:hint="eastAsia" w:ascii="仿宋_GB2312" w:hAnsi="宋体" w:eastAsia="仿宋_GB2312" w:cs="仿宋_GB2312"/>
                <w:bCs/>
                <w:kern w:val="2"/>
                <w:sz w:val="24"/>
                <w:szCs w:val="24"/>
              </w:rPr>
              <w:t>软件编程。</w:t>
            </w:r>
          </w:p>
        </w:tc>
        <w:tc>
          <w:tcPr>
            <w:tcW w:w="276" w:type="pct"/>
            <w:tcBorders>
              <w:top w:val="single" w:color="auto" w:sz="4" w:space="0"/>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both"/>
              <w:rPr>
                <w:rFonts w:ascii="仿宋_GB2312" w:hAnsi="宋体" w:eastAsia="仿宋_GB2312" w:cs="仿宋_GB2312"/>
                <w:bCs/>
                <w:kern w:val="2"/>
                <w:sz w:val="24"/>
                <w:szCs w:val="24"/>
              </w:rPr>
            </w:pP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能根据工作任务要求和数控编程手册，使用计算机和CAD/CAM软件，完成铣削件加工仿真验证，能进行程序代码检查、干涉检测、工时估算。</w:t>
            </w:r>
          </w:p>
        </w:tc>
        <w:tc>
          <w:tcPr>
            <w:tcW w:w="276" w:type="pct"/>
            <w:tcBorders>
              <w:top w:val="single" w:color="auto" w:sz="4" w:space="0"/>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tcBorders>
            <w:vAlign w:val="center"/>
          </w:tcPr>
          <w:p>
            <w:pPr>
              <w:rPr>
                <w:rFonts w:ascii="仿宋_GB2312" w:eastAsia="仿宋_GB2312" w:cs="仿宋_GB2312"/>
                <w:bCs/>
                <w:kern w:val="2"/>
                <w:sz w:val="24"/>
                <w:szCs w:val="24"/>
              </w:rPr>
            </w:pPr>
            <w:r>
              <w:rPr>
                <w:rFonts w:ascii="仿宋_GB2312" w:eastAsia="仿宋_GB2312" w:cs="仿宋_GB2312"/>
                <w:bCs/>
                <w:kern w:val="2"/>
                <w:sz w:val="24"/>
                <w:szCs w:val="24"/>
              </w:rPr>
              <w:t>1</w:t>
            </w:r>
            <w:r>
              <w:rPr>
                <w:rFonts w:hint="eastAsia" w:ascii="仿宋_GB2312" w:eastAsia="仿宋_GB2312" w:cs="仿宋_GB2312"/>
                <w:bCs/>
                <w:kern w:val="2"/>
                <w:sz w:val="24"/>
                <w:szCs w:val="24"/>
              </w:rPr>
              <w:t>.</w:t>
            </w:r>
            <w:r>
              <w:rPr>
                <w:rFonts w:ascii="仿宋_GB2312" w:eastAsia="仿宋_GB2312" w:cs="仿宋_GB2312"/>
                <w:bCs/>
                <w:kern w:val="2"/>
                <w:sz w:val="24"/>
                <w:szCs w:val="24"/>
              </w:rPr>
              <w:t>3</w:t>
            </w:r>
            <w:r>
              <w:rPr>
                <w:rFonts w:hint="eastAsia" w:ascii="仿宋_GB2312" w:eastAsia="仿宋_GB2312" w:cs="仿宋_GB2312"/>
                <w:bCs/>
                <w:kern w:val="2"/>
                <w:sz w:val="24"/>
                <w:szCs w:val="24"/>
              </w:rPr>
              <w:t>.</w:t>
            </w:r>
            <w:r>
              <w:rPr>
                <w:rFonts w:ascii="仿宋_GB2312" w:eastAsia="仿宋_GB2312" w:cs="仿宋_GB2312"/>
                <w:bCs/>
                <w:kern w:val="2"/>
                <w:sz w:val="24"/>
                <w:szCs w:val="24"/>
              </w:rPr>
              <w:t>4</w:t>
            </w:r>
            <w:r>
              <w:rPr>
                <w:rFonts w:hint="eastAsia" w:ascii="仿宋_GB2312" w:eastAsia="仿宋_GB2312" w:cs="仿宋_GB2312"/>
                <w:bCs/>
                <w:kern w:val="2"/>
                <w:sz w:val="24"/>
                <w:szCs w:val="24"/>
              </w:rPr>
              <w:t>能根据数控铣系统说明书，选用后置处理器，生成数控加工程序。</w:t>
            </w:r>
          </w:p>
        </w:tc>
        <w:tc>
          <w:tcPr>
            <w:tcW w:w="276" w:type="pct"/>
            <w:tcBorders>
              <w:top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restart"/>
            <w:vAlign w:val="center"/>
          </w:tcPr>
          <w:p>
            <w:pPr>
              <w:rPr>
                <w:rFonts w:ascii="仿宋_GB2312" w:eastAsia="仿宋_GB2312" w:cs="仿宋_GB2312"/>
                <w:bCs/>
                <w:kern w:val="2"/>
                <w:sz w:val="24"/>
                <w:szCs w:val="24"/>
              </w:rPr>
            </w:pPr>
            <w:bookmarkStart w:id="1" w:name="_Hlk33367489"/>
            <w:r>
              <w:rPr>
                <w:rFonts w:hint="eastAsia" w:ascii="仿宋_GB2312" w:eastAsia="仿宋_GB2312" w:cs="仿宋_GB2312"/>
                <w:bCs/>
                <w:kern w:val="2"/>
                <w:sz w:val="24"/>
                <w:szCs w:val="24"/>
              </w:rPr>
              <w:t>2.数控加工</w:t>
            </w:r>
            <w:bookmarkEnd w:id="1"/>
          </w:p>
        </w:tc>
        <w:tc>
          <w:tcPr>
            <w:tcW w:w="746" w:type="pct"/>
            <w:vMerge w:val="restart"/>
            <w:vAlign w:val="center"/>
          </w:tcPr>
          <w:p>
            <w:pPr>
              <w:rPr>
                <w:rFonts w:asciiTheme="minorEastAsia" w:hAnsiTheme="minorEastAsia" w:eastAsiaTheme="minorEastAsia"/>
                <w:sz w:val="18"/>
                <w:szCs w:val="18"/>
              </w:rPr>
            </w:pPr>
            <w:r>
              <w:rPr>
                <w:rFonts w:hint="eastAsia" w:ascii="仿宋_GB2312" w:eastAsia="仿宋_GB2312" w:cs="仿宋_GB2312"/>
                <w:bCs/>
                <w:kern w:val="2"/>
                <w:sz w:val="24"/>
                <w:szCs w:val="24"/>
              </w:rPr>
              <w:t>2.1车铣配合件加工准备</w:t>
            </w:r>
          </w:p>
        </w:tc>
        <w:tc>
          <w:tcPr>
            <w:tcW w:w="2744" w:type="pct"/>
            <w:tcBorders>
              <w:bottom w:val="single" w:color="auto" w:sz="4" w:space="0"/>
            </w:tcBorders>
            <w:vAlign w:val="center"/>
          </w:tcPr>
          <w:p>
            <w:pPr>
              <w:pStyle w:val="27"/>
              <w:jc w:val="left"/>
              <w:rPr>
                <w:rFonts w:asciiTheme="minorEastAsia" w:hAnsiTheme="minorEastAsia" w:eastAsiaTheme="minorEastAsia"/>
                <w:sz w:val="18"/>
                <w:szCs w:val="18"/>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.1.1能根据机械制图国家标准及车铣配合件的零件图和装配图，完成车铣配合件装配工艺的分析。</w:t>
            </w:r>
          </w:p>
        </w:tc>
        <w:tc>
          <w:tcPr>
            <w:tcW w:w="276" w:type="pct"/>
            <w:tcBorders>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14</w:t>
            </w:r>
          </w:p>
        </w:tc>
        <w:tc>
          <w:tcPr>
            <w:tcW w:w="250" w:type="pct"/>
            <w:tcBorders>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仿宋_GB2312" w:eastAsia="仿宋_GB2312" w:cs="仿宋_GB2312"/>
                <w:bCs/>
                <w:kern w:val="2"/>
                <w:sz w:val="24"/>
                <w:szCs w:val="24"/>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.1.2能根据加工工艺文件要求，完成刀具、量具和夹具的选用。</w:t>
            </w:r>
          </w:p>
        </w:tc>
        <w:tc>
          <w:tcPr>
            <w:tcW w:w="276"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仿宋_GB2312" w:eastAsia="仿宋_GB2312" w:cs="仿宋_GB2312"/>
                <w:bCs/>
                <w:kern w:val="2"/>
                <w:sz w:val="24"/>
                <w:szCs w:val="24"/>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能根据数控机床安全操作规程、车铣配合件的加工工艺要求，使用通用或专用夹具，完成工件的安装与夹紧。</w:t>
            </w:r>
          </w:p>
        </w:tc>
        <w:tc>
          <w:tcPr>
            <w:tcW w:w="276"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仿宋_GB2312" w:eastAsia="仿宋_GB2312" w:cs="仿宋_GB2312"/>
                <w:bCs/>
                <w:kern w:val="2"/>
                <w:sz w:val="24"/>
                <w:szCs w:val="24"/>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tcBorders>
            <w:vAlign w:val="center"/>
          </w:tcPr>
          <w:p>
            <w:pPr>
              <w:rPr>
                <w:rFonts w:ascii="仿宋_GB2312" w:eastAsia="仿宋_GB2312" w:cs="仿宋_GB2312"/>
                <w:bCs/>
                <w:kern w:val="2"/>
                <w:sz w:val="24"/>
                <w:szCs w:val="24"/>
              </w:rPr>
            </w:pPr>
            <w:r>
              <w:rPr>
                <w:rFonts w:ascii="仿宋_GB2312" w:eastAsia="仿宋_GB2312" w:cs="仿宋_GB2312"/>
                <w:bCs/>
                <w:kern w:val="2"/>
                <w:sz w:val="24"/>
                <w:szCs w:val="24"/>
              </w:rPr>
              <w:t>2</w:t>
            </w:r>
            <w:r>
              <w:rPr>
                <w:rFonts w:hint="eastAsia" w:ascii="仿宋_GB2312" w:eastAsia="仿宋_GB2312" w:cs="仿宋_GB2312"/>
                <w:bCs/>
                <w:kern w:val="2"/>
                <w:sz w:val="24"/>
                <w:szCs w:val="24"/>
              </w:rPr>
              <w:t>.1.</w:t>
            </w:r>
            <w:r>
              <w:rPr>
                <w:rFonts w:ascii="仿宋_GB2312" w:eastAsia="仿宋_GB2312" w:cs="仿宋_GB2312"/>
                <w:bCs/>
                <w:kern w:val="2"/>
                <w:sz w:val="24"/>
                <w:szCs w:val="24"/>
              </w:rPr>
              <w:t>4</w:t>
            </w:r>
            <w:r>
              <w:rPr>
                <w:rFonts w:hint="eastAsia" w:ascii="仿宋_GB2312" w:eastAsia="仿宋_GB2312" w:cs="仿宋_GB2312"/>
                <w:bCs/>
                <w:kern w:val="2"/>
                <w:sz w:val="24"/>
                <w:szCs w:val="24"/>
              </w:rPr>
              <w:t>能根据数控机床操作手册，遵循数控机床安全操作规范，使用刀具安装工具，完成刀具的安装与调整。</w:t>
            </w:r>
          </w:p>
        </w:tc>
        <w:tc>
          <w:tcPr>
            <w:tcW w:w="276" w:type="pct"/>
            <w:tcBorders>
              <w:top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restart"/>
            <w:vAlign w:val="center"/>
          </w:tcPr>
          <w:p>
            <w:pPr>
              <w:rPr>
                <w:rFonts w:asciiTheme="minorEastAsia" w:hAnsiTheme="minorEastAsia" w:eastAsiaTheme="minorEastAsia"/>
                <w:sz w:val="18"/>
                <w:szCs w:val="18"/>
              </w:rPr>
            </w:pPr>
            <w:r>
              <w:rPr>
                <w:rFonts w:hint="eastAsia" w:ascii="仿宋_GB2312" w:eastAsia="仿宋_GB2312" w:cs="仿宋_GB2312"/>
                <w:bCs/>
                <w:kern w:val="2"/>
                <w:sz w:val="24"/>
                <w:szCs w:val="24"/>
              </w:rPr>
              <w:t>2.2车铣配合件加工</w:t>
            </w:r>
          </w:p>
        </w:tc>
        <w:tc>
          <w:tcPr>
            <w:tcW w:w="2744" w:type="pct"/>
            <w:tcBorders>
              <w:bottom w:val="single" w:color="auto" w:sz="4" w:space="0"/>
            </w:tcBorders>
            <w:vAlign w:val="center"/>
          </w:tcPr>
          <w:p>
            <w:pPr>
              <w:pStyle w:val="27"/>
              <w:jc w:val="left"/>
              <w:rPr>
                <w:rFonts w:asciiTheme="minorEastAsia" w:hAnsiTheme="minorEastAsia" w:eastAsiaTheme="minorEastAsia"/>
                <w:sz w:val="18"/>
                <w:szCs w:val="18"/>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.2.1能根据车铣配合件的加工工艺文件和数控机床操作手册，完成数控机床工件坐标系的建立。</w:t>
            </w:r>
          </w:p>
        </w:tc>
        <w:tc>
          <w:tcPr>
            <w:tcW w:w="276" w:type="pct"/>
            <w:tcBorders>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15</w:t>
            </w:r>
          </w:p>
        </w:tc>
        <w:tc>
          <w:tcPr>
            <w:tcW w:w="250" w:type="pct"/>
            <w:tcBorders>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.2.2能根据数控机床操作手册和加工工艺文件要求，使用计算机通讯传输程序的方法，完成数控加工程序的输入与编辑。</w:t>
            </w:r>
          </w:p>
        </w:tc>
        <w:tc>
          <w:tcPr>
            <w:tcW w:w="276" w:type="pct"/>
            <w:tcBorders>
              <w:top w:val="single" w:color="auto" w:sz="4" w:space="0"/>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.2.3能根据车铣配合件的加工工艺文件及加工现场情况，完成刀具偏置参数、刀具补偿参数及刀具磨损参数设置。</w:t>
            </w:r>
          </w:p>
        </w:tc>
        <w:tc>
          <w:tcPr>
            <w:tcW w:w="276" w:type="pct"/>
            <w:tcBorders>
              <w:top w:val="single" w:color="auto" w:sz="4" w:space="0"/>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能根据车铣配合件加工要求，使用数控机床完成零件的车铣配合加工，最高加工精度要求如下：</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1.轴、套、盘类零件的数控加工：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（3）表面粗糙度：Ra1.6μm</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2.普通三角螺纹的数控加工：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 xml:space="preserve">（1）尺寸公差等级：IT6～IT7 </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（3）表面粗糙度：Ra1.6μm</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3.内径槽、外径槽和端面槽零件的数控加工：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 xml:space="preserve">（1）尺寸公差等级：IT7 </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（3）表面粗糙度：Ra3.2μm</w:t>
            </w:r>
          </w:p>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.平面、垂直面、斜面、阶梯面等零件的数控加工：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（3）表面粗糙度：Ra3.2μm</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5.平面轮廓加工：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6</w:t>
            </w:r>
            <w:r>
              <w:rPr>
                <w:rFonts w:hint="eastAsia" w:ascii="仿宋_GB2312" w:hAnsi="宋体" w:eastAsia="仿宋_GB2312" w:cs="仿宋_GB2312"/>
                <w:bCs/>
                <w:kern w:val="2"/>
                <w:sz w:val="24"/>
                <w:szCs w:val="24"/>
              </w:rPr>
              <w:t>μm</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6.曲面加工：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（1）尺寸公差等级：IT9</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9</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（3）表面粗糙度：Ra3.2μm</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7.孔系加工：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（3）表面粗糙度：Ra3.2μm</w:t>
            </w:r>
          </w:p>
        </w:tc>
        <w:tc>
          <w:tcPr>
            <w:tcW w:w="276" w:type="pct"/>
            <w:tcBorders>
              <w:top w:val="single" w:color="auto" w:sz="4" w:space="0"/>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lang w:val="en-US"/>
              </w:rPr>
            </w:pPr>
          </w:p>
        </w:tc>
        <w:tc>
          <w:tcPr>
            <w:tcW w:w="250" w:type="pct"/>
            <w:tcBorders>
              <w:top w:val="single" w:color="auto" w:sz="4" w:space="0"/>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lang w:val="en-US"/>
              </w:rPr>
            </w:pPr>
          </w:p>
        </w:tc>
        <w:tc>
          <w:tcPr>
            <w:tcW w:w="746" w:type="pct"/>
            <w:vMerge w:val="continue"/>
            <w:vAlign w:val="center"/>
          </w:tcPr>
          <w:p>
            <w:pPr>
              <w:rPr>
                <w:rFonts w:ascii="仿宋_GB2312" w:eastAsia="仿宋_GB2312" w:cs="仿宋_GB2312"/>
                <w:bCs/>
                <w:kern w:val="2"/>
                <w:sz w:val="24"/>
                <w:szCs w:val="24"/>
                <w:lang w:val="en-US"/>
              </w:rPr>
            </w:pPr>
          </w:p>
        </w:tc>
        <w:tc>
          <w:tcPr>
            <w:tcW w:w="2744" w:type="pct"/>
            <w:tcBorders>
              <w:top w:val="single" w:color="auto" w:sz="4" w:space="0"/>
            </w:tcBorders>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5</w:t>
            </w:r>
            <w:r>
              <w:rPr>
                <w:rFonts w:hint="eastAsia" w:ascii="仿宋_GB2312" w:hAnsi="宋体" w:eastAsia="仿宋_GB2312" w:cs="仿宋_GB2312"/>
                <w:bCs/>
                <w:kern w:val="2"/>
                <w:sz w:val="24"/>
                <w:szCs w:val="24"/>
              </w:rPr>
              <w:t>能根据车铣配合件加工工艺文件要求，运用配合件关键尺寸精度控制方法，完成关键尺寸精度的加工控制。</w:t>
            </w:r>
          </w:p>
        </w:tc>
        <w:tc>
          <w:tcPr>
            <w:tcW w:w="276" w:type="pct"/>
            <w:tcBorders>
              <w:top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restart"/>
            <w:vAlign w:val="center"/>
          </w:tcPr>
          <w:p>
            <w:pPr>
              <w:rPr>
                <w:rFonts w:asciiTheme="minorEastAsia" w:hAnsiTheme="minorEastAsia" w:eastAsiaTheme="minorEastAsia"/>
                <w:sz w:val="18"/>
                <w:szCs w:val="18"/>
              </w:rPr>
            </w:pPr>
            <w:r>
              <w:rPr>
                <w:rFonts w:hint="eastAsia" w:ascii="仿宋_GB2312" w:eastAsia="仿宋_GB2312" w:cs="仿宋_GB2312"/>
                <w:bCs/>
                <w:kern w:val="2"/>
                <w:sz w:val="24"/>
                <w:szCs w:val="24"/>
              </w:rPr>
              <w:t>2.3零件加工精度检测与装配</w:t>
            </w:r>
          </w:p>
        </w:tc>
        <w:tc>
          <w:tcPr>
            <w:tcW w:w="2744" w:type="pct"/>
            <w:tcBorders>
              <w:bottom w:val="single" w:color="auto" w:sz="4" w:space="0"/>
            </w:tcBorders>
            <w:vAlign w:val="center"/>
          </w:tcPr>
          <w:p>
            <w:pPr>
              <w:pStyle w:val="27"/>
              <w:jc w:val="left"/>
              <w:rPr>
                <w:rFonts w:asciiTheme="minorEastAsia" w:hAnsiTheme="minorEastAsia" w:eastAsiaTheme="minorEastAsia"/>
                <w:sz w:val="18"/>
                <w:szCs w:val="18"/>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.1能对游标卡尺、千分尺、百分表、千分表、万能角度尺等量具进行校正。</w:t>
            </w:r>
          </w:p>
        </w:tc>
        <w:tc>
          <w:tcPr>
            <w:tcW w:w="276" w:type="pct"/>
            <w:tcBorders>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7</w:t>
            </w:r>
          </w:p>
        </w:tc>
        <w:tc>
          <w:tcPr>
            <w:tcW w:w="250" w:type="pct"/>
            <w:tcBorders>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2.3.</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能根据零件图、机械加工工艺文件要求，使用相应量具或量仪，完成车铣配合件加工精度的检测。</w:t>
            </w:r>
          </w:p>
        </w:tc>
        <w:tc>
          <w:tcPr>
            <w:tcW w:w="276"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2.3.</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能遵循机械零部件检验规范，完成机械加工零件自检表的填写，能正确分类存放和标识合格品和不合格品。</w:t>
            </w:r>
          </w:p>
        </w:tc>
        <w:tc>
          <w:tcPr>
            <w:tcW w:w="276"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tcBorders>
            <w:vAlign w:val="center"/>
          </w:tcPr>
          <w:p>
            <w:pPr>
              <w:rPr>
                <w:rFonts w:ascii="仿宋_GB2312" w:eastAsia="仿宋_GB2312" w:cs="仿宋_GB2312"/>
                <w:bCs/>
                <w:kern w:val="2"/>
                <w:sz w:val="24"/>
                <w:szCs w:val="24"/>
              </w:rPr>
            </w:pPr>
            <w:r>
              <w:rPr>
                <w:rFonts w:ascii="仿宋_GB2312" w:eastAsia="仿宋_GB2312" w:cs="仿宋_GB2312"/>
                <w:bCs/>
                <w:kern w:val="2"/>
                <w:sz w:val="24"/>
                <w:szCs w:val="24"/>
              </w:rPr>
              <w:t>2</w:t>
            </w:r>
            <w:r>
              <w:rPr>
                <w:rFonts w:hint="eastAsia" w:ascii="仿宋_GB2312" w:eastAsia="仿宋_GB2312" w:cs="仿宋_GB2312"/>
                <w:bCs/>
                <w:kern w:val="2"/>
                <w:sz w:val="24"/>
                <w:szCs w:val="24"/>
              </w:rPr>
              <w:t>.</w:t>
            </w:r>
            <w:r>
              <w:rPr>
                <w:rFonts w:ascii="仿宋_GB2312" w:eastAsia="仿宋_GB2312" w:cs="仿宋_GB2312"/>
                <w:bCs/>
                <w:kern w:val="2"/>
                <w:sz w:val="24"/>
                <w:szCs w:val="24"/>
              </w:rPr>
              <w:t>3</w:t>
            </w:r>
            <w:r>
              <w:rPr>
                <w:rFonts w:hint="eastAsia" w:ascii="仿宋_GB2312" w:eastAsia="仿宋_GB2312" w:cs="仿宋_GB2312"/>
                <w:bCs/>
                <w:kern w:val="2"/>
                <w:sz w:val="24"/>
                <w:szCs w:val="24"/>
              </w:rPr>
              <w:t>.</w:t>
            </w:r>
            <w:r>
              <w:rPr>
                <w:rFonts w:ascii="仿宋_GB2312" w:eastAsia="仿宋_GB2312" w:cs="仿宋_GB2312"/>
                <w:bCs/>
                <w:kern w:val="2"/>
                <w:sz w:val="24"/>
                <w:szCs w:val="24"/>
              </w:rPr>
              <w:t>4</w:t>
            </w:r>
            <w:r>
              <w:rPr>
                <w:rFonts w:hint="eastAsia" w:ascii="仿宋_GB2312" w:eastAsia="仿宋_GB2312" w:cs="仿宋_GB2312"/>
                <w:bCs/>
                <w:kern w:val="2"/>
                <w:sz w:val="24"/>
                <w:szCs w:val="24"/>
              </w:rPr>
              <w:t>能根据车铣配合件装配工艺要求，使用常用装配工具，完成车铣配合件的装配与调整。</w:t>
            </w:r>
          </w:p>
        </w:tc>
        <w:tc>
          <w:tcPr>
            <w:tcW w:w="276" w:type="pct"/>
            <w:tcBorders>
              <w:top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restart"/>
            <w:vAlign w:val="center"/>
          </w:tcPr>
          <w:p>
            <w:pPr>
              <w:rPr>
                <w:rFonts w:ascii="仿宋_GB2312" w:eastAsia="仿宋_GB2312" w:cs="仿宋_GB2312"/>
                <w:bCs/>
                <w:kern w:val="2"/>
                <w:sz w:val="24"/>
                <w:szCs w:val="24"/>
              </w:rPr>
            </w:pPr>
            <w:bookmarkStart w:id="2" w:name="_Hlk33367501"/>
            <w:r>
              <w:rPr>
                <w:rFonts w:hint="eastAsia" w:ascii="仿宋_GB2312" w:eastAsia="仿宋_GB2312" w:cs="仿宋_GB2312"/>
                <w:bCs/>
                <w:kern w:val="2"/>
                <w:sz w:val="24"/>
                <w:szCs w:val="24"/>
              </w:rPr>
              <w:t>3.数控机床维护</w:t>
            </w:r>
            <w:bookmarkEnd w:id="2"/>
          </w:p>
        </w:tc>
        <w:tc>
          <w:tcPr>
            <w:tcW w:w="746" w:type="pct"/>
            <w:vMerge w:val="restart"/>
            <w:vAlign w:val="center"/>
          </w:tcPr>
          <w:p>
            <w:pPr>
              <w:rPr>
                <w:rFonts w:asciiTheme="minorEastAsia" w:hAnsiTheme="minorEastAsia" w:eastAsiaTheme="minorEastAsia"/>
                <w:sz w:val="18"/>
                <w:szCs w:val="18"/>
              </w:rPr>
            </w:pPr>
            <w:r>
              <w:rPr>
                <w:rFonts w:hint="eastAsia" w:ascii="仿宋_GB2312" w:eastAsia="仿宋_GB2312" w:cs="仿宋_GB2312"/>
                <w:bCs/>
                <w:kern w:val="2"/>
                <w:sz w:val="24"/>
                <w:szCs w:val="24"/>
              </w:rPr>
              <w:t>3.1数控机床一级保养</w:t>
            </w:r>
          </w:p>
        </w:tc>
        <w:tc>
          <w:tcPr>
            <w:tcW w:w="2744" w:type="pct"/>
            <w:tcBorders>
              <w:bottom w:val="single" w:color="auto" w:sz="4" w:space="0"/>
            </w:tcBorders>
            <w:vAlign w:val="center"/>
          </w:tcPr>
          <w:p>
            <w:pPr>
              <w:pStyle w:val="27"/>
              <w:jc w:val="left"/>
              <w:rPr>
                <w:rFonts w:asciiTheme="minorEastAsia" w:hAnsiTheme="minorEastAsia" w:eastAsiaTheme="minorEastAsia"/>
                <w:sz w:val="18"/>
                <w:szCs w:val="18"/>
              </w:rPr>
            </w:pPr>
            <w:r>
              <w:rPr>
                <w:rFonts w:hint="eastAsia" w:ascii="仿宋_GB2312" w:hAnsi="宋体" w:eastAsia="仿宋_GB2312" w:cs="仿宋_GB2312"/>
                <w:bCs/>
                <w:kern w:val="2"/>
                <w:sz w:val="24"/>
                <w:szCs w:val="24"/>
              </w:rPr>
              <w:t>3.1.1能根据数控机床维护手册，对数控机床的机械部件进行定期与不定期维护保养。</w:t>
            </w:r>
          </w:p>
        </w:tc>
        <w:tc>
          <w:tcPr>
            <w:tcW w:w="276" w:type="pct"/>
            <w:tcBorders>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5</w:t>
            </w:r>
          </w:p>
        </w:tc>
        <w:tc>
          <w:tcPr>
            <w:tcW w:w="250" w:type="pct"/>
            <w:tcBorders>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8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仿宋_GB2312" w:eastAsia="仿宋_GB2312" w:cs="仿宋_GB2312"/>
                <w:bCs/>
                <w:kern w:val="2"/>
                <w:sz w:val="24"/>
                <w:szCs w:val="24"/>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3.1.</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能根据数控机床维护手册，对数控机床的电气部件进行定期与不定期维护保养。</w:t>
            </w:r>
          </w:p>
        </w:tc>
        <w:tc>
          <w:tcPr>
            <w:tcW w:w="276"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sz w:val="18"/>
                <w:szCs w:val="18"/>
              </w:rPr>
            </w:pPr>
            <w:r>
              <w:rPr>
                <w:rFonts w:hint="eastAsia" w:ascii="Adobe Myungjo Std M" w:hAnsi="Adobe Myungjo Std M" w:eastAsia="Adobe Myungjo Std M"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仿宋_GB2312" w:eastAsia="仿宋_GB2312" w:cs="仿宋_GB2312"/>
                <w:bCs/>
                <w:kern w:val="2"/>
                <w:sz w:val="24"/>
                <w:szCs w:val="24"/>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tcBorders>
            <w:vAlign w:val="center"/>
          </w:tcPr>
          <w:p>
            <w:pPr>
              <w:rPr>
                <w:rFonts w:ascii="仿宋_GB2312" w:eastAsia="仿宋_GB2312" w:cs="仿宋_GB2312"/>
                <w:bCs/>
                <w:kern w:val="2"/>
                <w:sz w:val="24"/>
                <w:szCs w:val="24"/>
              </w:rPr>
            </w:pPr>
            <w:r>
              <w:rPr>
                <w:rFonts w:hint="eastAsia" w:ascii="仿宋_GB2312" w:eastAsia="仿宋_GB2312" w:cs="仿宋_GB2312"/>
                <w:bCs/>
                <w:kern w:val="2"/>
                <w:sz w:val="24"/>
                <w:szCs w:val="24"/>
              </w:rPr>
              <w:t>3.1.</w:t>
            </w:r>
            <w:r>
              <w:rPr>
                <w:rFonts w:ascii="仿宋_GB2312" w:eastAsia="仿宋_GB2312" w:cs="仿宋_GB2312"/>
                <w:bCs/>
                <w:kern w:val="2"/>
                <w:sz w:val="24"/>
                <w:szCs w:val="24"/>
              </w:rPr>
              <w:t>3</w:t>
            </w:r>
            <w:r>
              <w:rPr>
                <w:rFonts w:hint="eastAsia" w:ascii="仿宋_GB2312" w:eastAsia="仿宋_GB2312" w:cs="仿宋_GB2312"/>
                <w:bCs/>
                <w:kern w:val="2"/>
                <w:sz w:val="24"/>
                <w:szCs w:val="24"/>
              </w:rPr>
              <w:t>能根据数控机床维护手册，对数控机床的液压气动系统进行定期与不定期维护保养。</w:t>
            </w:r>
          </w:p>
        </w:tc>
        <w:tc>
          <w:tcPr>
            <w:tcW w:w="276" w:type="pct"/>
            <w:tcBorders>
              <w:top w:val="single" w:color="auto" w:sz="4" w:space="0"/>
            </w:tcBorders>
            <w:vAlign w:val="center"/>
          </w:tcPr>
          <w:p>
            <w:pPr>
              <w:jc w:val="center"/>
              <w:rPr>
                <w:rFonts w:asciiTheme="minorEastAsia" w:hAnsiTheme="minorEastAsia" w:eastAsiaTheme="minorEastAsia"/>
                <w:sz w:val="18"/>
                <w:szCs w:val="18"/>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tcBorders>
            <w:vAlign w:val="center"/>
          </w:tcPr>
          <w:p>
            <w:pPr>
              <w:jc w:val="center"/>
              <w:rPr>
                <w:rFonts w:asciiTheme="minorEastAsia" w:hAnsiTheme="minorEastAsia" w:eastAsiaTheme="minorEastAsia"/>
                <w:sz w:val="18"/>
                <w:szCs w:val="18"/>
              </w:rPr>
            </w:pPr>
            <w:r>
              <w:rPr>
                <w:rFonts w:hint="eastAsia" w:ascii="Adobe Myungjo Std M" w:hAnsi="Adobe Myungjo Std M" w:eastAsia="Adobe Myungjo Std M"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restart"/>
            <w:vAlign w:val="center"/>
          </w:tcPr>
          <w:p>
            <w:pPr>
              <w:rPr>
                <w:rFonts w:asciiTheme="minorEastAsia" w:hAnsiTheme="minorEastAsia" w:eastAsiaTheme="minorEastAsia"/>
                <w:sz w:val="18"/>
                <w:szCs w:val="18"/>
              </w:rPr>
            </w:pPr>
            <w:r>
              <w:rPr>
                <w:rFonts w:hint="eastAsia" w:ascii="仿宋_GB2312" w:eastAsia="仿宋_GB2312" w:cs="仿宋_GB2312"/>
                <w:bCs/>
                <w:kern w:val="2"/>
                <w:sz w:val="24"/>
                <w:szCs w:val="24"/>
              </w:rPr>
              <w:t>3.</w:t>
            </w:r>
            <w:r>
              <w:rPr>
                <w:rFonts w:ascii="仿宋_GB2312" w:eastAsia="仿宋_GB2312" w:cs="仿宋_GB2312"/>
                <w:bCs/>
                <w:kern w:val="2"/>
                <w:sz w:val="24"/>
                <w:szCs w:val="24"/>
              </w:rPr>
              <w:t>2</w:t>
            </w:r>
            <w:r>
              <w:rPr>
                <w:rFonts w:hint="eastAsia" w:ascii="仿宋_GB2312" w:eastAsia="仿宋_GB2312" w:cs="仿宋_GB2312"/>
                <w:bCs/>
                <w:kern w:val="2"/>
                <w:sz w:val="24"/>
                <w:szCs w:val="24"/>
              </w:rPr>
              <w:t>数控机床故障排除</w:t>
            </w:r>
          </w:p>
        </w:tc>
        <w:tc>
          <w:tcPr>
            <w:tcW w:w="2744" w:type="pct"/>
            <w:tcBorders>
              <w:bottom w:val="single" w:color="auto" w:sz="4" w:space="0"/>
            </w:tcBorders>
            <w:vAlign w:val="center"/>
          </w:tcPr>
          <w:p>
            <w:pPr>
              <w:pStyle w:val="27"/>
              <w:jc w:val="left"/>
              <w:rPr>
                <w:rFonts w:asciiTheme="minorEastAsia" w:hAnsiTheme="minorEastAsia" w:eastAsiaTheme="minorEastAsia"/>
                <w:sz w:val="18"/>
                <w:szCs w:val="18"/>
              </w:rPr>
            </w:pPr>
            <w:r>
              <w:rPr>
                <w:rFonts w:hint="eastAsia" w:ascii="仿宋_GB2312" w:hAnsi="宋体" w:eastAsia="仿宋_GB2312" w:cs="仿宋_GB2312"/>
                <w:bCs/>
                <w:kern w:val="2"/>
                <w:sz w:val="24"/>
                <w:szCs w:val="24"/>
              </w:rPr>
              <w:t>3.</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能根据数控车床操作手册，能描述数控机床故障现象，能根据系统提示排除数控车床润滑油过低、远限位超程、电柜门未关、刀架电机过载等一般故障。</w:t>
            </w:r>
          </w:p>
        </w:tc>
        <w:tc>
          <w:tcPr>
            <w:tcW w:w="276" w:type="pct"/>
            <w:tcBorders>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8</w:t>
            </w:r>
          </w:p>
        </w:tc>
        <w:tc>
          <w:tcPr>
            <w:tcW w:w="250" w:type="pct"/>
            <w:tcBorders>
              <w:bottom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restart"/>
            <w:vAlign w:val="center"/>
          </w:tcPr>
          <w:p>
            <w:pPr>
              <w:jc w:val="center"/>
              <w:rPr>
                <w:rFonts w:asciiTheme="minorEastAsia" w:hAnsiTheme="minorEastAsia" w:eastAsiaTheme="minorEastAsia"/>
                <w:sz w:val="18"/>
                <w:szCs w:val="18"/>
              </w:rPr>
            </w:pPr>
            <w:r>
              <w:rPr>
                <w:rFonts w:asciiTheme="minorEastAsia" w:hAnsiTheme="minorEastAsia" w:eastAsiaTheme="minorEastAsia"/>
                <w:sz w:val="18"/>
                <w:szCs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Theme="minorEastAsia" w:hAnsiTheme="minorEastAsia" w:eastAsiaTheme="minorEastAsia"/>
                <w:sz w:val="18"/>
                <w:szCs w:val="18"/>
              </w:rPr>
            </w:pPr>
          </w:p>
        </w:tc>
        <w:tc>
          <w:tcPr>
            <w:tcW w:w="746" w:type="pct"/>
            <w:vMerge w:val="continue"/>
            <w:vAlign w:val="center"/>
          </w:tcPr>
          <w:p>
            <w:pPr>
              <w:rPr>
                <w:rFonts w:ascii="仿宋_GB2312" w:eastAsia="仿宋_GB2312" w:cs="仿宋_GB2312"/>
                <w:bCs/>
                <w:kern w:val="2"/>
                <w:sz w:val="24"/>
                <w:szCs w:val="24"/>
              </w:rPr>
            </w:pPr>
          </w:p>
        </w:tc>
        <w:tc>
          <w:tcPr>
            <w:tcW w:w="2744" w:type="pct"/>
            <w:tcBorders>
              <w:top w:val="single" w:color="auto" w:sz="4" w:space="0"/>
            </w:tcBorders>
            <w:vAlign w:val="center"/>
          </w:tcPr>
          <w:p>
            <w:pPr>
              <w:rPr>
                <w:rFonts w:ascii="仿宋_GB2312" w:eastAsia="仿宋_GB2312" w:cs="仿宋_GB2312"/>
                <w:bCs/>
                <w:kern w:val="2"/>
                <w:sz w:val="24"/>
                <w:szCs w:val="24"/>
              </w:rPr>
            </w:pPr>
            <w:r>
              <w:rPr>
                <w:rFonts w:hint="eastAsia" w:ascii="仿宋_GB2312" w:eastAsia="仿宋_GB2312" w:cs="仿宋_GB2312"/>
                <w:bCs/>
                <w:kern w:val="2"/>
                <w:sz w:val="24"/>
                <w:szCs w:val="24"/>
              </w:rPr>
              <w:t>3.</w:t>
            </w:r>
            <w:r>
              <w:rPr>
                <w:rFonts w:ascii="仿宋_GB2312" w:eastAsia="仿宋_GB2312" w:cs="仿宋_GB2312"/>
                <w:bCs/>
                <w:kern w:val="2"/>
                <w:sz w:val="24"/>
                <w:szCs w:val="24"/>
              </w:rPr>
              <w:t>2</w:t>
            </w:r>
            <w:r>
              <w:rPr>
                <w:rFonts w:hint="eastAsia" w:ascii="仿宋_GB2312" w:eastAsia="仿宋_GB2312" w:cs="仿宋_GB2312"/>
                <w:bCs/>
                <w:kern w:val="2"/>
                <w:sz w:val="24"/>
                <w:szCs w:val="24"/>
              </w:rPr>
              <w:t>.2能根据数控铣床操作手册，能描述数控机床故障现象，能根据系统提示排除数控铣床的气压不足、G54零点未设置、刀库清零、刀仓电机过载、冷却电机过载等一般故障。</w:t>
            </w:r>
          </w:p>
        </w:tc>
        <w:tc>
          <w:tcPr>
            <w:tcW w:w="276" w:type="pct"/>
            <w:tcBorders>
              <w:top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sz w:val="18"/>
                <w:szCs w:val="18"/>
              </w:rPr>
            </w:pPr>
          </w:p>
        </w:tc>
        <w:tc>
          <w:tcPr>
            <w:tcW w:w="250" w:type="pct"/>
            <w:tcBorders>
              <w:top w:val="single" w:color="auto" w:sz="4" w:space="0"/>
            </w:tcBorders>
            <w:vAlign w:val="center"/>
          </w:tcPr>
          <w:p>
            <w:pPr>
              <w:jc w:val="center"/>
              <w:rPr>
                <w:rFonts w:cs="Times New Roman"/>
                <w:kern w:val="2"/>
                <w:sz w:val="18"/>
                <w:szCs w:val="18"/>
                <w:lang w:val="en-US" w:bidi="ar-SA"/>
              </w:rPr>
            </w:pPr>
            <w:r>
              <w:rPr>
                <w:rFonts w:hint="eastAsia" w:cs="Times New Roman"/>
                <w:kern w:val="2"/>
                <w:sz w:val="18"/>
                <w:szCs w:val="18"/>
                <w:lang w:val="en-US" w:bidi="ar-SA"/>
              </w:rPr>
              <w:t>√</w:t>
            </w:r>
          </w:p>
        </w:tc>
        <w:tc>
          <w:tcPr>
            <w:tcW w:w="284" w:type="pct"/>
            <w:vMerge w:val="continue"/>
            <w:vAlign w:val="center"/>
          </w:tcPr>
          <w:p>
            <w:pPr>
              <w:jc w:val="center"/>
              <w:rPr>
                <w:rFonts w:asciiTheme="minorEastAsia" w:hAnsiTheme="minorEastAsia" w:eastAsiaTheme="minorEastAsia"/>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 w:hRule="atLeast"/>
          <w:jc w:val="center"/>
        </w:trPr>
        <w:tc>
          <w:tcPr>
            <w:tcW w:w="443" w:type="pct"/>
            <w:vMerge w:val="restart"/>
            <w:vAlign w:val="center"/>
          </w:tcPr>
          <w:p>
            <w:pPr>
              <w:rPr>
                <w:rFonts w:ascii="仿宋_GB2312" w:eastAsia="仿宋_GB2312" w:cs="仿宋_GB2312"/>
                <w:bCs/>
                <w:color w:val="000000" w:themeColor="text1"/>
                <w:kern w:val="2"/>
                <w:sz w:val="24"/>
                <w:szCs w:val="24"/>
              </w:rPr>
            </w:pPr>
            <w:bookmarkStart w:id="3" w:name="_Hlk33367513"/>
            <w:r>
              <w:rPr>
                <w:rFonts w:hint="eastAsia" w:ascii="仿宋_GB2312" w:eastAsia="仿宋_GB2312" w:cs="仿宋_GB2312"/>
                <w:bCs/>
                <w:color w:val="000000" w:themeColor="text1"/>
                <w:kern w:val="2"/>
                <w:sz w:val="24"/>
                <w:szCs w:val="24"/>
              </w:rPr>
              <w:t>4.新技术应用</w:t>
            </w:r>
            <w:bookmarkEnd w:id="3"/>
          </w:p>
        </w:tc>
        <w:tc>
          <w:tcPr>
            <w:tcW w:w="746" w:type="pct"/>
            <w:vMerge w:val="restart"/>
            <w:vAlign w:val="center"/>
          </w:tcPr>
          <w:p>
            <w:pPr>
              <w:rPr>
                <w:rFonts w:ascii="仿宋_GB2312" w:eastAsia="仿宋_GB2312" w:cs="仿宋_GB2312"/>
                <w:bCs/>
                <w:color w:val="000000" w:themeColor="text1"/>
                <w:kern w:val="2"/>
                <w:sz w:val="24"/>
                <w:szCs w:val="24"/>
              </w:rPr>
            </w:pPr>
            <w:r>
              <w:rPr>
                <w:rFonts w:hint="eastAsia" w:ascii="仿宋_GB2312" w:eastAsia="仿宋_GB2312" w:cs="仿宋_GB2312"/>
                <w:bCs/>
                <w:sz w:val="24"/>
                <w:szCs w:val="24"/>
                <w:lang w:val="en-US"/>
              </w:rPr>
              <w:t>4.</w:t>
            </w:r>
            <w:r>
              <w:rPr>
                <w:rFonts w:ascii="仿宋_GB2312" w:eastAsia="仿宋_GB2312" w:cs="仿宋_GB2312"/>
                <w:bCs/>
                <w:sz w:val="24"/>
                <w:szCs w:val="24"/>
                <w:lang w:val="en-US"/>
              </w:rPr>
              <w:t>1</w:t>
            </w:r>
            <w:r>
              <w:rPr>
                <w:rFonts w:hint="eastAsia" w:ascii="仿宋_GB2312" w:eastAsia="仿宋_GB2312" w:cs="仿宋_GB2312"/>
                <w:bCs/>
                <w:sz w:val="24"/>
                <w:szCs w:val="24"/>
                <w:lang w:val="en-US"/>
              </w:rPr>
              <w:t>数控机床误差补偿</w:t>
            </w:r>
          </w:p>
        </w:tc>
        <w:tc>
          <w:tcPr>
            <w:tcW w:w="2744" w:type="pct"/>
            <w:tcBorders>
              <w:top w:val="single" w:color="auto" w:sz="4" w:space="0"/>
              <w:bottom w:val="single" w:color="auto" w:sz="4" w:space="0"/>
            </w:tcBorders>
            <w:vAlign w:val="center"/>
          </w:tcPr>
          <w:p>
            <w:pPr>
              <w:pStyle w:val="20"/>
              <w:spacing w:line="242" w:lineRule="auto"/>
              <w:rPr>
                <w:rFonts w:ascii="仿宋_GB2312" w:eastAsia="仿宋_GB2312" w:cs="仿宋_GB2312"/>
                <w:bCs/>
                <w:color w:val="000000" w:themeColor="text1"/>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1</w:t>
            </w:r>
            <w:r>
              <w:rPr>
                <w:rFonts w:hint="eastAsia" w:ascii="仿宋_GB2312" w:eastAsia="仿宋_GB2312" w:cs="仿宋_GB2312"/>
                <w:bCs/>
                <w:sz w:val="24"/>
                <w:szCs w:val="24"/>
                <w:lang w:val="en-US" w:bidi="ar-SA"/>
              </w:rPr>
              <w:t>.1能根据数控系统说明书，使用数控系统中自适应补偿功能，完成机床热误差自适应补偿。</w:t>
            </w:r>
          </w:p>
        </w:tc>
        <w:tc>
          <w:tcPr>
            <w:tcW w:w="276" w:type="pct"/>
            <w:tcBorders>
              <w:top w:val="single" w:color="auto" w:sz="4" w:space="0"/>
              <w:bottom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restart"/>
            <w:tcBorders>
              <w:top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3</w:t>
            </w: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restart"/>
            <w:tcBorders>
              <w:top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 w:hRule="atLeast"/>
          <w:jc w:val="center"/>
        </w:trPr>
        <w:tc>
          <w:tcPr>
            <w:tcW w:w="443" w:type="pct"/>
            <w:vMerge w:val="continue"/>
            <w:vAlign w:val="center"/>
          </w:tcPr>
          <w:p>
            <w:pPr>
              <w:rPr>
                <w:rFonts w:ascii="仿宋_GB2312" w:eastAsia="仿宋_GB2312" w:cs="仿宋_GB2312"/>
                <w:bCs/>
                <w:color w:val="000000" w:themeColor="text1"/>
                <w:kern w:val="2"/>
                <w:sz w:val="24"/>
                <w:szCs w:val="24"/>
              </w:rPr>
            </w:pPr>
          </w:p>
        </w:tc>
        <w:tc>
          <w:tcPr>
            <w:tcW w:w="746" w:type="pct"/>
            <w:vMerge w:val="continue"/>
            <w:vAlign w:val="center"/>
          </w:tcPr>
          <w:p>
            <w:pPr>
              <w:rPr>
                <w:rFonts w:ascii="仿宋_GB2312" w:eastAsia="仿宋_GB2312" w:cs="仿宋_GB2312"/>
                <w:bCs/>
                <w:sz w:val="24"/>
                <w:szCs w:val="24"/>
                <w:lang w:val="en-US"/>
              </w:rPr>
            </w:pPr>
          </w:p>
        </w:tc>
        <w:tc>
          <w:tcPr>
            <w:tcW w:w="2744" w:type="pct"/>
            <w:tcBorders>
              <w:top w:val="single" w:color="auto" w:sz="4" w:space="0"/>
              <w:bottom w:val="single" w:color="auto" w:sz="4" w:space="0"/>
            </w:tcBorders>
            <w:vAlign w:val="center"/>
          </w:tcPr>
          <w:p>
            <w:pPr>
              <w:pStyle w:val="20"/>
              <w:spacing w:line="242" w:lineRule="auto"/>
              <w:rPr>
                <w:rFonts w:ascii="仿宋_GB2312" w:eastAsia="仿宋_GB2312" w:cs="仿宋_GB2312"/>
                <w:bCs/>
                <w:color w:val="000000" w:themeColor="text1"/>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1</w:t>
            </w:r>
            <w:r>
              <w:rPr>
                <w:rFonts w:hint="eastAsia" w:ascii="仿宋_GB2312" w:eastAsia="仿宋_GB2312" w:cs="仿宋_GB2312"/>
                <w:bCs/>
                <w:sz w:val="24"/>
                <w:szCs w:val="24"/>
                <w:lang w:val="en-US" w:bidi="ar-SA"/>
              </w:rPr>
              <w:t>.2能根据数控系统说明书，使用数控系统检测工具，完成热误差补偿之后的数控机床检测。</w:t>
            </w:r>
          </w:p>
        </w:tc>
        <w:tc>
          <w:tcPr>
            <w:tcW w:w="276" w:type="pct"/>
            <w:tcBorders>
              <w:top w:val="single" w:color="auto" w:sz="4" w:space="0"/>
              <w:bottom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color w:val="000000" w:themeColor="text1"/>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continue"/>
            <w:vAlign w:val="center"/>
          </w:tcPr>
          <w:p>
            <w:pPr>
              <w:jc w:val="center"/>
              <w:rPr>
                <w:rFonts w:asciiTheme="minorEastAsia" w:hAnsiTheme="minorEastAsia" w:eastAsiaTheme="minorEastAsia"/>
                <w:color w:val="000000" w:themeColor="text1"/>
                <w:sz w:val="18"/>
                <w:szCs w:val="1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 w:hRule="atLeast"/>
          <w:jc w:val="center"/>
        </w:trPr>
        <w:tc>
          <w:tcPr>
            <w:tcW w:w="443" w:type="pct"/>
            <w:vMerge w:val="continue"/>
            <w:vAlign w:val="center"/>
          </w:tcPr>
          <w:p>
            <w:pPr>
              <w:rPr>
                <w:rFonts w:ascii="仿宋_GB2312" w:eastAsia="仿宋_GB2312" w:cs="仿宋_GB2312"/>
                <w:bCs/>
                <w:color w:val="000000" w:themeColor="text1"/>
                <w:kern w:val="2"/>
                <w:sz w:val="24"/>
                <w:szCs w:val="24"/>
              </w:rPr>
            </w:pPr>
          </w:p>
        </w:tc>
        <w:tc>
          <w:tcPr>
            <w:tcW w:w="746" w:type="pct"/>
            <w:vMerge w:val="continue"/>
            <w:vAlign w:val="center"/>
          </w:tcPr>
          <w:p>
            <w:pPr>
              <w:rPr>
                <w:rFonts w:ascii="仿宋_GB2312" w:eastAsia="仿宋_GB2312" w:cs="仿宋_GB2312"/>
                <w:bCs/>
                <w:sz w:val="24"/>
                <w:szCs w:val="24"/>
                <w:lang w:val="en-US"/>
              </w:rPr>
            </w:pPr>
          </w:p>
        </w:tc>
        <w:tc>
          <w:tcPr>
            <w:tcW w:w="2744" w:type="pct"/>
            <w:tcBorders>
              <w:top w:val="single" w:color="auto" w:sz="4" w:space="0"/>
            </w:tcBorders>
            <w:vAlign w:val="center"/>
          </w:tcPr>
          <w:p>
            <w:pPr>
              <w:pStyle w:val="20"/>
              <w:spacing w:line="242" w:lineRule="auto"/>
              <w:rPr>
                <w:rFonts w:ascii="仿宋_GB2312" w:eastAsia="仿宋_GB2312" w:cs="仿宋_GB2312"/>
                <w:bCs/>
                <w:color w:val="000000" w:themeColor="text1"/>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1</w:t>
            </w:r>
            <w:r>
              <w:rPr>
                <w:rFonts w:hint="eastAsia" w:ascii="仿宋_GB2312" w:eastAsia="仿宋_GB2312" w:cs="仿宋_GB2312"/>
                <w:bCs/>
                <w:sz w:val="24"/>
                <w:szCs w:val="24"/>
                <w:lang w:val="en-US" w:bidi="ar-SA"/>
              </w:rPr>
              <w:t>.3能根据数控系统说明书，使用数控系统中误差分析及补偿工具，完成机床直线度误差补偿。</w:t>
            </w:r>
          </w:p>
        </w:tc>
        <w:tc>
          <w:tcPr>
            <w:tcW w:w="276" w:type="pct"/>
            <w:tcBorders>
              <w:top w:val="single" w:color="auto" w:sz="4" w:space="0"/>
              <w:bottom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color w:val="000000" w:themeColor="text1"/>
                <w:sz w:val="18"/>
                <w:szCs w:val="18"/>
              </w:rPr>
            </w:pPr>
          </w:p>
        </w:tc>
        <w:tc>
          <w:tcPr>
            <w:tcW w:w="250" w:type="pct"/>
            <w:tcBorders>
              <w:top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continue"/>
            <w:vAlign w:val="center"/>
          </w:tcPr>
          <w:p>
            <w:pPr>
              <w:jc w:val="center"/>
              <w:rPr>
                <w:rFonts w:asciiTheme="minorEastAsia" w:hAnsiTheme="minorEastAsia" w:eastAsiaTheme="minorEastAsia"/>
                <w:color w:val="000000" w:themeColor="text1"/>
                <w:sz w:val="18"/>
                <w:szCs w:val="1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443" w:type="pct"/>
            <w:vMerge w:val="continue"/>
            <w:vAlign w:val="center"/>
          </w:tcPr>
          <w:p>
            <w:pPr>
              <w:rPr>
                <w:rFonts w:ascii="仿宋_GB2312" w:eastAsia="仿宋_GB2312" w:cs="仿宋_GB2312"/>
                <w:bCs/>
                <w:color w:val="000000" w:themeColor="text1"/>
                <w:kern w:val="2"/>
                <w:sz w:val="24"/>
                <w:szCs w:val="24"/>
              </w:rPr>
            </w:pPr>
          </w:p>
        </w:tc>
        <w:tc>
          <w:tcPr>
            <w:tcW w:w="746" w:type="pct"/>
            <w:vMerge w:val="continue"/>
            <w:vAlign w:val="center"/>
          </w:tcPr>
          <w:p>
            <w:pPr>
              <w:rPr>
                <w:rFonts w:ascii="仿宋_GB2312" w:eastAsia="仿宋_GB2312" w:cs="仿宋_GB2312"/>
                <w:bCs/>
                <w:color w:val="000000" w:themeColor="text1"/>
                <w:kern w:val="2"/>
                <w:sz w:val="24"/>
                <w:szCs w:val="24"/>
              </w:rPr>
            </w:pPr>
          </w:p>
        </w:tc>
        <w:tc>
          <w:tcPr>
            <w:tcW w:w="2744" w:type="pct"/>
            <w:tcBorders>
              <w:top w:val="single" w:color="auto" w:sz="4" w:space="0"/>
            </w:tcBorders>
            <w:vAlign w:val="center"/>
          </w:tcPr>
          <w:p>
            <w:pPr>
              <w:pStyle w:val="27"/>
              <w:jc w:val="left"/>
              <w:rPr>
                <w:rFonts w:ascii="仿宋_GB2312" w:hAnsi="宋体" w:eastAsia="仿宋_GB2312" w:cs="仿宋_GB2312"/>
                <w:bCs/>
                <w:color w:val="000000" w:themeColor="text1"/>
                <w:sz w:val="24"/>
                <w:szCs w:val="24"/>
              </w:rPr>
            </w:pPr>
            <w:r>
              <w:rPr>
                <w:rFonts w:hint="eastAsia" w:ascii="仿宋_GB2312" w:hAnsi="宋体" w:eastAsia="仿宋_GB2312" w:cs="仿宋_GB2312"/>
                <w:bCs/>
                <w:sz w:val="24"/>
                <w:szCs w:val="24"/>
              </w:rPr>
              <w:t>4.</w:t>
            </w:r>
            <w:r>
              <w:rPr>
                <w:rFonts w:ascii="仿宋_GB2312" w:hAnsi="宋体" w:eastAsia="仿宋_GB2312" w:cs="仿宋_GB2312"/>
                <w:bCs/>
                <w:sz w:val="24"/>
                <w:szCs w:val="24"/>
              </w:rPr>
              <w:t>1</w:t>
            </w:r>
            <w:r>
              <w:rPr>
                <w:rFonts w:hint="eastAsia" w:ascii="仿宋_GB2312" w:hAnsi="宋体" w:eastAsia="仿宋_GB2312" w:cs="仿宋_GB2312"/>
                <w:bCs/>
                <w:sz w:val="24"/>
                <w:szCs w:val="24"/>
              </w:rPr>
              <w:t>.4能根据数控系统说明书，使用数控系统中误差分析及补偿工具，完成机床俯仰误差补偿。</w:t>
            </w:r>
          </w:p>
        </w:tc>
        <w:tc>
          <w:tcPr>
            <w:tcW w:w="276" w:type="pct"/>
            <w:tcBorders>
              <w:top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continue"/>
            <w:tcBorders>
              <w:bottom w:val="single" w:color="auto" w:sz="4" w:space="0"/>
            </w:tcBorders>
            <w:vAlign w:val="center"/>
          </w:tcPr>
          <w:p>
            <w:pPr>
              <w:jc w:val="center"/>
              <w:rPr>
                <w:rFonts w:asciiTheme="minorEastAsia" w:hAnsiTheme="minorEastAsia" w:eastAsiaTheme="minorEastAsia"/>
                <w:color w:val="000000" w:themeColor="text1"/>
                <w:sz w:val="18"/>
                <w:szCs w:val="18"/>
              </w:rPr>
            </w:pPr>
          </w:p>
        </w:tc>
        <w:tc>
          <w:tcPr>
            <w:tcW w:w="250" w:type="pct"/>
            <w:tcBorders>
              <w:top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continue"/>
            <w:vAlign w:val="center"/>
          </w:tcPr>
          <w:p>
            <w:pPr>
              <w:jc w:val="center"/>
              <w:rPr>
                <w:rFonts w:asciiTheme="minorEastAsia" w:hAnsiTheme="minorEastAsia" w:eastAsiaTheme="minorEastAsia"/>
                <w:color w:val="000000" w:themeColor="text1"/>
                <w:sz w:val="18"/>
                <w:szCs w:val="1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 w:hRule="atLeast"/>
          <w:jc w:val="center"/>
        </w:trPr>
        <w:tc>
          <w:tcPr>
            <w:tcW w:w="443" w:type="pct"/>
            <w:vMerge w:val="continue"/>
            <w:vAlign w:val="center"/>
          </w:tcPr>
          <w:p>
            <w:pPr>
              <w:rPr>
                <w:rFonts w:asciiTheme="minorEastAsia" w:hAnsiTheme="minorEastAsia" w:eastAsiaTheme="minorEastAsia"/>
                <w:color w:val="000000" w:themeColor="text1"/>
                <w:sz w:val="18"/>
                <w:szCs w:val="18"/>
              </w:rPr>
            </w:pPr>
          </w:p>
        </w:tc>
        <w:tc>
          <w:tcPr>
            <w:tcW w:w="746" w:type="pct"/>
            <w:vMerge w:val="restart"/>
            <w:vAlign w:val="center"/>
          </w:tcPr>
          <w:p>
            <w:pPr>
              <w:pStyle w:val="20"/>
              <w:spacing w:line="242"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数控机床远程运维服务</w:t>
            </w:r>
          </w:p>
          <w:p>
            <w:pPr>
              <w:rPr>
                <w:rFonts w:ascii="仿宋_GB2312" w:eastAsia="仿宋_GB2312" w:cs="仿宋_GB2312"/>
                <w:bCs/>
                <w:color w:val="000000" w:themeColor="text1"/>
                <w:kern w:val="2"/>
                <w:sz w:val="24"/>
                <w:szCs w:val="24"/>
              </w:rPr>
            </w:pPr>
          </w:p>
        </w:tc>
        <w:tc>
          <w:tcPr>
            <w:tcW w:w="2744" w:type="pct"/>
            <w:tcBorders>
              <w:top w:val="single" w:color="auto" w:sz="4" w:space="0"/>
              <w:bottom w:val="single" w:color="auto" w:sz="4" w:space="0"/>
            </w:tcBorders>
            <w:vAlign w:val="center"/>
          </w:tcPr>
          <w:p>
            <w:pPr>
              <w:pStyle w:val="20"/>
              <w:rPr>
                <w:rFonts w:ascii="仿宋_GB2312" w:eastAsia="仿宋_GB2312" w:cs="仿宋_GB2312"/>
                <w:bCs/>
                <w:color w:val="000000" w:themeColor="text1"/>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.1能根据数控机床远程运维操作手册，完成数控机床远程运维平台的连接。</w:t>
            </w:r>
          </w:p>
        </w:tc>
        <w:tc>
          <w:tcPr>
            <w:tcW w:w="276" w:type="pct"/>
            <w:tcBorders>
              <w:top w:val="single" w:color="auto" w:sz="4" w:space="0"/>
              <w:bottom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restart"/>
            <w:tcBorders>
              <w:top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3</w:t>
            </w: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restart"/>
            <w:tcBorders>
              <w:top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 w:hRule="atLeast"/>
          <w:jc w:val="center"/>
        </w:trPr>
        <w:tc>
          <w:tcPr>
            <w:tcW w:w="443" w:type="pct"/>
            <w:vMerge w:val="continue"/>
            <w:vAlign w:val="center"/>
          </w:tcPr>
          <w:p>
            <w:pPr>
              <w:rPr>
                <w:rFonts w:asciiTheme="minorEastAsia" w:hAnsiTheme="minorEastAsia" w:eastAsiaTheme="minorEastAsia"/>
                <w:color w:val="000000" w:themeColor="text1"/>
                <w:sz w:val="18"/>
                <w:szCs w:val="18"/>
              </w:rPr>
            </w:pPr>
          </w:p>
        </w:tc>
        <w:tc>
          <w:tcPr>
            <w:tcW w:w="746" w:type="pct"/>
            <w:vMerge w:val="continue"/>
            <w:vAlign w:val="center"/>
          </w:tcPr>
          <w:p>
            <w:pPr>
              <w:pStyle w:val="27"/>
              <w:jc w:val="left"/>
              <w:rPr>
                <w:rFonts w:ascii="仿宋_GB2312" w:hAnsi="宋体" w:eastAsia="仿宋_GB2312" w:cs="仿宋_GB2312"/>
                <w:bCs/>
                <w:kern w:val="2"/>
                <w:sz w:val="24"/>
                <w:szCs w:val="24"/>
              </w:rPr>
            </w:pPr>
          </w:p>
        </w:tc>
        <w:tc>
          <w:tcPr>
            <w:tcW w:w="2744" w:type="pct"/>
            <w:tcBorders>
              <w:top w:val="single" w:color="auto" w:sz="4" w:space="0"/>
              <w:bottom w:val="single" w:color="auto" w:sz="4" w:space="0"/>
            </w:tcBorders>
            <w:vAlign w:val="center"/>
          </w:tcPr>
          <w:p>
            <w:pPr>
              <w:pStyle w:val="20"/>
              <w:rPr>
                <w:rFonts w:ascii="仿宋_GB2312" w:eastAsia="仿宋_GB2312" w:cs="仿宋_GB2312"/>
                <w:bCs/>
                <w:color w:val="000000" w:themeColor="text1"/>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.2能根据数控机床远程运维操作手册，通过远程运维平台，完成数控机床设备工作状态、生产情况的远程监控。</w:t>
            </w:r>
          </w:p>
        </w:tc>
        <w:tc>
          <w:tcPr>
            <w:tcW w:w="276" w:type="pct"/>
            <w:tcBorders>
              <w:top w:val="single" w:color="auto" w:sz="4" w:space="0"/>
              <w:bottom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color w:val="000000" w:themeColor="text1"/>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continue"/>
            <w:vAlign w:val="center"/>
          </w:tcPr>
          <w:p>
            <w:pPr>
              <w:jc w:val="center"/>
              <w:rPr>
                <w:rFonts w:asciiTheme="minorEastAsia" w:hAnsiTheme="minorEastAsia" w:eastAsiaTheme="minorEastAsia"/>
                <w:color w:val="000000" w:themeColor="text1"/>
                <w:sz w:val="18"/>
                <w:szCs w:val="1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 w:hRule="atLeast"/>
          <w:jc w:val="center"/>
        </w:trPr>
        <w:tc>
          <w:tcPr>
            <w:tcW w:w="443" w:type="pct"/>
            <w:vMerge w:val="continue"/>
            <w:vAlign w:val="center"/>
          </w:tcPr>
          <w:p>
            <w:pPr>
              <w:rPr>
                <w:rFonts w:asciiTheme="minorEastAsia" w:hAnsiTheme="minorEastAsia" w:eastAsiaTheme="minorEastAsia"/>
                <w:color w:val="000000" w:themeColor="text1"/>
                <w:sz w:val="18"/>
                <w:szCs w:val="18"/>
              </w:rPr>
            </w:pPr>
          </w:p>
        </w:tc>
        <w:tc>
          <w:tcPr>
            <w:tcW w:w="746" w:type="pct"/>
            <w:vMerge w:val="continue"/>
            <w:vAlign w:val="center"/>
          </w:tcPr>
          <w:p>
            <w:pPr>
              <w:rPr>
                <w:rFonts w:ascii="仿宋_GB2312" w:eastAsia="仿宋_GB2312" w:cs="仿宋_GB2312"/>
                <w:bCs/>
                <w:color w:val="000000" w:themeColor="text1"/>
                <w:kern w:val="2"/>
                <w:sz w:val="24"/>
                <w:szCs w:val="24"/>
              </w:rPr>
            </w:pPr>
          </w:p>
        </w:tc>
        <w:tc>
          <w:tcPr>
            <w:tcW w:w="2744" w:type="pct"/>
            <w:tcBorders>
              <w:top w:val="single" w:color="auto" w:sz="4" w:space="0"/>
              <w:bottom w:val="single" w:color="auto" w:sz="4" w:space="0"/>
            </w:tcBorders>
            <w:vAlign w:val="center"/>
          </w:tcPr>
          <w:p>
            <w:pPr>
              <w:pStyle w:val="20"/>
              <w:rPr>
                <w:rFonts w:ascii="仿宋_GB2312" w:eastAsia="仿宋_GB2312" w:cs="仿宋_GB2312"/>
                <w:bCs/>
                <w:color w:val="000000" w:themeColor="text1"/>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.3能根据数控机床远程运维操作手册，使通过远程运维平台，完成数控机床工作效率的统计。</w:t>
            </w:r>
          </w:p>
        </w:tc>
        <w:tc>
          <w:tcPr>
            <w:tcW w:w="276" w:type="pct"/>
            <w:tcBorders>
              <w:top w:val="single" w:color="auto" w:sz="4" w:space="0"/>
              <w:bottom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color w:val="000000" w:themeColor="text1"/>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continue"/>
            <w:vAlign w:val="center"/>
          </w:tcPr>
          <w:p>
            <w:pPr>
              <w:jc w:val="center"/>
              <w:rPr>
                <w:rFonts w:asciiTheme="minorEastAsia" w:hAnsiTheme="minorEastAsia" w:eastAsiaTheme="minorEastAsia"/>
                <w:color w:val="000000" w:themeColor="text1"/>
                <w:sz w:val="18"/>
                <w:szCs w:val="1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 w:hRule="atLeast"/>
          <w:jc w:val="center"/>
        </w:trPr>
        <w:tc>
          <w:tcPr>
            <w:tcW w:w="443" w:type="pct"/>
            <w:vMerge w:val="continue"/>
            <w:vAlign w:val="center"/>
          </w:tcPr>
          <w:p>
            <w:pPr>
              <w:rPr>
                <w:rFonts w:asciiTheme="minorEastAsia" w:hAnsiTheme="minorEastAsia" w:eastAsiaTheme="minorEastAsia"/>
                <w:color w:val="000000" w:themeColor="text1"/>
                <w:sz w:val="18"/>
                <w:szCs w:val="18"/>
              </w:rPr>
            </w:pPr>
          </w:p>
        </w:tc>
        <w:tc>
          <w:tcPr>
            <w:tcW w:w="746" w:type="pct"/>
            <w:vMerge w:val="continue"/>
            <w:tcBorders>
              <w:bottom w:val="single" w:color="auto" w:sz="4" w:space="0"/>
            </w:tcBorders>
            <w:vAlign w:val="center"/>
          </w:tcPr>
          <w:p>
            <w:pPr>
              <w:rPr>
                <w:rFonts w:ascii="仿宋_GB2312" w:eastAsia="仿宋_GB2312" w:cs="仿宋_GB2312"/>
                <w:bCs/>
                <w:color w:val="000000" w:themeColor="text1"/>
                <w:kern w:val="2"/>
                <w:sz w:val="24"/>
                <w:szCs w:val="24"/>
              </w:rPr>
            </w:pPr>
          </w:p>
        </w:tc>
        <w:tc>
          <w:tcPr>
            <w:tcW w:w="2744" w:type="pct"/>
            <w:tcBorders>
              <w:top w:val="single" w:color="auto" w:sz="4" w:space="0"/>
              <w:bottom w:val="single" w:color="auto" w:sz="4" w:space="0"/>
            </w:tcBorders>
            <w:vAlign w:val="center"/>
          </w:tcPr>
          <w:p>
            <w:pPr>
              <w:pStyle w:val="27"/>
              <w:jc w:val="left"/>
              <w:rPr>
                <w:rFonts w:ascii="仿宋_GB2312" w:hAnsi="宋体" w:eastAsia="仿宋_GB2312" w:cs="仿宋_GB2312"/>
                <w:bCs/>
                <w:color w:val="000000" w:themeColor="text1"/>
                <w:sz w:val="24"/>
                <w:szCs w:val="24"/>
              </w:rPr>
            </w:pPr>
            <w:r>
              <w:rPr>
                <w:rFonts w:hint="eastAsia" w:ascii="仿宋_GB2312" w:hAnsi="宋体" w:eastAsia="仿宋_GB2312" w:cs="仿宋_GB2312"/>
                <w:bCs/>
                <w:sz w:val="24"/>
                <w:szCs w:val="24"/>
              </w:rPr>
              <w:t>4.</w:t>
            </w:r>
            <w:r>
              <w:rPr>
                <w:rFonts w:ascii="仿宋_GB2312" w:hAnsi="宋体" w:eastAsia="仿宋_GB2312" w:cs="仿宋_GB2312"/>
                <w:bCs/>
                <w:sz w:val="24"/>
                <w:szCs w:val="24"/>
              </w:rPr>
              <w:t>2</w:t>
            </w:r>
            <w:r>
              <w:rPr>
                <w:rFonts w:hint="eastAsia" w:ascii="仿宋_GB2312" w:hAnsi="宋体" w:eastAsia="仿宋_GB2312" w:cs="仿宋_GB2312"/>
                <w:bCs/>
                <w:sz w:val="24"/>
                <w:szCs w:val="24"/>
              </w:rPr>
              <w:t>.4能根据数控机床远程运维操作手册，通过远程运维平台，及时发现和处理报警信息。</w:t>
            </w:r>
          </w:p>
        </w:tc>
        <w:tc>
          <w:tcPr>
            <w:tcW w:w="276" w:type="pct"/>
            <w:tcBorders>
              <w:top w:val="single" w:color="auto" w:sz="4" w:space="0"/>
              <w:bottom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continue"/>
            <w:tcBorders>
              <w:bottom w:val="single" w:color="auto" w:sz="4" w:space="0"/>
            </w:tcBorders>
            <w:vAlign w:val="center"/>
          </w:tcPr>
          <w:p>
            <w:pPr>
              <w:jc w:val="center"/>
              <w:rPr>
                <w:rFonts w:asciiTheme="minorEastAsia" w:hAnsiTheme="minorEastAsia" w:eastAsiaTheme="minorEastAsia"/>
                <w:color w:val="000000" w:themeColor="text1"/>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continue"/>
            <w:tcBorders>
              <w:bottom w:val="single" w:color="auto" w:sz="4" w:space="0"/>
            </w:tcBorders>
            <w:vAlign w:val="center"/>
          </w:tcPr>
          <w:p>
            <w:pPr>
              <w:jc w:val="center"/>
              <w:rPr>
                <w:rFonts w:asciiTheme="minorEastAsia" w:hAnsiTheme="minorEastAsia" w:eastAsiaTheme="minorEastAsia"/>
                <w:color w:val="000000" w:themeColor="text1"/>
                <w:sz w:val="18"/>
                <w:szCs w:val="1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 w:hRule="atLeast"/>
          <w:jc w:val="center"/>
        </w:trPr>
        <w:tc>
          <w:tcPr>
            <w:tcW w:w="443" w:type="pct"/>
            <w:vMerge w:val="continue"/>
            <w:vAlign w:val="center"/>
          </w:tcPr>
          <w:p>
            <w:pPr>
              <w:rPr>
                <w:rFonts w:asciiTheme="minorEastAsia" w:hAnsiTheme="minorEastAsia" w:eastAsiaTheme="minorEastAsia"/>
                <w:color w:val="000000" w:themeColor="text1"/>
                <w:sz w:val="18"/>
                <w:szCs w:val="18"/>
              </w:rPr>
            </w:pPr>
          </w:p>
        </w:tc>
        <w:tc>
          <w:tcPr>
            <w:tcW w:w="746" w:type="pct"/>
            <w:vMerge w:val="restart"/>
            <w:tcBorders>
              <w:top w:val="single" w:color="auto" w:sz="4" w:space="0"/>
            </w:tcBorders>
            <w:vAlign w:val="center"/>
          </w:tcPr>
          <w:p>
            <w:pPr>
              <w:rPr>
                <w:rFonts w:ascii="仿宋_GB2312" w:eastAsia="仿宋_GB2312" w:cs="仿宋_GB2312"/>
                <w:bCs/>
                <w:color w:val="000000" w:themeColor="text1"/>
                <w:kern w:val="2"/>
                <w:sz w:val="24"/>
                <w:szCs w:val="24"/>
              </w:rPr>
            </w:pPr>
            <w:r>
              <w:rPr>
                <w:rFonts w:hint="eastAsia" w:ascii="仿宋_GB2312" w:eastAsia="仿宋_GB2312" w:cs="仿宋_GB2312"/>
                <w:bCs/>
                <w:sz w:val="24"/>
                <w:szCs w:val="24"/>
                <w:lang w:val="en-US"/>
              </w:rPr>
              <w:t>4.</w:t>
            </w:r>
            <w:r>
              <w:rPr>
                <w:rFonts w:ascii="仿宋_GB2312" w:eastAsia="仿宋_GB2312" w:cs="仿宋_GB2312"/>
                <w:bCs/>
                <w:sz w:val="24"/>
                <w:szCs w:val="24"/>
                <w:lang w:val="en-US"/>
              </w:rPr>
              <w:t>3</w:t>
            </w:r>
            <w:r>
              <w:rPr>
                <w:rFonts w:hint="eastAsia" w:ascii="仿宋_GB2312" w:eastAsia="仿宋_GB2312" w:cs="仿宋_GB2312"/>
                <w:bCs/>
                <w:sz w:val="24"/>
                <w:szCs w:val="24"/>
                <w:lang w:val="en-US"/>
              </w:rPr>
              <w:t>智能制造工程实施</w:t>
            </w:r>
          </w:p>
        </w:tc>
        <w:tc>
          <w:tcPr>
            <w:tcW w:w="2744" w:type="pct"/>
            <w:tcBorders>
              <w:top w:val="single" w:color="auto" w:sz="4" w:space="0"/>
              <w:bottom w:val="single" w:color="auto" w:sz="4" w:space="0"/>
            </w:tcBorders>
            <w:vAlign w:val="center"/>
          </w:tcPr>
          <w:p>
            <w:pPr>
              <w:pStyle w:val="20"/>
              <w:spacing w:line="242" w:lineRule="auto"/>
              <w:rPr>
                <w:rFonts w:ascii="仿宋_GB2312" w:eastAsia="仿宋_GB2312" w:cs="仿宋_GB2312"/>
                <w:bCs/>
                <w:color w:val="000000" w:themeColor="text1"/>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3</w:t>
            </w: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1</w:t>
            </w:r>
            <w:r>
              <w:rPr>
                <w:rFonts w:hint="eastAsia" w:ascii="仿宋_GB2312" w:eastAsia="仿宋_GB2312" w:cs="仿宋_GB2312"/>
                <w:bCs/>
                <w:sz w:val="24"/>
                <w:szCs w:val="24"/>
                <w:lang w:val="en-US" w:bidi="ar-SA"/>
              </w:rPr>
              <w:t>能根据企业智能制造工程实施具体案例，辨识离散型智能制造模式与流程型智能制造模式。</w:t>
            </w:r>
          </w:p>
        </w:tc>
        <w:tc>
          <w:tcPr>
            <w:tcW w:w="276" w:type="pct"/>
            <w:tcBorders>
              <w:top w:val="single" w:color="auto" w:sz="4" w:space="0"/>
              <w:bottom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restart"/>
            <w:tcBorders>
              <w:top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4</w:t>
            </w: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restart"/>
            <w:tcBorders>
              <w:top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 w:hRule="atLeast"/>
          <w:jc w:val="center"/>
        </w:trPr>
        <w:tc>
          <w:tcPr>
            <w:tcW w:w="443" w:type="pct"/>
            <w:vMerge w:val="continue"/>
            <w:vAlign w:val="center"/>
          </w:tcPr>
          <w:p>
            <w:pPr>
              <w:rPr>
                <w:rFonts w:asciiTheme="minorEastAsia" w:hAnsiTheme="minorEastAsia" w:eastAsiaTheme="minorEastAsia"/>
                <w:color w:val="000000" w:themeColor="text1"/>
                <w:sz w:val="18"/>
                <w:szCs w:val="18"/>
              </w:rPr>
            </w:pPr>
          </w:p>
        </w:tc>
        <w:tc>
          <w:tcPr>
            <w:tcW w:w="746" w:type="pct"/>
            <w:vMerge w:val="continue"/>
            <w:vAlign w:val="center"/>
          </w:tcPr>
          <w:p>
            <w:pPr>
              <w:rPr>
                <w:rFonts w:ascii="仿宋_GB2312" w:eastAsia="仿宋_GB2312" w:cs="仿宋_GB2312"/>
                <w:bCs/>
                <w:color w:val="000000" w:themeColor="text1"/>
                <w:kern w:val="2"/>
                <w:sz w:val="24"/>
                <w:szCs w:val="24"/>
              </w:rPr>
            </w:pPr>
          </w:p>
        </w:tc>
        <w:tc>
          <w:tcPr>
            <w:tcW w:w="2744" w:type="pct"/>
            <w:tcBorders>
              <w:top w:val="single" w:color="auto" w:sz="4" w:space="0"/>
              <w:bottom w:val="single" w:color="auto" w:sz="4" w:space="0"/>
            </w:tcBorders>
            <w:vAlign w:val="center"/>
          </w:tcPr>
          <w:p>
            <w:pPr>
              <w:pStyle w:val="20"/>
              <w:spacing w:line="242" w:lineRule="auto"/>
              <w:rPr>
                <w:rFonts w:ascii="仿宋_GB2312" w:eastAsia="仿宋_GB2312" w:cs="仿宋_GB2312"/>
                <w:bCs/>
                <w:color w:val="000000" w:themeColor="text1"/>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3</w:t>
            </w: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能根据企业网络协同制造模式实施具体案例，能指出网络协同制造模式的2-</w:t>
            </w:r>
            <w:r>
              <w:rPr>
                <w:rFonts w:ascii="仿宋_GB2312" w:eastAsia="仿宋_GB2312" w:cs="仿宋_GB2312"/>
                <w:bCs/>
                <w:sz w:val="24"/>
                <w:szCs w:val="24"/>
                <w:lang w:val="en-US" w:bidi="ar-SA"/>
              </w:rPr>
              <w:t>3</w:t>
            </w:r>
            <w:r>
              <w:rPr>
                <w:rFonts w:hint="eastAsia" w:ascii="仿宋_GB2312" w:eastAsia="仿宋_GB2312" w:cs="仿宋_GB2312"/>
                <w:bCs/>
                <w:sz w:val="24"/>
                <w:szCs w:val="24"/>
                <w:lang w:val="en-US" w:bidi="ar-SA"/>
              </w:rPr>
              <w:t>个特点。</w:t>
            </w:r>
          </w:p>
        </w:tc>
        <w:tc>
          <w:tcPr>
            <w:tcW w:w="276" w:type="pct"/>
            <w:tcBorders>
              <w:top w:val="single" w:color="auto" w:sz="4" w:space="0"/>
              <w:bottom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color w:val="000000" w:themeColor="text1"/>
                <w:sz w:val="18"/>
                <w:szCs w:val="18"/>
              </w:rPr>
            </w:pPr>
          </w:p>
        </w:tc>
        <w:tc>
          <w:tcPr>
            <w:tcW w:w="250" w:type="pct"/>
            <w:tcBorders>
              <w:top w:val="single" w:color="auto" w:sz="4" w:space="0"/>
              <w:bottom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continue"/>
            <w:vAlign w:val="center"/>
          </w:tcPr>
          <w:p>
            <w:pPr>
              <w:jc w:val="center"/>
              <w:rPr>
                <w:rFonts w:asciiTheme="minorEastAsia" w:hAnsiTheme="minorEastAsia" w:eastAsiaTheme="minorEastAsia"/>
                <w:color w:val="000000" w:themeColor="text1"/>
                <w:sz w:val="18"/>
                <w:szCs w:val="1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jc w:val="center"/>
        </w:trPr>
        <w:tc>
          <w:tcPr>
            <w:tcW w:w="443" w:type="pct"/>
            <w:vMerge w:val="continue"/>
            <w:vAlign w:val="center"/>
          </w:tcPr>
          <w:p>
            <w:pPr>
              <w:rPr>
                <w:rFonts w:asciiTheme="minorEastAsia" w:hAnsiTheme="minorEastAsia" w:eastAsiaTheme="minorEastAsia"/>
                <w:color w:val="000000" w:themeColor="text1"/>
                <w:sz w:val="18"/>
                <w:szCs w:val="18"/>
              </w:rPr>
            </w:pPr>
          </w:p>
        </w:tc>
        <w:tc>
          <w:tcPr>
            <w:tcW w:w="746" w:type="pct"/>
            <w:vMerge w:val="continue"/>
            <w:vAlign w:val="center"/>
          </w:tcPr>
          <w:p>
            <w:pPr>
              <w:rPr>
                <w:rFonts w:ascii="仿宋_GB2312" w:eastAsia="仿宋_GB2312" w:cs="仿宋_GB2312"/>
                <w:bCs/>
                <w:color w:val="000000" w:themeColor="text1"/>
                <w:kern w:val="2"/>
                <w:sz w:val="24"/>
                <w:szCs w:val="24"/>
              </w:rPr>
            </w:pPr>
          </w:p>
        </w:tc>
        <w:tc>
          <w:tcPr>
            <w:tcW w:w="2744" w:type="pct"/>
            <w:tcBorders>
              <w:top w:val="single" w:color="auto" w:sz="4" w:space="0"/>
            </w:tcBorders>
            <w:vAlign w:val="center"/>
          </w:tcPr>
          <w:p>
            <w:pPr>
              <w:pStyle w:val="27"/>
              <w:jc w:val="left"/>
              <w:rPr>
                <w:rFonts w:ascii="仿宋_GB2312" w:hAnsi="宋体" w:eastAsia="仿宋_GB2312" w:cs="仿宋_GB2312"/>
                <w:bCs/>
                <w:color w:val="000000" w:themeColor="text1"/>
                <w:sz w:val="24"/>
                <w:szCs w:val="24"/>
              </w:rPr>
            </w:pPr>
            <w:r>
              <w:rPr>
                <w:rFonts w:hint="eastAsia" w:ascii="仿宋_GB2312" w:hAnsi="宋体" w:eastAsia="仿宋_GB2312" w:cs="仿宋_GB2312"/>
                <w:bCs/>
                <w:sz w:val="24"/>
                <w:szCs w:val="24"/>
              </w:rPr>
              <w:t>4.</w:t>
            </w:r>
            <w:r>
              <w:rPr>
                <w:rFonts w:ascii="仿宋_GB2312" w:hAnsi="宋体" w:eastAsia="仿宋_GB2312" w:cs="仿宋_GB2312"/>
                <w:bCs/>
                <w:sz w:val="24"/>
                <w:szCs w:val="24"/>
              </w:rPr>
              <w:t>3</w:t>
            </w:r>
            <w:r>
              <w:rPr>
                <w:rFonts w:hint="eastAsia" w:ascii="仿宋_GB2312" w:hAnsi="宋体" w:eastAsia="仿宋_GB2312" w:cs="仿宋_GB2312"/>
                <w:bCs/>
                <w:sz w:val="24"/>
                <w:szCs w:val="24"/>
              </w:rPr>
              <w:t>.</w:t>
            </w:r>
            <w:r>
              <w:rPr>
                <w:rFonts w:ascii="仿宋_GB2312" w:hAnsi="宋体" w:eastAsia="仿宋_GB2312" w:cs="仿宋_GB2312"/>
                <w:bCs/>
                <w:sz w:val="24"/>
                <w:szCs w:val="24"/>
              </w:rPr>
              <w:t>3</w:t>
            </w:r>
            <w:r>
              <w:rPr>
                <w:rFonts w:hint="eastAsia" w:ascii="仿宋_GB2312" w:hAnsi="宋体" w:eastAsia="仿宋_GB2312" w:cs="仿宋_GB2312"/>
                <w:bCs/>
                <w:sz w:val="24"/>
                <w:szCs w:val="24"/>
              </w:rPr>
              <w:t>能根据企业大规模个性化定制模式实施具体案例，能分析大规模个性化定制模式实施的2-</w:t>
            </w:r>
            <w:r>
              <w:rPr>
                <w:rFonts w:ascii="仿宋_GB2312" w:hAnsi="宋体" w:eastAsia="仿宋_GB2312" w:cs="仿宋_GB2312"/>
                <w:bCs/>
                <w:sz w:val="24"/>
                <w:szCs w:val="24"/>
              </w:rPr>
              <w:t>3</w:t>
            </w:r>
            <w:r>
              <w:rPr>
                <w:rFonts w:hint="eastAsia" w:ascii="仿宋_GB2312" w:hAnsi="宋体" w:eastAsia="仿宋_GB2312" w:cs="仿宋_GB2312"/>
                <w:bCs/>
                <w:sz w:val="24"/>
                <w:szCs w:val="24"/>
              </w:rPr>
              <w:t>个要素条件。</w:t>
            </w:r>
          </w:p>
        </w:tc>
        <w:tc>
          <w:tcPr>
            <w:tcW w:w="276" w:type="pct"/>
            <w:tcBorders>
              <w:top w:val="single" w:color="auto" w:sz="4" w:space="0"/>
            </w:tcBorders>
            <w:vAlign w:val="center"/>
          </w:tcPr>
          <w:p>
            <w:pPr>
              <w:jc w:val="center"/>
              <w:rPr>
                <w:rFonts w:cs="Times New Roman"/>
                <w:color w:val="000000" w:themeColor="text1"/>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color w:val="000000" w:themeColor="text1"/>
                <w:sz w:val="18"/>
                <w:szCs w:val="18"/>
              </w:rPr>
            </w:pPr>
          </w:p>
        </w:tc>
        <w:tc>
          <w:tcPr>
            <w:tcW w:w="250" w:type="pct"/>
            <w:tcBorders>
              <w:top w:val="single" w:color="auto" w:sz="4" w:space="0"/>
            </w:tcBorders>
            <w:vAlign w:val="center"/>
          </w:tcPr>
          <w:p>
            <w:pPr>
              <w:jc w:val="center"/>
              <w:rPr>
                <w:rFonts w:asciiTheme="minorEastAsia" w:hAnsiTheme="minorEastAsia" w:eastAsiaTheme="minorEastAsia"/>
                <w:color w:val="000000" w:themeColor="text1"/>
                <w:sz w:val="18"/>
                <w:szCs w:val="18"/>
                <w:lang w:val="en-US"/>
              </w:rPr>
            </w:pPr>
            <w:r>
              <w:rPr>
                <w:rFonts w:hint="eastAsia" w:asciiTheme="minorEastAsia" w:hAnsiTheme="minorEastAsia" w:eastAsiaTheme="minorEastAsia"/>
                <w:color w:val="000000" w:themeColor="text1"/>
                <w:sz w:val="18"/>
                <w:szCs w:val="18"/>
                <w:lang w:val="en-US"/>
              </w:rPr>
              <w:t>X</w:t>
            </w:r>
          </w:p>
        </w:tc>
        <w:tc>
          <w:tcPr>
            <w:tcW w:w="284" w:type="pct"/>
            <w:vMerge w:val="continue"/>
            <w:vAlign w:val="center"/>
          </w:tcPr>
          <w:p>
            <w:pPr>
              <w:jc w:val="center"/>
              <w:rPr>
                <w:rFonts w:asciiTheme="minorEastAsia" w:hAnsiTheme="minorEastAsia" w:eastAsiaTheme="minorEastAsia"/>
                <w:color w:val="000000" w:themeColor="text1"/>
                <w:sz w:val="18"/>
                <w:szCs w:val="1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3" w:hRule="atLeast"/>
          <w:jc w:val="center"/>
        </w:trPr>
        <w:tc>
          <w:tcPr>
            <w:tcW w:w="443" w:type="pct"/>
            <w:vMerge w:val="continue"/>
            <w:vAlign w:val="center"/>
          </w:tcPr>
          <w:p>
            <w:pPr>
              <w:rPr>
                <w:rFonts w:asciiTheme="minorEastAsia" w:hAnsiTheme="minorEastAsia" w:eastAsiaTheme="minorEastAsia"/>
                <w:color w:val="FF0000"/>
                <w:sz w:val="18"/>
                <w:szCs w:val="18"/>
              </w:rPr>
            </w:pPr>
          </w:p>
        </w:tc>
        <w:tc>
          <w:tcPr>
            <w:tcW w:w="746" w:type="pct"/>
            <w:vMerge w:val="continue"/>
            <w:vAlign w:val="center"/>
          </w:tcPr>
          <w:p>
            <w:pPr>
              <w:rPr>
                <w:rFonts w:ascii="仿宋_GB2312" w:eastAsia="仿宋_GB2312" w:cs="仿宋_GB2312"/>
                <w:bCs/>
                <w:color w:val="FF0000"/>
                <w:kern w:val="2"/>
                <w:sz w:val="24"/>
                <w:szCs w:val="24"/>
              </w:rPr>
            </w:pPr>
          </w:p>
        </w:tc>
        <w:tc>
          <w:tcPr>
            <w:tcW w:w="2744" w:type="pct"/>
            <w:tcBorders>
              <w:top w:val="single" w:color="auto" w:sz="4" w:space="0"/>
            </w:tcBorders>
            <w:vAlign w:val="center"/>
          </w:tcPr>
          <w:p>
            <w:pPr>
              <w:pStyle w:val="27"/>
              <w:jc w:val="left"/>
              <w:rPr>
                <w:rFonts w:ascii="仿宋_GB2312" w:hAnsi="宋体" w:eastAsia="仿宋_GB2312" w:cs="仿宋_GB2312"/>
                <w:bCs/>
                <w:color w:val="FF0000"/>
                <w:sz w:val="24"/>
                <w:szCs w:val="24"/>
              </w:rPr>
            </w:pPr>
            <w:r>
              <w:rPr>
                <w:rFonts w:hint="eastAsia" w:ascii="仿宋_GB2312" w:hAnsi="宋体" w:eastAsia="仿宋_GB2312" w:cs="仿宋_GB2312"/>
                <w:bCs/>
                <w:sz w:val="24"/>
                <w:szCs w:val="24"/>
              </w:rPr>
              <w:t>4.</w:t>
            </w:r>
            <w:r>
              <w:rPr>
                <w:rFonts w:ascii="仿宋_GB2312" w:hAnsi="宋体" w:eastAsia="仿宋_GB2312" w:cs="仿宋_GB2312"/>
                <w:bCs/>
                <w:sz w:val="24"/>
                <w:szCs w:val="24"/>
              </w:rPr>
              <w:t>3</w:t>
            </w:r>
            <w:r>
              <w:rPr>
                <w:rFonts w:hint="eastAsia" w:ascii="仿宋_GB2312" w:hAnsi="宋体" w:eastAsia="仿宋_GB2312" w:cs="仿宋_GB2312"/>
                <w:bCs/>
                <w:sz w:val="24"/>
                <w:szCs w:val="24"/>
              </w:rPr>
              <w:t>.</w:t>
            </w:r>
            <w:r>
              <w:rPr>
                <w:rFonts w:ascii="仿宋_GB2312" w:hAnsi="宋体" w:eastAsia="仿宋_GB2312" w:cs="仿宋_GB2312"/>
                <w:bCs/>
                <w:sz w:val="24"/>
                <w:szCs w:val="24"/>
              </w:rPr>
              <w:t>4</w:t>
            </w:r>
            <w:r>
              <w:rPr>
                <w:rFonts w:hint="eastAsia" w:ascii="仿宋_GB2312" w:hAnsi="宋体" w:eastAsia="仿宋_GB2312" w:cs="仿宋_GB2312"/>
                <w:bCs/>
                <w:sz w:val="24"/>
                <w:szCs w:val="24"/>
              </w:rPr>
              <w:t>能根据企业远程运维服务模式实施具体案例，能分析远程运维服务模式实施的2-</w:t>
            </w:r>
            <w:r>
              <w:rPr>
                <w:rFonts w:ascii="仿宋_GB2312" w:hAnsi="宋体" w:eastAsia="仿宋_GB2312" w:cs="仿宋_GB2312"/>
                <w:bCs/>
                <w:sz w:val="24"/>
                <w:szCs w:val="24"/>
              </w:rPr>
              <w:t>3</w:t>
            </w:r>
            <w:r>
              <w:rPr>
                <w:rFonts w:hint="eastAsia" w:ascii="仿宋_GB2312" w:hAnsi="宋体" w:eastAsia="仿宋_GB2312" w:cs="仿宋_GB2312"/>
                <w:bCs/>
                <w:sz w:val="24"/>
                <w:szCs w:val="24"/>
              </w:rPr>
              <w:t>个要素条件。</w:t>
            </w:r>
          </w:p>
        </w:tc>
        <w:tc>
          <w:tcPr>
            <w:tcW w:w="276" w:type="pct"/>
            <w:tcBorders>
              <w:top w:val="single" w:color="auto" w:sz="4" w:space="0"/>
            </w:tcBorders>
            <w:vAlign w:val="center"/>
          </w:tcPr>
          <w:p>
            <w:pPr>
              <w:jc w:val="center"/>
              <w:rPr>
                <w:rFonts w:cs="Times New Roman"/>
                <w:color w:val="FF0000"/>
                <w:kern w:val="2"/>
                <w:sz w:val="18"/>
                <w:szCs w:val="18"/>
                <w:lang w:val="en-US" w:bidi="ar-SA"/>
              </w:rPr>
            </w:pPr>
            <w:r>
              <w:rPr>
                <w:rFonts w:hint="eastAsia" w:cs="Times New Roman"/>
                <w:kern w:val="2"/>
                <w:sz w:val="18"/>
                <w:szCs w:val="18"/>
                <w:lang w:val="en-US" w:bidi="ar-SA"/>
              </w:rPr>
              <w:t>√</w:t>
            </w:r>
          </w:p>
        </w:tc>
        <w:tc>
          <w:tcPr>
            <w:tcW w:w="254" w:type="pct"/>
            <w:vMerge w:val="continue"/>
            <w:vAlign w:val="center"/>
          </w:tcPr>
          <w:p>
            <w:pPr>
              <w:jc w:val="center"/>
              <w:rPr>
                <w:rFonts w:asciiTheme="minorEastAsia" w:hAnsiTheme="minorEastAsia" w:eastAsiaTheme="minorEastAsia"/>
                <w:color w:val="FF0000"/>
                <w:sz w:val="18"/>
                <w:szCs w:val="18"/>
              </w:rPr>
            </w:pPr>
          </w:p>
        </w:tc>
        <w:tc>
          <w:tcPr>
            <w:tcW w:w="250" w:type="pct"/>
            <w:tcBorders>
              <w:top w:val="single" w:color="auto" w:sz="4" w:space="0"/>
            </w:tcBorders>
            <w:vAlign w:val="center"/>
          </w:tcPr>
          <w:p>
            <w:pPr>
              <w:jc w:val="center"/>
              <w:rPr>
                <w:rFonts w:asciiTheme="minorEastAsia" w:hAnsiTheme="minorEastAsia" w:eastAsiaTheme="minorEastAsia"/>
                <w:sz w:val="18"/>
                <w:szCs w:val="18"/>
                <w:lang w:val="en-US"/>
              </w:rPr>
            </w:pPr>
            <w:r>
              <w:rPr>
                <w:rFonts w:hint="eastAsia" w:asciiTheme="minorEastAsia" w:hAnsiTheme="minorEastAsia" w:eastAsiaTheme="minorEastAsia"/>
                <w:sz w:val="18"/>
                <w:szCs w:val="18"/>
                <w:lang w:val="en-US"/>
              </w:rPr>
              <w:t>X</w:t>
            </w:r>
          </w:p>
        </w:tc>
        <w:tc>
          <w:tcPr>
            <w:tcW w:w="284" w:type="pct"/>
            <w:vMerge w:val="continue"/>
            <w:vAlign w:val="center"/>
          </w:tcPr>
          <w:p>
            <w:pPr>
              <w:jc w:val="center"/>
              <w:rPr>
                <w:rFonts w:asciiTheme="minorEastAsia" w:hAnsiTheme="minorEastAsia" w:eastAsiaTheme="minorEastAsia"/>
                <w:sz w:val="18"/>
                <w:szCs w:val="1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jc w:val="center"/>
        </w:trPr>
        <w:tc>
          <w:tcPr>
            <w:tcW w:w="4210" w:type="pct"/>
            <w:gridSpan w:val="4"/>
            <w:vAlign w:val="center"/>
          </w:tcPr>
          <w:p>
            <w:pPr>
              <w:jc w:val="center"/>
              <w:rPr>
                <w:rFonts w:cs="Times New Roman"/>
                <w:kern w:val="2"/>
                <w:sz w:val="18"/>
                <w:szCs w:val="18"/>
                <w:lang w:val="en-US" w:bidi="ar-SA"/>
              </w:rPr>
            </w:pPr>
            <w:r>
              <w:rPr>
                <w:rFonts w:hint="eastAsia" w:cs="Times New Roman"/>
                <w:kern w:val="2"/>
                <w:sz w:val="18"/>
                <w:szCs w:val="18"/>
                <w:lang w:val="en-US" w:bidi="ar-SA"/>
              </w:rPr>
              <w:t>合计</w:t>
            </w:r>
          </w:p>
        </w:tc>
        <w:tc>
          <w:tcPr>
            <w:tcW w:w="254" w:type="pct"/>
            <w:tcBorders>
              <w:top w:val="single" w:color="auto" w:sz="4" w:space="0"/>
            </w:tcBorders>
            <w:vAlign w:val="center"/>
          </w:tcPr>
          <w:p>
            <w:pPr>
              <w:jc w:val="center"/>
              <w:rPr>
                <w:rFonts w:asciiTheme="minorEastAsia" w:hAnsiTheme="minorEastAsia" w:eastAsiaTheme="minorEastAsia"/>
                <w:sz w:val="18"/>
                <w:szCs w:val="18"/>
              </w:rPr>
            </w:pPr>
            <w:r>
              <w:rPr>
                <w:rFonts w:hint="eastAsia" w:asciiTheme="minorEastAsia" w:hAnsiTheme="minorEastAsia" w:eastAsiaTheme="minorEastAsia"/>
                <w:sz w:val="18"/>
                <w:szCs w:val="18"/>
              </w:rPr>
              <w:t>100</w:t>
            </w:r>
          </w:p>
        </w:tc>
        <w:tc>
          <w:tcPr>
            <w:tcW w:w="250" w:type="pct"/>
            <w:vAlign w:val="center"/>
          </w:tcPr>
          <w:p>
            <w:pPr>
              <w:jc w:val="center"/>
              <w:rPr>
                <w:rFonts w:asciiTheme="minorEastAsia" w:hAnsiTheme="minorEastAsia" w:eastAsiaTheme="minorEastAsia"/>
                <w:sz w:val="18"/>
                <w:szCs w:val="18"/>
              </w:rPr>
            </w:pPr>
          </w:p>
        </w:tc>
        <w:tc>
          <w:tcPr>
            <w:tcW w:w="284" w:type="pct"/>
            <w:vAlign w:val="center"/>
          </w:tcPr>
          <w:p>
            <w:pPr>
              <w:jc w:val="center"/>
              <w:rPr>
                <w:rFonts w:asciiTheme="minorEastAsia" w:hAnsiTheme="minorEastAsia" w:eastAsiaTheme="minorEastAsia"/>
                <w:sz w:val="18"/>
                <w:szCs w:val="18"/>
              </w:rPr>
            </w:pPr>
            <w:r>
              <w:rPr>
                <w:rFonts w:hint="eastAsia" w:asciiTheme="minorEastAsia" w:hAnsiTheme="minorEastAsia" w:eastAsiaTheme="minorEastAsia"/>
                <w:sz w:val="18"/>
                <w:szCs w:val="18"/>
              </w:rPr>
              <w:t>100</w:t>
            </w:r>
          </w:p>
        </w:tc>
      </w:tr>
    </w:tbl>
    <w:p>
      <w:pPr>
        <w:pStyle w:val="6"/>
        <w:spacing w:before="5"/>
        <w:rPr>
          <w:sz w:val="5"/>
        </w:rPr>
      </w:pPr>
    </w:p>
    <w:p>
      <w:pPr>
        <w:spacing w:line="360" w:lineRule="auto"/>
        <w:ind w:firstLine="480"/>
        <w:rPr>
          <w:rFonts w:asciiTheme="minorEastAsia" w:hAnsiTheme="minorEastAsia" w:eastAsiaTheme="minorEastAsia"/>
          <w:b/>
          <w:color w:val="000000" w:themeColor="text1"/>
          <w:sz w:val="24"/>
          <w:szCs w:val="24"/>
        </w:rPr>
      </w:pPr>
      <w:r>
        <w:rPr>
          <w:rFonts w:hint="eastAsia" w:asciiTheme="minorEastAsia" w:hAnsiTheme="minorEastAsia" w:eastAsiaTheme="minorEastAsia"/>
          <w:b/>
          <w:color w:val="000000" w:themeColor="text1"/>
          <w:sz w:val="24"/>
          <w:szCs w:val="24"/>
        </w:rPr>
        <w:t>2</w:t>
      </w:r>
      <w:r>
        <w:rPr>
          <w:rFonts w:asciiTheme="minorEastAsia" w:hAnsiTheme="minorEastAsia" w:eastAsiaTheme="minorEastAsia"/>
          <w:b/>
          <w:color w:val="000000" w:themeColor="text1"/>
          <w:sz w:val="24"/>
          <w:szCs w:val="24"/>
        </w:rPr>
        <w:t>.</w:t>
      </w:r>
      <w:r>
        <w:rPr>
          <w:rFonts w:hint="eastAsia" w:asciiTheme="minorEastAsia" w:hAnsiTheme="minorEastAsia" w:eastAsiaTheme="minorEastAsia"/>
          <w:b/>
          <w:color w:val="000000" w:themeColor="text1"/>
          <w:sz w:val="24"/>
          <w:szCs w:val="24"/>
        </w:rPr>
        <w:t>理论知识考试方案</w:t>
      </w:r>
    </w:p>
    <w:p>
      <w:pPr>
        <w:spacing w:line="360" w:lineRule="auto"/>
        <w:ind w:firstLine="480"/>
        <w:rPr>
          <w:rFonts w:asciiTheme="minorEastAsia" w:hAnsiTheme="minorEastAsia" w:eastAsiaTheme="minorEastAsia"/>
          <w:b/>
          <w:color w:val="000000" w:themeColor="text1"/>
          <w:sz w:val="24"/>
          <w:szCs w:val="24"/>
        </w:rPr>
      </w:pPr>
      <w:r>
        <w:rPr>
          <w:rFonts w:hint="eastAsia" w:asciiTheme="minorEastAsia" w:hAnsiTheme="minorEastAsia" w:eastAsiaTheme="minorEastAsia"/>
          <w:b/>
          <w:color w:val="000000" w:themeColor="text1"/>
          <w:sz w:val="24"/>
          <w:szCs w:val="24"/>
        </w:rPr>
        <w:t>（1）组卷</w:t>
      </w:r>
    </w:p>
    <w:p>
      <w:pPr>
        <w:pStyle w:val="6"/>
        <w:spacing w:line="302" w:lineRule="auto"/>
        <w:ind w:left="499" w:right="403" w:firstLine="482"/>
        <w:rPr>
          <w:rFonts w:asciiTheme="minorEastAsia" w:hAnsiTheme="minorEastAsia" w:eastAsiaTheme="minorEastAsia"/>
          <w:spacing w:val="-7"/>
        </w:rPr>
      </w:pPr>
      <w:bookmarkStart w:id="4" w:name="_Hlk33559319"/>
      <w:r>
        <w:rPr>
          <w:rFonts w:hint="eastAsia" w:asciiTheme="minorEastAsia" w:hAnsiTheme="minorEastAsia" w:eastAsiaTheme="minorEastAsia"/>
          <w:spacing w:val="-7"/>
        </w:rPr>
        <w:t>本大纲规定了理论知识考试的题型、题量、分值和配分等参数，理论知识试卷从题库</w:t>
      </w:r>
      <w:r>
        <w:rPr>
          <w:rFonts w:asciiTheme="minorEastAsia" w:hAnsiTheme="minorEastAsia" w:eastAsiaTheme="minorEastAsia"/>
          <w:spacing w:val="-7"/>
        </w:rPr>
        <w:t>中选题</w:t>
      </w:r>
      <w:r>
        <w:rPr>
          <w:rFonts w:hint="eastAsia" w:asciiTheme="minorEastAsia" w:hAnsiTheme="minorEastAsia" w:eastAsiaTheme="minorEastAsia"/>
          <w:spacing w:val="-7"/>
        </w:rPr>
        <w:t>组卷</w:t>
      </w:r>
      <w:r>
        <w:rPr>
          <w:rFonts w:asciiTheme="minorEastAsia" w:hAnsiTheme="minorEastAsia" w:eastAsiaTheme="minorEastAsia"/>
          <w:spacing w:val="-7"/>
        </w:rPr>
        <w:t>，</w:t>
      </w:r>
      <w:r>
        <w:rPr>
          <w:rFonts w:hint="eastAsia" w:asciiTheme="minorEastAsia" w:hAnsiTheme="minorEastAsia" w:eastAsiaTheme="minorEastAsia"/>
          <w:spacing w:val="-7"/>
        </w:rPr>
        <w:t>题型</w:t>
      </w:r>
      <w:r>
        <w:rPr>
          <w:rFonts w:asciiTheme="minorEastAsia" w:hAnsiTheme="minorEastAsia" w:eastAsiaTheme="minorEastAsia"/>
          <w:spacing w:val="-7"/>
        </w:rPr>
        <w:t>包括：</w:t>
      </w:r>
      <w:r>
        <w:rPr>
          <w:rFonts w:hint="eastAsia" w:asciiTheme="minorEastAsia" w:hAnsiTheme="minorEastAsia" w:eastAsiaTheme="minorEastAsia"/>
          <w:spacing w:val="-7"/>
        </w:rPr>
        <w:t>单选题</w:t>
      </w:r>
      <w:r>
        <w:rPr>
          <w:rFonts w:asciiTheme="minorEastAsia" w:hAnsiTheme="minorEastAsia" w:eastAsiaTheme="minorEastAsia"/>
          <w:spacing w:val="-7"/>
        </w:rPr>
        <w:t>、</w:t>
      </w:r>
      <w:r>
        <w:rPr>
          <w:rFonts w:hint="eastAsia" w:asciiTheme="minorEastAsia" w:hAnsiTheme="minorEastAsia" w:eastAsiaTheme="minorEastAsia"/>
          <w:spacing w:val="-7"/>
        </w:rPr>
        <w:t>多选题和</w:t>
      </w:r>
      <w:r>
        <w:rPr>
          <w:rFonts w:asciiTheme="minorEastAsia" w:hAnsiTheme="minorEastAsia" w:eastAsiaTheme="minorEastAsia"/>
          <w:spacing w:val="-7"/>
        </w:rPr>
        <w:t>判断题。</w:t>
      </w:r>
      <w:bookmarkEnd w:id="4"/>
    </w:p>
    <w:p>
      <w:pPr>
        <w:spacing w:line="360" w:lineRule="auto"/>
        <w:ind w:firstLine="480"/>
        <w:rPr>
          <w:rFonts w:cs="Times New Roman" w:asciiTheme="minorEastAsia" w:hAnsiTheme="minorEastAsia" w:eastAsiaTheme="minorEastAsia"/>
          <w:b/>
          <w:color w:val="000000" w:themeColor="text1"/>
          <w:sz w:val="24"/>
          <w:szCs w:val="24"/>
        </w:rPr>
      </w:pPr>
      <w:r>
        <w:rPr>
          <w:rFonts w:hint="eastAsia" w:cs="Times New Roman" w:asciiTheme="minorEastAsia" w:hAnsiTheme="minorEastAsia" w:eastAsiaTheme="minorEastAsia"/>
          <w:b/>
          <w:color w:val="000000" w:themeColor="text1"/>
          <w:sz w:val="24"/>
          <w:szCs w:val="24"/>
        </w:rPr>
        <w:t>（2）考试方式</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理论采用闭卷模式，计算机机考，从题库抽题组卷，自动评卷。</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总配分为</w:t>
      </w:r>
      <w:r>
        <w:rPr>
          <w:rFonts w:asciiTheme="minorEastAsia" w:hAnsiTheme="minorEastAsia" w:eastAsiaTheme="minorEastAsia"/>
          <w:spacing w:val="-7"/>
        </w:rPr>
        <w:t>100</w:t>
      </w:r>
      <w:r>
        <w:rPr>
          <w:rFonts w:hint="eastAsia" w:asciiTheme="minorEastAsia" w:hAnsiTheme="minorEastAsia" w:eastAsiaTheme="minorEastAsia"/>
          <w:spacing w:val="-7"/>
        </w:rPr>
        <w:t>分，考核时间</w:t>
      </w:r>
      <w:r>
        <w:rPr>
          <w:rFonts w:asciiTheme="minorEastAsia" w:hAnsiTheme="minorEastAsia" w:eastAsiaTheme="minorEastAsia"/>
          <w:spacing w:val="-7"/>
        </w:rPr>
        <w:t>60</w:t>
      </w:r>
      <w:r>
        <w:rPr>
          <w:rFonts w:hint="eastAsia" w:asciiTheme="minorEastAsia" w:hAnsiTheme="minorEastAsia" w:eastAsiaTheme="minorEastAsia"/>
          <w:spacing w:val="-7"/>
        </w:rPr>
        <w:t>分钟。</w:t>
      </w:r>
    </w:p>
    <w:p>
      <w:pPr>
        <w:spacing w:line="360" w:lineRule="auto"/>
        <w:ind w:firstLine="480"/>
        <w:rPr>
          <w:rFonts w:cs="Times New Roman" w:asciiTheme="minorEastAsia" w:hAnsiTheme="minorEastAsia" w:eastAsiaTheme="minorEastAsia"/>
          <w:b/>
          <w:color w:val="000000" w:themeColor="text1"/>
          <w:sz w:val="24"/>
          <w:szCs w:val="24"/>
        </w:rPr>
      </w:pPr>
      <w:r>
        <w:rPr>
          <w:rFonts w:hint="eastAsia" w:cs="Times New Roman" w:asciiTheme="minorEastAsia" w:hAnsiTheme="minorEastAsia" w:eastAsiaTheme="minorEastAsia"/>
          <w:b/>
          <w:color w:val="000000" w:themeColor="text1"/>
          <w:sz w:val="24"/>
          <w:szCs w:val="24"/>
        </w:rPr>
        <w:t>（3）理论知识组卷方案</w:t>
      </w:r>
    </w:p>
    <w:p>
      <w:pPr>
        <w:pStyle w:val="5"/>
        <w:ind w:firstLine="480"/>
        <w:rPr>
          <w:rFonts w:cs="Times New Roman" w:asciiTheme="minorEastAsia" w:hAnsiTheme="minorEastAsia" w:eastAsiaTheme="minorEastAsia"/>
          <w:color w:val="000000" w:themeColor="text1"/>
          <w:sz w:val="24"/>
          <w:szCs w:val="24"/>
        </w:rPr>
      </w:pPr>
      <w:r>
        <w:rPr>
          <w:rFonts w:asciiTheme="minorEastAsia" w:hAnsiTheme="minorEastAsia" w:eastAsiaTheme="minorEastAsia"/>
          <w:sz w:val="24"/>
          <w:szCs w:val="24"/>
        </w:rPr>
        <w:t>表2</w:t>
      </w:r>
      <w:r>
        <w:rPr>
          <w:rFonts w:hint="eastAsia" w:cs="Times New Roman" w:asciiTheme="minorEastAsia" w:hAnsiTheme="minorEastAsia" w:eastAsiaTheme="minorEastAsia"/>
          <w:color w:val="000000" w:themeColor="text1"/>
          <w:sz w:val="24"/>
          <w:szCs w:val="24"/>
        </w:rPr>
        <w:t>理论知识组卷方案</w:t>
      </w:r>
    </w:p>
    <w:tbl>
      <w:tblPr>
        <w:tblStyle w:val="14"/>
        <w:tblW w:w="8055"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080"/>
        <w:gridCol w:w="1488"/>
        <w:gridCol w:w="1489"/>
        <w:gridCol w:w="1496"/>
        <w:gridCol w:w="1502"/>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80" w:type="dxa"/>
            <w:tcBorders>
              <w:top w:val="single" w:color="auto" w:sz="4" w:space="0"/>
              <w:left w:val="single" w:color="auto" w:sz="4" w:space="0"/>
              <w:bottom w:val="single" w:color="auto" w:sz="4" w:space="0"/>
              <w:tl2br w:val="single" w:color="auto" w:sz="4" w:space="0"/>
            </w:tcBorders>
            <w:vAlign w:val="center"/>
          </w:tcPr>
          <w:p>
            <w:pPr>
              <w:jc w:val="right"/>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题型</w:t>
            </w:r>
          </w:p>
          <w:p>
            <w:pPr>
              <w:jc w:val="right"/>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题量</w:t>
            </w:r>
          </w:p>
          <w:p>
            <w:pP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题型</w:t>
            </w:r>
          </w:p>
        </w:tc>
        <w:tc>
          <w:tcPr>
            <w:tcW w:w="1488" w:type="dxa"/>
            <w:tcBorders>
              <w:top w:val="single" w:color="auto" w:sz="4" w:space="0"/>
              <w:bottom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考试方式</w:t>
            </w:r>
          </w:p>
        </w:tc>
        <w:tc>
          <w:tcPr>
            <w:tcW w:w="1489" w:type="dxa"/>
            <w:tcBorders>
              <w:top w:val="single" w:color="auto" w:sz="4" w:space="0"/>
              <w:bottom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鉴定题量</w:t>
            </w:r>
          </w:p>
        </w:tc>
        <w:tc>
          <w:tcPr>
            <w:tcW w:w="1496" w:type="dxa"/>
            <w:tcBorders>
              <w:top w:val="single" w:color="auto" w:sz="4" w:space="0"/>
              <w:bottom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分值</w:t>
            </w:r>
          </w:p>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（分</w:t>
            </w:r>
            <w:r>
              <w:rPr>
                <w:rFonts w:cs="Times New Roman" w:asciiTheme="minorEastAsia" w:hAnsiTheme="minorEastAsia" w:eastAsiaTheme="minorEastAsia"/>
                <w:b/>
                <w:color w:val="000000" w:themeColor="text1"/>
                <w:sz w:val="21"/>
                <w:szCs w:val="21"/>
              </w:rPr>
              <w:t>/</w:t>
            </w:r>
            <w:r>
              <w:rPr>
                <w:rFonts w:hint="eastAsia" w:cs="Times New Roman" w:asciiTheme="minorEastAsia" w:hAnsiTheme="minorEastAsia" w:eastAsiaTheme="minorEastAsia"/>
                <w:b/>
                <w:color w:val="000000" w:themeColor="text1"/>
                <w:sz w:val="21"/>
                <w:szCs w:val="21"/>
              </w:rPr>
              <w:t>题）</w:t>
            </w:r>
          </w:p>
        </w:tc>
        <w:tc>
          <w:tcPr>
            <w:tcW w:w="1502" w:type="dxa"/>
            <w:tcBorders>
              <w:top w:val="single" w:color="auto" w:sz="4" w:space="0"/>
              <w:bottom w:val="single" w:color="auto" w:sz="4" w:space="0"/>
              <w:right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配分</w:t>
            </w:r>
          </w:p>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判断题</w:t>
            </w:r>
          </w:p>
        </w:tc>
        <w:tc>
          <w:tcPr>
            <w:tcW w:w="1488" w:type="dxa"/>
            <w:vMerge w:val="restart"/>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闭卷</w:t>
            </w:r>
          </w:p>
        </w:tc>
        <w:tc>
          <w:tcPr>
            <w:tcW w:w="1489"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2</w:t>
            </w:r>
            <w:r>
              <w:rPr>
                <w:rFonts w:hint="eastAsia" w:cs="Times New Roman" w:asciiTheme="minorEastAsia" w:hAnsiTheme="minorEastAsia" w:eastAsiaTheme="minorEastAsia"/>
                <w:color w:val="000000" w:themeColor="text1"/>
                <w:sz w:val="21"/>
                <w:szCs w:val="21"/>
              </w:rPr>
              <w:t>0</w:t>
            </w:r>
          </w:p>
        </w:tc>
        <w:tc>
          <w:tcPr>
            <w:tcW w:w="1496"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0.5</w:t>
            </w:r>
          </w:p>
        </w:tc>
        <w:tc>
          <w:tcPr>
            <w:tcW w:w="1502" w:type="dxa"/>
            <w:tcBorders>
              <w:top w:val="single" w:color="auto" w:sz="4" w:space="0"/>
              <w:bottom w:val="single" w:color="auto" w:sz="4" w:space="0"/>
              <w:right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10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单选题</w:t>
            </w:r>
          </w:p>
        </w:tc>
        <w:tc>
          <w:tcPr>
            <w:tcW w:w="1488" w:type="dxa"/>
            <w:vMerge w:val="continue"/>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p>
        </w:tc>
        <w:tc>
          <w:tcPr>
            <w:tcW w:w="1489"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7</w:t>
            </w:r>
            <w:r>
              <w:rPr>
                <w:rFonts w:hint="eastAsia" w:cs="Times New Roman" w:asciiTheme="minorEastAsia" w:hAnsiTheme="minorEastAsia" w:eastAsiaTheme="minorEastAsia"/>
                <w:color w:val="000000" w:themeColor="text1"/>
                <w:sz w:val="21"/>
                <w:szCs w:val="21"/>
              </w:rPr>
              <w:t>0</w:t>
            </w:r>
          </w:p>
        </w:tc>
        <w:tc>
          <w:tcPr>
            <w:tcW w:w="1496"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1</w:t>
            </w:r>
          </w:p>
        </w:tc>
        <w:tc>
          <w:tcPr>
            <w:tcW w:w="1502" w:type="dxa"/>
            <w:tcBorders>
              <w:top w:val="single" w:color="auto" w:sz="4" w:space="0"/>
              <w:bottom w:val="single" w:color="auto" w:sz="4" w:space="0"/>
              <w:right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70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多选题</w:t>
            </w:r>
          </w:p>
        </w:tc>
        <w:tc>
          <w:tcPr>
            <w:tcW w:w="1488" w:type="dxa"/>
            <w:vMerge w:val="continue"/>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p>
        </w:tc>
        <w:tc>
          <w:tcPr>
            <w:tcW w:w="1489"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1</w:t>
            </w:r>
            <w:r>
              <w:rPr>
                <w:rFonts w:hint="eastAsia" w:cs="Times New Roman" w:asciiTheme="minorEastAsia" w:hAnsiTheme="minorEastAsia" w:eastAsiaTheme="minorEastAsia"/>
                <w:color w:val="000000" w:themeColor="text1"/>
                <w:sz w:val="21"/>
                <w:szCs w:val="21"/>
              </w:rPr>
              <w:t>0</w:t>
            </w:r>
          </w:p>
        </w:tc>
        <w:tc>
          <w:tcPr>
            <w:tcW w:w="1496"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cs="Times New Roman" w:asciiTheme="minorEastAsia" w:hAnsiTheme="minorEastAsia" w:eastAsiaTheme="minorEastAsia"/>
                <w:color w:val="000000" w:themeColor="text1"/>
                <w:sz w:val="21"/>
                <w:szCs w:val="21"/>
              </w:rPr>
              <w:t>2</w:t>
            </w:r>
          </w:p>
        </w:tc>
        <w:tc>
          <w:tcPr>
            <w:tcW w:w="1502" w:type="dxa"/>
            <w:tcBorders>
              <w:top w:val="single" w:color="auto" w:sz="4" w:space="0"/>
              <w:bottom w:val="single" w:color="auto" w:sz="4" w:space="0"/>
              <w:right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20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小计</w:t>
            </w:r>
          </w:p>
        </w:tc>
        <w:tc>
          <w:tcPr>
            <w:tcW w:w="1488"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w:t>
            </w:r>
          </w:p>
        </w:tc>
        <w:tc>
          <w:tcPr>
            <w:tcW w:w="1489"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100</w:t>
            </w:r>
          </w:p>
        </w:tc>
        <w:tc>
          <w:tcPr>
            <w:tcW w:w="1496"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cs="Times New Roman" w:asciiTheme="minorEastAsia" w:hAnsiTheme="minorEastAsia" w:eastAsiaTheme="minorEastAsia"/>
                <w:color w:val="000000" w:themeColor="text1"/>
                <w:sz w:val="21"/>
                <w:szCs w:val="21"/>
              </w:rPr>
              <w:t>－</w:t>
            </w:r>
          </w:p>
        </w:tc>
        <w:tc>
          <w:tcPr>
            <w:tcW w:w="1502" w:type="dxa"/>
            <w:tcBorders>
              <w:top w:val="single" w:color="auto" w:sz="4" w:space="0"/>
              <w:bottom w:val="single" w:color="auto" w:sz="4" w:space="0"/>
              <w:right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100</w:t>
            </w:r>
          </w:p>
        </w:tc>
      </w:tr>
    </w:tbl>
    <w:p>
      <w:pPr>
        <w:pStyle w:val="4"/>
        <w:spacing w:line="362" w:lineRule="auto"/>
        <w:ind w:right="5190"/>
        <w:rPr>
          <w:rFonts w:asciiTheme="minorEastAsia" w:hAnsiTheme="minorEastAsia" w:eastAsiaTheme="minorEastAsia"/>
        </w:rPr>
      </w:pPr>
    </w:p>
    <w:p>
      <w:pPr>
        <w:spacing w:line="360" w:lineRule="auto"/>
        <w:ind w:firstLine="480"/>
        <w:rPr>
          <w:b/>
          <w:color w:val="000000" w:themeColor="text1"/>
          <w:sz w:val="24"/>
          <w:szCs w:val="24"/>
        </w:rPr>
      </w:pPr>
      <w:r>
        <w:rPr>
          <w:rFonts w:hint="eastAsia"/>
          <w:b/>
          <w:color w:val="000000" w:themeColor="text1"/>
          <w:sz w:val="24"/>
          <w:szCs w:val="24"/>
        </w:rPr>
        <w:t>3</w:t>
      </w:r>
      <w:r>
        <w:rPr>
          <w:b/>
          <w:color w:val="000000" w:themeColor="text1"/>
          <w:sz w:val="24"/>
          <w:szCs w:val="24"/>
        </w:rPr>
        <w:t>.</w:t>
      </w:r>
      <w:r>
        <w:rPr>
          <w:rFonts w:hint="eastAsia"/>
          <w:b/>
          <w:color w:val="000000" w:themeColor="text1"/>
          <w:sz w:val="24"/>
          <w:szCs w:val="24"/>
        </w:rPr>
        <w:t>实操考核方案</w:t>
      </w:r>
    </w:p>
    <w:p>
      <w:pPr>
        <w:spacing w:line="360" w:lineRule="auto"/>
        <w:ind w:firstLine="480"/>
        <w:rPr>
          <w:b/>
          <w:color w:val="000000" w:themeColor="text1"/>
          <w:sz w:val="24"/>
          <w:szCs w:val="24"/>
        </w:rPr>
      </w:pPr>
      <w:r>
        <w:rPr>
          <w:rFonts w:hint="eastAsia"/>
          <w:b/>
          <w:color w:val="000000" w:themeColor="text1"/>
          <w:sz w:val="24"/>
          <w:szCs w:val="24"/>
        </w:rPr>
        <w:t>（1）组卷</w:t>
      </w:r>
    </w:p>
    <w:p>
      <w:pPr>
        <w:pStyle w:val="6"/>
        <w:spacing w:line="302" w:lineRule="auto"/>
        <w:ind w:left="499" w:right="403" w:firstLine="482"/>
      </w:pPr>
      <w:r>
        <w:rPr>
          <w:rFonts w:hint="eastAsia"/>
        </w:rPr>
        <w:t>实操</w:t>
      </w:r>
      <w:r>
        <w:t>技能</w:t>
      </w:r>
      <w:r>
        <w:rPr>
          <w:rFonts w:hint="eastAsia"/>
        </w:rPr>
        <w:t>组卷从题库</w:t>
      </w:r>
      <w:r>
        <w:t>中选题，</w:t>
      </w:r>
      <w:r>
        <w:rPr>
          <w:rFonts w:hint="eastAsia"/>
        </w:rPr>
        <w:t>考核内容</w:t>
      </w:r>
      <w:r>
        <w:t>包括：</w:t>
      </w:r>
      <w:r>
        <w:rPr>
          <w:rFonts w:hint="eastAsia"/>
        </w:rPr>
        <w:t>职业素养、工艺编制、零件加工、零件自检等</w:t>
      </w:r>
      <w:r>
        <w:t>。</w:t>
      </w:r>
    </w:p>
    <w:p>
      <w:pPr>
        <w:spacing w:line="360" w:lineRule="auto"/>
        <w:ind w:firstLine="480"/>
        <w:rPr>
          <w:b/>
          <w:color w:val="000000" w:themeColor="text1"/>
          <w:sz w:val="24"/>
          <w:szCs w:val="24"/>
        </w:rPr>
      </w:pPr>
      <w:r>
        <w:rPr>
          <w:rFonts w:hint="eastAsia"/>
          <w:b/>
          <w:color w:val="000000" w:themeColor="text1"/>
          <w:sz w:val="24"/>
          <w:szCs w:val="24"/>
        </w:rPr>
        <w:t>（2）考试方式及时间</w:t>
      </w:r>
    </w:p>
    <w:p>
      <w:pPr>
        <w:pStyle w:val="6"/>
        <w:spacing w:line="302" w:lineRule="auto"/>
        <w:ind w:left="499" w:right="403" w:firstLine="482"/>
        <w:rPr>
          <w:rFonts w:asciiTheme="minorEastAsia" w:hAnsiTheme="minorEastAsia" w:eastAsiaTheme="minorEastAsia"/>
          <w:spacing w:val="-7"/>
        </w:rPr>
      </w:pPr>
      <w:r>
        <w:rPr>
          <w:rFonts w:hint="eastAsia"/>
        </w:rPr>
        <w:t>零件加工在考核机床上进行，共计2</w:t>
      </w:r>
      <w:r>
        <w:t>10</w:t>
      </w:r>
      <w:r>
        <w:rPr>
          <w:rFonts w:hint="eastAsia"/>
        </w:rPr>
        <w:t>分钟，工艺编制与编程在带计算机的工艺编制室进行，</w:t>
      </w:r>
      <w:r>
        <w:t>60</w:t>
      </w:r>
      <w:r>
        <w:rPr>
          <w:rFonts w:hint="eastAsia"/>
        </w:rPr>
        <w:t>分钟</w:t>
      </w:r>
      <w:r>
        <w:rPr>
          <w:rFonts w:hint="eastAsia" w:asciiTheme="minorEastAsia" w:hAnsiTheme="minorEastAsia" w:eastAsiaTheme="minorEastAsia"/>
          <w:spacing w:val="-7"/>
        </w:rPr>
        <w:t>考核时间</w:t>
      </w:r>
      <w:r>
        <w:rPr>
          <w:rFonts w:hint="eastAsia"/>
        </w:rPr>
        <w:t>共计2</w:t>
      </w:r>
      <w:r>
        <w:t>70</w:t>
      </w:r>
      <w:r>
        <w:rPr>
          <w:rFonts w:hint="eastAsia"/>
        </w:rPr>
        <w:t>分钟</w:t>
      </w:r>
      <w:r>
        <w:rPr>
          <w:rFonts w:hint="eastAsia" w:asciiTheme="minorEastAsia" w:hAnsiTheme="minorEastAsia" w:eastAsiaTheme="minorEastAsia"/>
          <w:spacing w:val="-7"/>
        </w:rPr>
        <w:t>。</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总配分为100分。</w:t>
      </w:r>
    </w:p>
    <w:p>
      <w:pPr>
        <w:spacing w:line="360" w:lineRule="auto"/>
        <w:ind w:firstLine="480"/>
        <w:rPr>
          <w:b/>
          <w:color w:val="000000" w:themeColor="text1"/>
          <w:sz w:val="24"/>
          <w:szCs w:val="24"/>
        </w:rPr>
      </w:pPr>
      <w:r>
        <w:rPr>
          <w:rFonts w:hint="eastAsia"/>
          <w:b/>
          <w:color w:val="000000" w:themeColor="text1"/>
          <w:sz w:val="24"/>
          <w:szCs w:val="24"/>
        </w:rPr>
        <w:t>（3）考试材料</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考核用材料为4</w:t>
      </w:r>
      <w:r>
        <w:rPr>
          <w:rFonts w:asciiTheme="minorEastAsia" w:hAnsiTheme="minorEastAsia" w:eastAsiaTheme="minorEastAsia"/>
          <w:spacing w:val="-7"/>
        </w:rPr>
        <w:t>5</w:t>
      </w:r>
      <w:r>
        <w:rPr>
          <w:rFonts w:hint="eastAsia" w:asciiTheme="minorEastAsia" w:hAnsiTheme="minorEastAsia" w:eastAsiaTheme="minorEastAsia"/>
          <w:spacing w:val="-7"/>
        </w:rPr>
        <w:t>钢或</w:t>
      </w:r>
      <w:r>
        <w:rPr>
          <w:rFonts w:asciiTheme="minorEastAsia" w:hAnsiTheme="minorEastAsia" w:eastAsiaTheme="minorEastAsia"/>
          <w:spacing w:val="-7"/>
        </w:rPr>
        <w:t>2A12</w:t>
      </w:r>
      <w:r>
        <w:rPr>
          <w:rFonts w:hint="eastAsia" w:asciiTheme="minorEastAsia" w:hAnsiTheme="minorEastAsia" w:eastAsiaTheme="minorEastAsia"/>
          <w:spacing w:val="-7"/>
        </w:rPr>
        <w:t>铝</w:t>
      </w:r>
      <w:r>
        <w:rPr>
          <w:rFonts w:asciiTheme="minorEastAsia" w:hAnsiTheme="minorEastAsia" w:eastAsiaTheme="minorEastAsia"/>
          <w:spacing w:val="-7"/>
        </w:rPr>
        <w:t>，数量1</w:t>
      </w:r>
      <w:r>
        <w:rPr>
          <w:rFonts w:hint="eastAsia" w:asciiTheme="minorEastAsia" w:hAnsiTheme="minorEastAsia" w:eastAsiaTheme="minorEastAsia"/>
          <w:spacing w:val="-7"/>
        </w:rPr>
        <w:t>-</w:t>
      </w:r>
      <w:r>
        <w:rPr>
          <w:rFonts w:asciiTheme="minorEastAsia" w:hAnsiTheme="minorEastAsia" w:eastAsiaTheme="minorEastAsia"/>
          <w:spacing w:val="-7"/>
        </w:rPr>
        <w:t>3件。</w:t>
      </w:r>
    </w:p>
    <w:p>
      <w:pPr>
        <w:widowControl/>
        <w:autoSpaceDE/>
        <w:autoSpaceDN/>
        <w:rPr>
          <w:b/>
          <w:sz w:val="24"/>
          <w:szCs w:val="24"/>
        </w:rPr>
      </w:pPr>
      <w:r>
        <w:rPr>
          <w:b/>
          <w:sz w:val="24"/>
          <w:szCs w:val="24"/>
        </w:rPr>
        <w:br w:type="page"/>
      </w:r>
    </w:p>
    <w:p>
      <w:pPr>
        <w:spacing w:line="360" w:lineRule="auto"/>
        <w:ind w:firstLine="480"/>
        <w:rPr>
          <w:b/>
          <w:color w:val="FF0000"/>
          <w:sz w:val="24"/>
          <w:szCs w:val="24"/>
        </w:rPr>
      </w:pPr>
      <w:r>
        <w:rPr>
          <w:rFonts w:hint="eastAsia"/>
          <w:b/>
          <w:color w:val="000000" w:themeColor="text1"/>
          <w:sz w:val="24"/>
          <w:szCs w:val="24"/>
        </w:rPr>
        <w:t xml:space="preserve">（4）加工要素 </w:t>
      </w:r>
    </w:p>
    <w:p>
      <w:pPr>
        <w:pStyle w:val="6"/>
        <w:spacing w:line="302" w:lineRule="auto"/>
        <w:ind w:left="499" w:right="403" w:firstLine="482"/>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车削考核加工要素包括台阶、外轮廓、外槽、外螺纹、内孔、内轮廓、内槽、内螺纹、端面槽等；</w:t>
      </w:r>
    </w:p>
    <w:p>
      <w:pPr>
        <w:pStyle w:val="6"/>
        <w:spacing w:line="302" w:lineRule="auto"/>
        <w:ind w:left="499" w:right="403" w:firstLine="482"/>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铣削考核加工要素包括平面（平面、垂直面、斜面、阶梯面）铣削加工，轮廓（直线、圆弧组成的型腔、凸台平面轮廓）铣削加工，曲面（倒角面、圆角面、圆柱面、球面等简单曲面）铣削加工、孔类（钻孔、扩孔、铰孔、铣孔等）钻铣削加工，槽类（直槽、键槽、T型槽等）铣削加工内容。</w:t>
      </w:r>
    </w:p>
    <w:p>
      <w:pPr>
        <w:pStyle w:val="5"/>
        <w:ind w:firstLine="480"/>
        <w:rPr>
          <w:rFonts w:cs="Times New Roman" w:asciiTheme="minorEastAsia" w:hAnsiTheme="minorEastAsia" w:eastAsiaTheme="minorEastAsia"/>
          <w:color w:val="000000" w:themeColor="text1"/>
          <w:sz w:val="24"/>
          <w:szCs w:val="24"/>
        </w:rPr>
      </w:pPr>
      <w:r>
        <w:rPr>
          <w:rFonts w:asciiTheme="minorEastAsia" w:hAnsiTheme="minorEastAsia" w:eastAsiaTheme="minorEastAsia"/>
          <w:color w:val="000000" w:themeColor="text1"/>
          <w:sz w:val="24"/>
          <w:szCs w:val="24"/>
        </w:rPr>
        <w:t>表2</w:t>
      </w:r>
      <w:r>
        <w:rPr>
          <w:rFonts w:hint="eastAsia" w:cs="Times New Roman" w:asciiTheme="minorEastAsia" w:hAnsiTheme="minorEastAsia" w:eastAsiaTheme="minorEastAsia"/>
          <w:color w:val="000000" w:themeColor="text1"/>
          <w:sz w:val="24"/>
          <w:szCs w:val="24"/>
        </w:rPr>
        <w:t>命题中的加工要素表配分比例</w:t>
      </w:r>
    </w:p>
    <w:tbl>
      <w:tblPr>
        <w:tblStyle w:val="14"/>
        <w:tblW w:w="3514" w:type="pct"/>
        <w:tblInd w:w="15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971"/>
        <w:gridCol w:w="1960"/>
        <w:gridCol w:w="1596"/>
        <w:gridCol w:w="1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shd w:val="clear" w:color="auto" w:fill="auto"/>
          </w:tcPr>
          <w:p>
            <w:pPr>
              <w:jc w:val="center"/>
              <w:rPr>
                <w:rFonts w:ascii="仿宋_GB2312" w:eastAsia="仿宋_GB2312"/>
                <w:b/>
                <w:color w:val="000000" w:themeColor="text1"/>
                <w:sz w:val="24"/>
              </w:rPr>
            </w:pPr>
            <w:bookmarkStart w:id="6" w:name="_GoBack" w:colFirst="0" w:colLast="4"/>
            <w:r>
              <w:rPr>
                <w:rFonts w:hint="eastAsia" w:ascii="仿宋_GB2312" w:eastAsia="仿宋_GB2312"/>
                <w:b/>
                <w:color w:val="000000" w:themeColor="text1"/>
                <w:sz w:val="24"/>
              </w:rPr>
              <w:t>序号</w:t>
            </w:r>
          </w:p>
        </w:tc>
        <w:tc>
          <w:tcPr>
            <w:tcW w:w="2035" w:type="pct"/>
            <w:gridSpan w:val="2"/>
            <w:shd w:val="clear" w:color="auto" w:fill="auto"/>
          </w:tcPr>
          <w:p>
            <w:pPr>
              <w:jc w:val="center"/>
              <w:rPr>
                <w:rFonts w:ascii="仿宋_GB2312" w:eastAsia="仿宋_GB2312"/>
                <w:b/>
                <w:color w:val="000000" w:themeColor="text1"/>
                <w:sz w:val="24"/>
              </w:rPr>
            </w:pPr>
            <w:r>
              <w:rPr>
                <w:rFonts w:hint="eastAsia" w:ascii="仿宋_GB2312" w:eastAsia="仿宋_GB2312"/>
                <w:b/>
                <w:color w:val="000000" w:themeColor="text1"/>
                <w:sz w:val="24"/>
              </w:rPr>
              <w:t>加工要素</w:t>
            </w:r>
          </w:p>
        </w:tc>
        <w:tc>
          <w:tcPr>
            <w:tcW w:w="1106" w:type="pct"/>
            <w:shd w:val="clear" w:color="auto" w:fill="auto"/>
            <w:vAlign w:val="center"/>
          </w:tcPr>
          <w:p>
            <w:pPr>
              <w:jc w:val="center"/>
              <w:rPr>
                <w:rFonts w:ascii="仿宋_GB2312" w:eastAsia="仿宋_GB2312"/>
                <w:b/>
                <w:color w:val="000000" w:themeColor="text1"/>
                <w:sz w:val="24"/>
              </w:rPr>
            </w:pPr>
            <w:r>
              <w:rPr>
                <w:rFonts w:hint="eastAsia" w:ascii="仿宋_GB2312" w:eastAsia="仿宋_GB2312"/>
                <w:b/>
                <w:color w:val="000000" w:themeColor="text1"/>
                <w:sz w:val="24"/>
              </w:rPr>
              <w:t>考件</w:t>
            </w:r>
          </w:p>
        </w:tc>
        <w:tc>
          <w:tcPr>
            <w:tcW w:w="1208" w:type="pct"/>
            <w:shd w:val="clear" w:color="auto" w:fill="auto"/>
          </w:tcPr>
          <w:p>
            <w:pPr>
              <w:jc w:val="center"/>
              <w:rPr>
                <w:rFonts w:ascii="仿宋_GB2312" w:eastAsia="仿宋_GB2312"/>
                <w:b/>
                <w:color w:val="000000" w:themeColor="text1"/>
                <w:sz w:val="24"/>
              </w:rPr>
            </w:pPr>
            <w:r>
              <w:rPr>
                <w:rFonts w:hint="eastAsia" w:ascii="仿宋_GB2312" w:eastAsia="仿宋_GB2312"/>
                <w:b/>
                <w:color w:val="000000" w:themeColor="text1"/>
                <w:sz w:val="24"/>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vMerge w:val="restar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1</w:t>
            </w:r>
          </w:p>
        </w:tc>
        <w:tc>
          <w:tcPr>
            <w:tcW w:w="674" w:type="pct"/>
            <w:vMerge w:val="restar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车削件</w:t>
            </w:r>
          </w:p>
        </w:tc>
        <w:tc>
          <w:tcPr>
            <w:tcW w:w="1360"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台阶、外轮廓</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restart"/>
            <w:shd w:val="clear" w:color="auto" w:fill="auto"/>
            <w:vAlign w:val="center"/>
          </w:tcPr>
          <w:p>
            <w:pPr>
              <w:jc w:val="center"/>
              <w:rPr>
                <w:rFonts w:asciiTheme="minorEastAsia" w:hAnsiTheme="minorEastAsia" w:eastAsiaTheme="minorEastAsia"/>
                <w:color w:val="000000" w:themeColor="text1"/>
                <w:spacing w:val="-7"/>
              </w:rPr>
            </w:pPr>
            <w:r>
              <w:rPr>
                <w:rFonts w:asciiTheme="minorEastAsia" w:hAnsiTheme="minorEastAsia" w:eastAsiaTheme="minorEastAsia"/>
                <w:color w:val="000000" w:themeColor="text1"/>
                <w:spacing w:val="-7"/>
              </w:rPr>
              <w:t>28</w:t>
            </w:r>
            <w:r>
              <w:rPr>
                <w:rFonts w:hint="eastAsia" w:asciiTheme="minorEastAsia" w:hAnsiTheme="minorEastAsia" w:eastAsiaTheme="minorEastAsia"/>
                <w:color w:val="000000" w:themeColor="text1"/>
                <w:spacing w:val="-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674"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1360"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外槽、内槽</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continue"/>
            <w:shd w:val="clear" w:color="auto" w:fill="auto"/>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674"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1360"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外螺纹、内螺纹</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continue"/>
            <w:shd w:val="clear" w:color="auto" w:fill="auto"/>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674"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1360"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端面槽</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可选</w:t>
            </w:r>
          </w:p>
        </w:tc>
        <w:tc>
          <w:tcPr>
            <w:tcW w:w="1208" w:type="pct"/>
            <w:vMerge w:val="continue"/>
            <w:shd w:val="clear" w:color="auto" w:fill="auto"/>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674"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1360"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内孔、内轮廓</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continue"/>
            <w:shd w:val="clear" w:color="auto" w:fill="auto"/>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vMerge w:val="restar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2</w:t>
            </w:r>
          </w:p>
        </w:tc>
        <w:tc>
          <w:tcPr>
            <w:tcW w:w="674" w:type="pct"/>
            <w:vMerge w:val="restar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铣削件</w:t>
            </w:r>
          </w:p>
        </w:tc>
        <w:tc>
          <w:tcPr>
            <w:tcW w:w="1360"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平面</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restart"/>
            <w:shd w:val="clear" w:color="auto" w:fill="auto"/>
            <w:vAlign w:val="center"/>
          </w:tcPr>
          <w:p>
            <w:pPr>
              <w:jc w:val="center"/>
              <w:rPr>
                <w:rFonts w:asciiTheme="minorEastAsia" w:hAnsiTheme="minorEastAsia" w:eastAsiaTheme="minorEastAsia"/>
                <w:color w:val="000000" w:themeColor="text1"/>
                <w:spacing w:val="-7"/>
              </w:rPr>
            </w:pPr>
            <w:r>
              <w:rPr>
                <w:rFonts w:asciiTheme="minorEastAsia" w:hAnsiTheme="minorEastAsia" w:eastAsiaTheme="minorEastAsia"/>
                <w:color w:val="000000" w:themeColor="text1"/>
                <w:spacing w:val="-7"/>
              </w:rPr>
              <w:t>27</w:t>
            </w:r>
            <w:r>
              <w:rPr>
                <w:rFonts w:hint="eastAsia" w:asciiTheme="minorEastAsia" w:hAnsiTheme="minorEastAsia" w:eastAsiaTheme="minorEastAsia"/>
                <w:color w:val="000000" w:themeColor="text1"/>
                <w:spacing w:val="-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674"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1360"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轮廓</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continue"/>
            <w:shd w:val="clear" w:color="auto" w:fill="auto"/>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674"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1360"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曲面</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可选</w:t>
            </w:r>
          </w:p>
        </w:tc>
        <w:tc>
          <w:tcPr>
            <w:tcW w:w="1208" w:type="pct"/>
            <w:vMerge w:val="continue"/>
            <w:shd w:val="clear" w:color="auto" w:fill="auto"/>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674"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1360"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槽类</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可选</w:t>
            </w:r>
          </w:p>
        </w:tc>
        <w:tc>
          <w:tcPr>
            <w:tcW w:w="1208" w:type="pct"/>
            <w:vMerge w:val="continue"/>
            <w:shd w:val="clear" w:color="auto" w:fill="auto"/>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674" w:type="pct"/>
            <w:vMerge w:val="continue"/>
            <w:shd w:val="clear" w:color="auto" w:fill="auto"/>
            <w:vAlign w:val="center"/>
          </w:tcPr>
          <w:p>
            <w:pPr>
              <w:jc w:val="center"/>
              <w:rPr>
                <w:rFonts w:asciiTheme="minorEastAsia" w:hAnsiTheme="minorEastAsia" w:eastAsiaTheme="minorEastAsia"/>
                <w:color w:val="000000" w:themeColor="text1"/>
                <w:spacing w:val="-7"/>
              </w:rPr>
            </w:pPr>
          </w:p>
        </w:tc>
        <w:tc>
          <w:tcPr>
            <w:tcW w:w="1360"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孔类</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continue"/>
            <w:shd w:val="clear" w:color="auto" w:fill="auto"/>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3</w:t>
            </w:r>
          </w:p>
        </w:tc>
        <w:tc>
          <w:tcPr>
            <w:tcW w:w="2035" w:type="pct"/>
            <w:gridSpan w:val="2"/>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零件装配</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4</w:t>
            </w:r>
          </w:p>
        </w:tc>
        <w:tc>
          <w:tcPr>
            <w:tcW w:w="2035" w:type="pct"/>
            <w:gridSpan w:val="2"/>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表面粗糙度要求</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shd w:val="clear" w:color="auto" w:fill="auto"/>
            <w:vAlign w:val="center"/>
          </w:tcPr>
          <w:p>
            <w:pPr>
              <w:jc w:val="center"/>
              <w:rPr>
                <w:rFonts w:asciiTheme="minorEastAsia" w:hAnsiTheme="minorEastAsia" w:eastAsiaTheme="minorEastAsia"/>
                <w:color w:val="000000" w:themeColor="text1"/>
                <w:spacing w:val="-7"/>
              </w:rPr>
            </w:pPr>
            <w:r>
              <w:rPr>
                <w:rFonts w:asciiTheme="minorEastAsia" w:hAnsiTheme="minorEastAsia" w:eastAsiaTheme="minorEastAsia"/>
                <w:color w:val="000000" w:themeColor="text1"/>
                <w:spacing w:val="-7"/>
              </w:rPr>
              <w:t>11</w:t>
            </w:r>
            <w:r>
              <w:rPr>
                <w:rFonts w:hint="eastAsia" w:asciiTheme="minorEastAsia" w:hAnsiTheme="minorEastAsia" w:eastAsiaTheme="minorEastAsia"/>
                <w:color w:val="000000" w:themeColor="text1"/>
                <w:spacing w:val="-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5</w:t>
            </w:r>
          </w:p>
        </w:tc>
        <w:tc>
          <w:tcPr>
            <w:tcW w:w="2035" w:type="pct"/>
            <w:gridSpan w:val="2"/>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形位公差要求</w:t>
            </w:r>
          </w:p>
        </w:tc>
        <w:tc>
          <w:tcPr>
            <w:tcW w:w="1106"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shd w:val="clear" w:color="auto" w:fill="auto"/>
            <w:vAlign w:val="center"/>
          </w:tcPr>
          <w:p>
            <w:pPr>
              <w:jc w:val="center"/>
              <w:rPr>
                <w:rFonts w:asciiTheme="minorEastAsia" w:hAnsiTheme="minorEastAsia" w:eastAsiaTheme="minorEastAsia"/>
                <w:color w:val="000000" w:themeColor="text1"/>
                <w:spacing w:val="-7"/>
              </w:rPr>
            </w:pPr>
            <w:r>
              <w:rPr>
                <w:rFonts w:asciiTheme="minorEastAsia" w:hAnsiTheme="minorEastAsia" w:eastAsiaTheme="minorEastAsia"/>
                <w:color w:val="000000" w:themeColor="text1"/>
                <w:spacing w:val="-7"/>
              </w:rPr>
              <w:t>4</w:t>
            </w:r>
            <w:r>
              <w:rPr>
                <w:rFonts w:hint="eastAsia" w:asciiTheme="minorEastAsia" w:hAnsiTheme="minorEastAsia" w:eastAsiaTheme="minorEastAsia"/>
                <w:color w:val="000000" w:themeColor="text1"/>
                <w:spacing w:val="-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1" w:type="pct"/>
            <w:gridSpan w:val="4"/>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共计</w:t>
            </w:r>
          </w:p>
        </w:tc>
        <w:tc>
          <w:tcPr>
            <w:tcW w:w="1208" w:type="pct"/>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7</w:t>
            </w:r>
            <w:r>
              <w:rPr>
                <w:rFonts w:asciiTheme="minorEastAsia" w:hAnsiTheme="minorEastAsia" w:eastAsiaTheme="minorEastAsia"/>
                <w:color w:val="000000" w:themeColor="text1"/>
                <w:spacing w:val="-7"/>
              </w:rPr>
              <w:t>5</w:t>
            </w:r>
            <w:r>
              <w:rPr>
                <w:rFonts w:hint="eastAsia" w:asciiTheme="minorEastAsia" w:hAnsiTheme="minorEastAsia" w:eastAsiaTheme="minorEastAsia"/>
                <w:color w:val="000000" w:themeColor="text1"/>
                <w:spacing w:val="-7"/>
              </w:rPr>
              <w:t>%</w:t>
            </w:r>
          </w:p>
        </w:tc>
      </w:tr>
      <w:bookmarkEnd w:id="6"/>
    </w:tbl>
    <w:p>
      <w:pPr>
        <w:pStyle w:val="6"/>
        <w:spacing w:line="302" w:lineRule="auto"/>
        <w:ind w:left="499" w:right="403" w:firstLine="482"/>
        <w:rPr>
          <w:rFonts w:asciiTheme="minorEastAsia" w:hAnsiTheme="minorEastAsia" w:eastAsiaTheme="minorEastAsia"/>
          <w:color w:val="000000" w:themeColor="text1"/>
          <w:spacing w:val="-7"/>
        </w:rPr>
      </w:pPr>
    </w:p>
    <w:p>
      <w:pPr>
        <w:spacing w:line="360" w:lineRule="auto"/>
        <w:ind w:firstLine="480"/>
        <w:rPr>
          <w:b/>
          <w:color w:val="000000" w:themeColor="text1"/>
          <w:sz w:val="24"/>
          <w:szCs w:val="24"/>
        </w:rPr>
      </w:pPr>
      <w:r>
        <w:rPr>
          <w:rFonts w:hint="eastAsia"/>
          <w:b/>
          <w:color w:val="000000" w:themeColor="text1"/>
          <w:sz w:val="24"/>
          <w:szCs w:val="24"/>
        </w:rPr>
        <w:t>（</w:t>
      </w:r>
      <w:r>
        <w:rPr>
          <w:b/>
          <w:color w:val="000000" w:themeColor="text1"/>
          <w:sz w:val="24"/>
          <w:szCs w:val="24"/>
        </w:rPr>
        <w:t>4</w:t>
      </w:r>
      <w:r>
        <w:rPr>
          <w:rFonts w:hint="eastAsia"/>
          <w:b/>
          <w:color w:val="000000" w:themeColor="text1"/>
          <w:sz w:val="24"/>
          <w:szCs w:val="24"/>
        </w:rPr>
        <w:t>）工作任务评分标准</w:t>
      </w:r>
    </w:p>
    <w:p>
      <w:pPr>
        <w:pStyle w:val="5"/>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表3工作任务评分</w:t>
      </w:r>
      <w:r>
        <w:rPr>
          <w:rFonts w:asciiTheme="minorEastAsia" w:hAnsiTheme="minorEastAsia" w:eastAsiaTheme="minorEastAsia"/>
          <w:sz w:val="24"/>
          <w:szCs w:val="24"/>
        </w:rPr>
        <w:t>表</w:t>
      </w:r>
    </w:p>
    <w:tbl>
      <w:tblPr>
        <w:tblStyle w:val="14"/>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725"/>
        <w:gridCol w:w="1701"/>
        <w:gridCol w:w="708"/>
        <w:gridCol w:w="4678"/>
        <w:gridCol w:w="851"/>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13" w:hRule="atLeast"/>
          <w:jc w:val="center"/>
        </w:trPr>
        <w:tc>
          <w:tcPr>
            <w:tcW w:w="725" w:type="dxa"/>
            <w:vAlign w:val="center"/>
          </w:tcPr>
          <w:p>
            <w:pP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序号</w:t>
            </w:r>
          </w:p>
        </w:tc>
        <w:tc>
          <w:tcPr>
            <w:tcW w:w="1701" w:type="dxa"/>
            <w:vAlign w:val="center"/>
          </w:tcPr>
          <w:p>
            <w:pPr>
              <w:ind w:firstLine="391"/>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一级指标</w:t>
            </w:r>
          </w:p>
        </w:tc>
        <w:tc>
          <w:tcPr>
            <w:tcW w:w="708" w:type="dxa"/>
            <w:tcBorders>
              <w:right w:val="single" w:color="auto" w:sz="4" w:space="0"/>
            </w:tcBorders>
            <w:vAlign w:val="center"/>
          </w:tcPr>
          <w:p>
            <w:pPr>
              <w:jc w:val="cente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比例</w:t>
            </w:r>
          </w:p>
        </w:tc>
        <w:tc>
          <w:tcPr>
            <w:tcW w:w="4678" w:type="dxa"/>
            <w:tcBorders>
              <w:left w:val="single" w:color="auto" w:sz="4" w:space="0"/>
            </w:tcBorders>
            <w:vAlign w:val="center"/>
          </w:tcPr>
          <w:p>
            <w:pPr>
              <w:jc w:val="cente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二级指标</w:t>
            </w:r>
          </w:p>
        </w:tc>
        <w:tc>
          <w:tcPr>
            <w:tcW w:w="851" w:type="dxa"/>
            <w:vAlign w:val="center"/>
          </w:tcPr>
          <w:p>
            <w:pP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分值</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restart"/>
            <w:vAlign w:val="center"/>
          </w:tcPr>
          <w:p>
            <w:pPr>
              <w:jc w:val="center"/>
              <w:rPr>
                <w:rFonts w:ascii="仿宋_GB2312" w:eastAsia="仿宋_GB2312" w:cs="仿宋_GB2312"/>
                <w:bCs/>
                <w:sz w:val="24"/>
                <w:szCs w:val="24"/>
                <w:lang w:val="en-US" w:bidi="ar-SA"/>
              </w:rPr>
            </w:pPr>
            <w:r>
              <w:rPr>
                <w:rFonts w:ascii="仿宋_GB2312" w:eastAsia="仿宋_GB2312" w:cs="仿宋_GB2312"/>
                <w:bCs/>
                <w:sz w:val="24"/>
                <w:szCs w:val="24"/>
                <w:lang w:val="en-US" w:bidi="ar-SA"/>
              </w:rPr>
              <w:t>1</w:t>
            </w:r>
          </w:p>
        </w:tc>
        <w:tc>
          <w:tcPr>
            <w:tcW w:w="1701" w:type="dxa"/>
            <w:vMerge w:val="restart"/>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职业素养与操作安全</w:t>
            </w:r>
          </w:p>
        </w:tc>
        <w:tc>
          <w:tcPr>
            <w:tcW w:w="708" w:type="dxa"/>
            <w:vMerge w:val="restart"/>
            <w:tcBorders>
              <w:right w:val="single" w:color="auto" w:sz="4" w:space="0"/>
            </w:tcBorders>
            <w:vAlign w:val="center"/>
          </w:tcPr>
          <w:p>
            <w:pPr>
              <w:rPr>
                <w:rFonts w:ascii="仿宋_GB2312" w:eastAsia="仿宋_GB2312" w:cs="仿宋_GB2312"/>
                <w:bCs/>
                <w:sz w:val="24"/>
                <w:szCs w:val="24"/>
                <w:lang w:val="en-US" w:bidi="ar-SA"/>
              </w:rPr>
            </w:pPr>
            <w:r>
              <w:rPr>
                <w:rFonts w:ascii="仿宋_GB2312" w:eastAsia="仿宋_GB2312" w:cs="仿宋_GB2312"/>
                <w:bCs/>
                <w:sz w:val="24"/>
                <w:szCs w:val="24"/>
                <w:lang w:val="en-US" w:bidi="ar-SA"/>
              </w:rPr>
              <w:t>8%</w:t>
            </w:r>
          </w:p>
        </w:tc>
        <w:tc>
          <w:tcPr>
            <w:tcW w:w="4678" w:type="dxa"/>
            <w:tcBorders>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6s及职业规范</w:t>
            </w:r>
          </w:p>
        </w:tc>
        <w:tc>
          <w:tcPr>
            <w:tcW w:w="851" w:type="dxa"/>
            <w:tcBorders>
              <w:bottom w:val="single" w:color="auto" w:sz="4" w:space="0"/>
            </w:tcBorders>
            <w:vAlign w:val="center"/>
          </w:tcPr>
          <w:p>
            <w:pPr>
              <w:jc w:val="center"/>
              <w:rPr>
                <w:rFonts w:ascii="仿宋_GB2312" w:eastAsia="仿宋_GB2312" w:cs="仿宋_GB2312"/>
                <w:bCs/>
                <w:sz w:val="24"/>
                <w:szCs w:val="24"/>
                <w:lang w:val="en-US" w:bidi="ar-SA"/>
              </w:rPr>
            </w:pPr>
            <w:r>
              <w:rPr>
                <w:rFonts w:ascii="仿宋_GB2312" w:eastAsia="仿宋_GB2312" w:cs="仿宋_GB2312"/>
                <w:bCs/>
                <w:sz w:val="24"/>
                <w:szCs w:val="24"/>
                <w:lang w:val="en-US" w:bidi="ar-SA"/>
              </w:rPr>
              <w:t>8</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continue"/>
            <w:vAlign w:val="center"/>
          </w:tcPr>
          <w:p>
            <w:pPr>
              <w:jc w:val="center"/>
              <w:rPr>
                <w:rFonts w:ascii="仿宋_GB2312" w:eastAsia="仿宋_GB2312" w:cs="仿宋_GB2312"/>
                <w:bCs/>
                <w:sz w:val="24"/>
                <w:szCs w:val="24"/>
                <w:lang w:val="en-US" w:bidi="ar-SA"/>
              </w:rPr>
            </w:pPr>
          </w:p>
        </w:tc>
        <w:tc>
          <w:tcPr>
            <w:tcW w:w="1701" w:type="dxa"/>
            <w:vMerge w:val="continue"/>
            <w:vAlign w:val="center"/>
          </w:tcPr>
          <w:p>
            <w:pPr>
              <w:rPr>
                <w:rFonts w:ascii="仿宋_GB2312" w:eastAsia="仿宋_GB2312" w:cs="仿宋_GB2312"/>
                <w:bCs/>
                <w:sz w:val="24"/>
                <w:szCs w:val="24"/>
                <w:lang w:val="en-US" w:bidi="ar-SA"/>
              </w:rPr>
            </w:pPr>
          </w:p>
        </w:tc>
        <w:tc>
          <w:tcPr>
            <w:tcW w:w="708" w:type="dxa"/>
            <w:vMerge w:val="continue"/>
            <w:tcBorders>
              <w:right w:val="single" w:color="auto" w:sz="4" w:space="0"/>
            </w:tcBorders>
            <w:vAlign w:val="center"/>
          </w:tcPr>
          <w:p>
            <w:pPr>
              <w:rPr>
                <w:rFonts w:ascii="仿宋_GB2312" w:eastAsia="仿宋_GB2312" w:cs="仿宋_GB2312"/>
                <w:bCs/>
                <w:sz w:val="24"/>
                <w:szCs w:val="24"/>
                <w:lang w:val="en-US" w:bidi="ar-SA"/>
              </w:rPr>
            </w:pPr>
          </w:p>
        </w:tc>
        <w:tc>
          <w:tcPr>
            <w:tcW w:w="4678" w:type="dxa"/>
            <w:tcBorders>
              <w:top w:val="single" w:color="auto" w:sz="4" w:space="0"/>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安全文明生产</w:t>
            </w:r>
            <w:r>
              <w:rPr>
                <w:rFonts w:ascii="仿宋_GB2312" w:eastAsia="仿宋_GB2312" w:cs="仿宋_GB2312"/>
                <w:bCs/>
                <w:sz w:val="24"/>
                <w:szCs w:val="24"/>
                <w:lang w:val="en-US" w:bidi="ar-SA"/>
              </w:rPr>
              <w:t>(</w:t>
            </w:r>
            <w:r>
              <w:rPr>
                <w:rFonts w:hint="eastAsia" w:ascii="仿宋_GB2312" w:eastAsia="仿宋_GB2312" w:cs="仿宋_GB2312"/>
                <w:bCs/>
                <w:sz w:val="24"/>
                <w:szCs w:val="24"/>
                <w:lang w:val="en-US" w:bidi="ar-SA"/>
              </w:rPr>
              <w:t>扣分制)</w:t>
            </w:r>
          </w:p>
        </w:tc>
        <w:tc>
          <w:tcPr>
            <w:tcW w:w="851"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5</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restart"/>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2</w:t>
            </w:r>
          </w:p>
        </w:tc>
        <w:tc>
          <w:tcPr>
            <w:tcW w:w="1701" w:type="dxa"/>
            <w:vMerge w:val="restart"/>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工艺编制</w:t>
            </w:r>
          </w:p>
        </w:tc>
        <w:tc>
          <w:tcPr>
            <w:tcW w:w="708" w:type="dxa"/>
            <w:vMerge w:val="restart"/>
            <w:tcBorders>
              <w:right w:val="single" w:color="auto" w:sz="4" w:space="0"/>
            </w:tcBorders>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1</w:t>
            </w:r>
            <w:r>
              <w:rPr>
                <w:rFonts w:ascii="仿宋_GB2312" w:eastAsia="仿宋_GB2312" w:cs="仿宋_GB2312"/>
                <w:bCs/>
                <w:sz w:val="24"/>
                <w:szCs w:val="24"/>
                <w:lang w:val="en-US" w:bidi="ar-SA"/>
              </w:rPr>
              <w:t>2%</w:t>
            </w:r>
          </w:p>
        </w:tc>
        <w:tc>
          <w:tcPr>
            <w:tcW w:w="4678" w:type="dxa"/>
            <w:tcBorders>
              <w:top w:val="single" w:color="auto" w:sz="4" w:space="0"/>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机械加工工序卡</w:t>
            </w:r>
          </w:p>
        </w:tc>
        <w:tc>
          <w:tcPr>
            <w:tcW w:w="851"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ascii="仿宋_GB2312" w:eastAsia="仿宋_GB2312" w:cs="仿宋_GB2312"/>
                <w:bCs/>
                <w:sz w:val="24"/>
                <w:szCs w:val="24"/>
                <w:lang w:val="en-US" w:bidi="ar-SA"/>
              </w:rPr>
              <w:t>6</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continue"/>
            <w:vAlign w:val="center"/>
          </w:tcPr>
          <w:p>
            <w:pPr>
              <w:jc w:val="center"/>
              <w:rPr>
                <w:rFonts w:ascii="仿宋_GB2312" w:eastAsia="仿宋_GB2312" w:cs="仿宋_GB2312"/>
                <w:bCs/>
                <w:sz w:val="24"/>
                <w:szCs w:val="24"/>
                <w:lang w:val="en-US" w:bidi="ar-SA"/>
              </w:rPr>
            </w:pPr>
          </w:p>
        </w:tc>
        <w:tc>
          <w:tcPr>
            <w:tcW w:w="1701" w:type="dxa"/>
            <w:vMerge w:val="continue"/>
            <w:vAlign w:val="center"/>
          </w:tcPr>
          <w:p>
            <w:pPr>
              <w:rPr>
                <w:rFonts w:ascii="仿宋_GB2312" w:eastAsia="仿宋_GB2312" w:cs="仿宋_GB2312"/>
                <w:bCs/>
                <w:sz w:val="24"/>
                <w:szCs w:val="24"/>
                <w:lang w:val="en-US" w:bidi="ar-SA"/>
              </w:rPr>
            </w:pPr>
          </w:p>
        </w:tc>
        <w:tc>
          <w:tcPr>
            <w:tcW w:w="708" w:type="dxa"/>
            <w:vMerge w:val="continue"/>
            <w:tcBorders>
              <w:right w:val="single" w:color="auto" w:sz="4" w:space="0"/>
            </w:tcBorders>
            <w:vAlign w:val="center"/>
          </w:tcPr>
          <w:p>
            <w:pPr>
              <w:rPr>
                <w:rFonts w:ascii="仿宋_GB2312" w:eastAsia="仿宋_GB2312" w:cs="仿宋_GB2312"/>
                <w:bCs/>
                <w:sz w:val="24"/>
                <w:szCs w:val="24"/>
                <w:lang w:val="en-US" w:bidi="ar-SA"/>
              </w:rPr>
            </w:pPr>
          </w:p>
        </w:tc>
        <w:tc>
          <w:tcPr>
            <w:tcW w:w="4678" w:type="dxa"/>
            <w:tcBorders>
              <w:top w:val="single" w:color="auto" w:sz="4" w:space="0"/>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数控加工刀具卡</w:t>
            </w:r>
          </w:p>
        </w:tc>
        <w:tc>
          <w:tcPr>
            <w:tcW w:w="851"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3</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continue"/>
            <w:vAlign w:val="center"/>
          </w:tcPr>
          <w:p>
            <w:pPr>
              <w:jc w:val="center"/>
              <w:rPr>
                <w:rFonts w:ascii="仿宋_GB2312" w:eastAsia="仿宋_GB2312" w:cs="仿宋_GB2312"/>
                <w:bCs/>
                <w:sz w:val="24"/>
                <w:szCs w:val="24"/>
                <w:lang w:val="en-US" w:bidi="ar-SA"/>
              </w:rPr>
            </w:pPr>
          </w:p>
        </w:tc>
        <w:tc>
          <w:tcPr>
            <w:tcW w:w="1701" w:type="dxa"/>
            <w:vMerge w:val="continue"/>
            <w:vAlign w:val="center"/>
          </w:tcPr>
          <w:p>
            <w:pPr>
              <w:rPr>
                <w:rFonts w:ascii="仿宋_GB2312" w:eastAsia="仿宋_GB2312" w:cs="仿宋_GB2312"/>
                <w:bCs/>
                <w:sz w:val="24"/>
                <w:szCs w:val="24"/>
                <w:lang w:val="en-US" w:bidi="ar-SA"/>
              </w:rPr>
            </w:pPr>
          </w:p>
        </w:tc>
        <w:tc>
          <w:tcPr>
            <w:tcW w:w="708" w:type="dxa"/>
            <w:vMerge w:val="continue"/>
            <w:tcBorders>
              <w:right w:val="single" w:color="auto" w:sz="4" w:space="0"/>
            </w:tcBorders>
            <w:vAlign w:val="center"/>
          </w:tcPr>
          <w:p>
            <w:pPr>
              <w:rPr>
                <w:rFonts w:ascii="仿宋_GB2312" w:eastAsia="仿宋_GB2312" w:cs="仿宋_GB2312"/>
                <w:bCs/>
                <w:sz w:val="24"/>
                <w:szCs w:val="24"/>
                <w:lang w:val="en-US" w:bidi="ar-SA"/>
              </w:rPr>
            </w:pPr>
          </w:p>
        </w:tc>
        <w:tc>
          <w:tcPr>
            <w:tcW w:w="4678" w:type="dxa"/>
            <w:tcBorders>
              <w:top w:val="single" w:color="auto" w:sz="4" w:space="0"/>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数控加工程序单</w:t>
            </w:r>
          </w:p>
        </w:tc>
        <w:tc>
          <w:tcPr>
            <w:tcW w:w="851"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3</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restart"/>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3</w:t>
            </w:r>
          </w:p>
        </w:tc>
        <w:tc>
          <w:tcPr>
            <w:tcW w:w="1701" w:type="dxa"/>
            <w:vMerge w:val="restart"/>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零件编程及加工</w:t>
            </w:r>
          </w:p>
        </w:tc>
        <w:tc>
          <w:tcPr>
            <w:tcW w:w="708" w:type="dxa"/>
            <w:vMerge w:val="restart"/>
            <w:tcBorders>
              <w:right w:val="single" w:color="auto" w:sz="4" w:space="0"/>
            </w:tcBorders>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8</w:t>
            </w:r>
            <w:r>
              <w:rPr>
                <w:rFonts w:ascii="仿宋_GB2312" w:eastAsia="仿宋_GB2312" w:cs="仿宋_GB2312"/>
                <w:bCs/>
                <w:sz w:val="24"/>
                <w:szCs w:val="24"/>
                <w:lang w:val="en-US" w:bidi="ar-SA"/>
              </w:rPr>
              <w:t>0%</w:t>
            </w:r>
          </w:p>
        </w:tc>
        <w:tc>
          <w:tcPr>
            <w:tcW w:w="4678" w:type="dxa"/>
            <w:tcBorders>
              <w:top w:val="single" w:color="auto" w:sz="4" w:space="0"/>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零件的加工</w:t>
            </w:r>
          </w:p>
        </w:tc>
        <w:tc>
          <w:tcPr>
            <w:tcW w:w="851"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7</w:t>
            </w:r>
            <w:r>
              <w:rPr>
                <w:rFonts w:ascii="仿宋_GB2312" w:eastAsia="仿宋_GB2312" w:cs="仿宋_GB2312"/>
                <w:bCs/>
                <w:sz w:val="24"/>
                <w:szCs w:val="24"/>
                <w:lang w:val="en-US" w:bidi="ar-SA"/>
              </w:rPr>
              <w:t>0</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continue"/>
            <w:vAlign w:val="center"/>
          </w:tcPr>
          <w:p>
            <w:pPr>
              <w:jc w:val="center"/>
              <w:rPr>
                <w:rFonts w:ascii="仿宋_GB2312" w:eastAsia="仿宋_GB2312" w:cs="仿宋_GB2312"/>
                <w:bCs/>
                <w:sz w:val="24"/>
                <w:szCs w:val="24"/>
                <w:lang w:val="en-US" w:bidi="ar-SA"/>
              </w:rPr>
            </w:pPr>
          </w:p>
        </w:tc>
        <w:tc>
          <w:tcPr>
            <w:tcW w:w="1701" w:type="dxa"/>
            <w:vMerge w:val="continue"/>
            <w:vAlign w:val="center"/>
          </w:tcPr>
          <w:p>
            <w:pPr>
              <w:rPr>
                <w:rFonts w:ascii="仿宋_GB2312" w:eastAsia="仿宋_GB2312" w:cs="仿宋_GB2312"/>
                <w:bCs/>
                <w:sz w:val="24"/>
                <w:szCs w:val="24"/>
                <w:lang w:val="en-US" w:bidi="ar-SA"/>
              </w:rPr>
            </w:pPr>
          </w:p>
        </w:tc>
        <w:tc>
          <w:tcPr>
            <w:tcW w:w="708" w:type="dxa"/>
            <w:vMerge w:val="continue"/>
            <w:tcBorders>
              <w:right w:val="single" w:color="auto" w:sz="4" w:space="0"/>
            </w:tcBorders>
            <w:vAlign w:val="center"/>
          </w:tcPr>
          <w:p>
            <w:pPr>
              <w:rPr>
                <w:rFonts w:ascii="仿宋_GB2312" w:eastAsia="仿宋_GB2312" w:cs="仿宋_GB2312"/>
                <w:bCs/>
                <w:sz w:val="24"/>
                <w:szCs w:val="24"/>
                <w:lang w:val="en-US" w:bidi="ar-SA"/>
              </w:rPr>
            </w:pPr>
          </w:p>
        </w:tc>
        <w:tc>
          <w:tcPr>
            <w:tcW w:w="4678" w:type="dxa"/>
            <w:tcBorders>
              <w:top w:val="single" w:color="auto" w:sz="4" w:space="0"/>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装配</w:t>
            </w:r>
          </w:p>
        </w:tc>
        <w:tc>
          <w:tcPr>
            <w:tcW w:w="851"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5</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continue"/>
            <w:vAlign w:val="center"/>
          </w:tcPr>
          <w:p>
            <w:pPr>
              <w:jc w:val="center"/>
              <w:rPr>
                <w:rFonts w:ascii="仿宋_GB2312" w:eastAsia="仿宋_GB2312" w:cs="仿宋_GB2312"/>
                <w:bCs/>
                <w:sz w:val="24"/>
                <w:szCs w:val="24"/>
                <w:lang w:val="en-US" w:bidi="ar-SA"/>
              </w:rPr>
            </w:pPr>
          </w:p>
        </w:tc>
        <w:tc>
          <w:tcPr>
            <w:tcW w:w="1701" w:type="dxa"/>
            <w:vMerge w:val="continue"/>
            <w:vAlign w:val="center"/>
          </w:tcPr>
          <w:p>
            <w:pPr>
              <w:rPr>
                <w:rFonts w:ascii="仿宋_GB2312" w:eastAsia="仿宋_GB2312" w:cs="仿宋_GB2312"/>
                <w:bCs/>
                <w:sz w:val="24"/>
                <w:szCs w:val="24"/>
                <w:lang w:val="en-US" w:bidi="ar-SA"/>
              </w:rPr>
            </w:pPr>
          </w:p>
        </w:tc>
        <w:tc>
          <w:tcPr>
            <w:tcW w:w="708" w:type="dxa"/>
            <w:vMerge w:val="continue"/>
            <w:tcBorders>
              <w:right w:val="single" w:color="auto" w:sz="4" w:space="0"/>
            </w:tcBorders>
            <w:vAlign w:val="center"/>
          </w:tcPr>
          <w:p>
            <w:pPr>
              <w:rPr>
                <w:rFonts w:ascii="仿宋_GB2312" w:eastAsia="仿宋_GB2312" w:cs="仿宋_GB2312"/>
                <w:bCs/>
                <w:sz w:val="24"/>
                <w:szCs w:val="24"/>
                <w:lang w:val="en-US" w:bidi="ar-SA"/>
              </w:rPr>
            </w:pPr>
          </w:p>
        </w:tc>
        <w:tc>
          <w:tcPr>
            <w:tcW w:w="4678" w:type="dxa"/>
            <w:tcBorders>
              <w:top w:val="single" w:color="auto" w:sz="4" w:space="0"/>
              <w:left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零件部分尺寸自检</w:t>
            </w:r>
          </w:p>
        </w:tc>
        <w:tc>
          <w:tcPr>
            <w:tcW w:w="851" w:type="dxa"/>
            <w:tcBorders>
              <w:top w:val="single" w:color="auto" w:sz="4" w:space="0"/>
            </w:tcBorders>
            <w:vAlign w:val="center"/>
          </w:tcPr>
          <w:p>
            <w:pPr>
              <w:jc w:val="center"/>
              <w:rPr>
                <w:rFonts w:ascii="仿宋_GB2312" w:eastAsia="仿宋_GB2312" w:cs="仿宋_GB2312"/>
                <w:bCs/>
                <w:sz w:val="24"/>
                <w:szCs w:val="24"/>
                <w:lang w:val="en-US" w:bidi="ar-SA"/>
              </w:rPr>
            </w:pPr>
            <w:r>
              <w:rPr>
                <w:rFonts w:ascii="仿宋_GB2312" w:eastAsia="仿宋_GB2312" w:cs="仿宋_GB2312"/>
                <w:bCs/>
                <w:sz w:val="24"/>
                <w:szCs w:val="24"/>
                <w:lang w:val="en-US" w:bidi="ar-SA"/>
              </w:rPr>
              <w:t>5</w:t>
            </w:r>
          </w:p>
        </w:tc>
      </w:tr>
    </w:tbl>
    <w:p>
      <w:pPr>
        <w:spacing w:line="360" w:lineRule="auto"/>
        <w:ind w:firstLine="480"/>
        <w:rPr>
          <w:b/>
          <w:color w:val="000000" w:themeColor="text1"/>
          <w:sz w:val="24"/>
          <w:szCs w:val="24"/>
        </w:rPr>
      </w:pPr>
    </w:p>
    <w:p>
      <w:pPr>
        <w:spacing w:line="360" w:lineRule="auto"/>
        <w:ind w:firstLine="480"/>
        <w:rPr>
          <w:b/>
          <w:color w:val="000000" w:themeColor="text1"/>
          <w:sz w:val="24"/>
          <w:szCs w:val="24"/>
        </w:rPr>
      </w:pPr>
      <w:r>
        <w:rPr>
          <w:rFonts w:hint="eastAsia"/>
          <w:b/>
          <w:color w:val="000000" w:themeColor="text1"/>
          <w:sz w:val="24"/>
          <w:szCs w:val="24"/>
        </w:rPr>
        <w:t>（</w:t>
      </w:r>
      <w:r>
        <w:rPr>
          <w:b/>
          <w:color w:val="000000" w:themeColor="text1"/>
          <w:sz w:val="24"/>
          <w:szCs w:val="24"/>
        </w:rPr>
        <w:t>5</w:t>
      </w:r>
      <w:r>
        <w:rPr>
          <w:rFonts w:hint="eastAsia"/>
          <w:b/>
          <w:color w:val="000000" w:themeColor="text1"/>
          <w:sz w:val="24"/>
          <w:szCs w:val="24"/>
        </w:rPr>
        <w:t>）考核设备</w:t>
      </w:r>
    </w:p>
    <w:p>
      <w:pPr>
        <w:pStyle w:val="6"/>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1</w:t>
      </w:r>
      <w:r>
        <w:rPr>
          <w:rFonts w:hint="eastAsia" w:asciiTheme="minorEastAsia" w:hAnsiTheme="minorEastAsia" w:eastAsiaTheme="minorEastAsia"/>
          <w:spacing w:val="-7"/>
        </w:rPr>
        <w:t>）每个考点建议配置数控车床、数控铣床（加工中心）各1</w:t>
      </w:r>
      <w:r>
        <w:rPr>
          <w:rFonts w:asciiTheme="minorEastAsia" w:hAnsiTheme="minorEastAsia" w:eastAsiaTheme="minorEastAsia"/>
          <w:spacing w:val="-7"/>
        </w:rPr>
        <w:t>0</w:t>
      </w:r>
      <w:r>
        <w:rPr>
          <w:rFonts w:hint="eastAsia" w:asciiTheme="minorEastAsia" w:hAnsiTheme="minorEastAsia" w:eastAsiaTheme="minorEastAsia"/>
          <w:spacing w:val="-7"/>
        </w:rPr>
        <w:t>台；</w:t>
      </w:r>
    </w:p>
    <w:p>
      <w:pPr>
        <w:pStyle w:val="6"/>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2</w:t>
      </w:r>
      <w:r>
        <w:rPr>
          <w:rFonts w:hint="eastAsia" w:asciiTheme="minorEastAsia" w:hAnsiTheme="minorEastAsia" w:eastAsiaTheme="minorEastAsia"/>
          <w:spacing w:val="-7"/>
        </w:rPr>
        <w:t>）现场</w:t>
      </w:r>
      <w:bookmarkStart w:id="5" w:name="_Hlk33556692"/>
      <w:r>
        <w:rPr>
          <w:rFonts w:hint="eastAsia" w:asciiTheme="minorEastAsia" w:hAnsiTheme="minorEastAsia" w:eastAsiaTheme="minorEastAsia"/>
          <w:spacing w:val="-7"/>
        </w:rPr>
        <w:t>每工位配置一台数控车床和一台数控铣床及相应的机床附件，并配一台装有CAD/CAM软件的高性能计算机。</w:t>
      </w:r>
      <w:bookmarkEnd w:id="5"/>
    </w:p>
    <w:p>
      <w:pPr>
        <w:pStyle w:val="6"/>
        <w:spacing w:line="302" w:lineRule="auto"/>
        <w:ind w:left="499" w:right="403" w:firstLine="482"/>
        <w:rPr>
          <w:rFonts w:asciiTheme="minorEastAsia" w:hAnsiTheme="minorEastAsia" w:eastAsiaTheme="minorEastAsia"/>
          <w:spacing w:val="-7"/>
          <w:lang w:val="en-US"/>
        </w:rPr>
      </w:pPr>
      <w:r>
        <w:rPr>
          <w:rFonts w:asciiTheme="minorEastAsia" w:hAnsiTheme="minorEastAsia" w:eastAsiaTheme="minorEastAsia"/>
          <w:spacing w:val="-7"/>
        </w:rPr>
        <w:t>3</w:t>
      </w:r>
      <w:r>
        <w:rPr>
          <w:rFonts w:hint="eastAsia" w:asciiTheme="minorEastAsia" w:hAnsiTheme="minorEastAsia" w:eastAsiaTheme="minorEastAsia"/>
          <w:spacing w:val="-7"/>
        </w:rPr>
        <w:t>）刀量具考生自带，清单由考试管理中心提前3个月公布</w:t>
      </w:r>
      <w:r>
        <w:rPr>
          <w:rFonts w:hint="eastAsia" w:asciiTheme="minorEastAsia" w:hAnsiTheme="minorEastAsia" w:eastAsiaTheme="minorEastAsia"/>
          <w:spacing w:val="-7"/>
          <w:lang w:val="en-US"/>
        </w:rPr>
        <w:t>。</w:t>
      </w:r>
    </w:p>
    <w:p>
      <w:pPr>
        <w:pStyle w:val="6"/>
        <w:spacing w:line="302" w:lineRule="auto"/>
        <w:ind w:left="499" w:right="403" w:firstLine="482"/>
        <w:rPr>
          <w:rFonts w:asciiTheme="minorEastAsia" w:hAnsiTheme="minorEastAsia" w:eastAsiaTheme="minorEastAsia"/>
          <w:spacing w:val="-7"/>
          <w:lang w:val="en-US"/>
        </w:rPr>
      </w:pPr>
      <w:r>
        <w:rPr>
          <w:rFonts w:asciiTheme="minorEastAsia" w:hAnsiTheme="minorEastAsia" w:eastAsiaTheme="minorEastAsia"/>
          <w:spacing w:val="-7"/>
        </w:rPr>
        <w:t>4</w:t>
      </w:r>
      <w:r>
        <w:rPr>
          <w:rFonts w:hint="eastAsia" w:asciiTheme="minorEastAsia" w:hAnsiTheme="minorEastAsia" w:eastAsiaTheme="minorEastAsia"/>
          <w:spacing w:val="-7"/>
        </w:rPr>
        <w:t>）</w:t>
      </w:r>
      <w:r>
        <w:rPr>
          <w:rFonts w:hint="eastAsia" w:asciiTheme="minorEastAsia" w:hAnsiTheme="minorEastAsia" w:eastAsiaTheme="minorEastAsia"/>
          <w:spacing w:val="-7"/>
          <w:lang w:val="en-US"/>
        </w:rPr>
        <w:t>考点建议使用三坐标检测设备测量工件。</w:t>
      </w:r>
    </w:p>
    <w:p>
      <w:pPr>
        <w:pStyle w:val="6"/>
        <w:spacing w:line="302" w:lineRule="auto"/>
        <w:ind w:left="499" w:right="403" w:firstLine="482"/>
        <w:rPr>
          <w:rFonts w:asciiTheme="minorEastAsia" w:hAnsiTheme="minorEastAsia" w:eastAsiaTheme="minorEastAsia"/>
          <w:spacing w:val="-7"/>
          <w:lang w:val="en-US"/>
        </w:rPr>
      </w:pPr>
      <w:r>
        <w:rPr>
          <w:rFonts w:asciiTheme="minorEastAsia" w:hAnsiTheme="minorEastAsia" w:eastAsiaTheme="minorEastAsia"/>
          <w:spacing w:val="-7"/>
        </w:rPr>
        <w:t>5</w:t>
      </w:r>
      <w:r>
        <w:rPr>
          <w:rFonts w:hint="eastAsia" w:asciiTheme="minorEastAsia" w:hAnsiTheme="minorEastAsia" w:eastAsiaTheme="minorEastAsia"/>
          <w:spacing w:val="-7"/>
        </w:rPr>
        <w:t>）</w:t>
      </w:r>
      <w:r>
        <w:rPr>
          <w:rFonts w:hint="eastAsia" w:asciiTheme="minorEastAsia" w:hAnsiTheme="minorEastAsia" w:eastAsiaTheme="minorEastAsia"/>
          <w:spacing w:val="-7"/>
          <w:lang w:val="en-US"/>
        </w:rPr>
        <w:t>考点应配备摄像及加工设备现场数据采集装置，使考试中心可以实时监控考点并留下历史记录。</w:t>
      </w:r>
    </w:p>
    <w:p>
      <w:pPr>
        <w:spacing w:line="360" w:lineRule="auto"/>
        <w:ind w:firstLine="480"/>
        <w:rPr>
          <w:b/>
          <w:color w:val="000000" w:themeColor="text1"/>
          <w:sz w:val="24"/>
          <w:szCs w:val="24"/>
        </w:rPr>
      </w:pPr>
      <w:r>
        <w:rPr>
          <w:rFonts w:hint="eastAsia"/>
          <w:b/>
          <w:color w:val="000000" w:themeColor="text1"/>
          <w:sz w:val="24"/>
          <w:szCs w:val="24"/>
        </w:rPr>
        <w:t>（</w:t>
      </w:r>
      <w:r>
        <w:rPr>
          <w:b/>
          <w:color w:val="000000" w:themeColor="text1"/>
          <w:sz w:val="24"/>
          <w:szCs w:val="24"/>
        </w:rPr>
        <w:t>6</w:t>
      </w:r>
      <w:r>
        <w:rPr>
          <w:rFonts w:hint="eastAsia"/>
          <w:b/>
          <w:color w:val="000000" w:themeColor="text1"/>
          <w:sz w:val="24"/>
          <w:szCs w:val="24"/>
        </w:rPr>
        <w:t>）考核人员配置</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考核人员与考生的比例不小于1:3。</w:t>
      </w:r>
    </w:p>
    <w:p>
      <w:pPr>
        <w:spacing w:line="360" w:lineRule="auto"/>
        <w:ind w:firstLine="480"/>
        <w:rPr>
          <w:b/>
          <w:color w:val="000000" w:themeColor="text1"/>
          <w:sz w:val="24"/>
          <w:szCs w:val="24"/>
        </w:rPr>
      </w:pPr>
      <w:r>
        <w:rPr>
          <w:rFonts w:hint="eastAsia"/>
          <w:b/>
          <w:color w:val="000000" w:themeColor="text1"/>
          <w:sz w:val="24"/>
          <w:szCs w:val="24"/>
        </w:rPr>
        <w:t>（</w:t>
      </w:r>
      <w:r>
        <w:rPr>
          <w:b/>
          <w:color w:val="000000" w:themeColor="text1"/>
          <w:sz w:val="24"/>
          <w:szCs w:val="24"/>
        </w:rPr>
        <w:t>7</w:t>
      </w:r>
      <w:r>
        <w:rPr>
          <w:rFonts w:hint="eastAsia"/>
          <w:b/>
          <w:color w:val="000000" w:themeColor="text1"/>
          <w:sz w:val="24"/>
          <w:szCs w:val="24"/>
        </w:rPr>
        <w:t>）场地要求</w:t>
      </w:r>
    </w:p>
    <w:p>
      <w:pPr>
        <w:pStyle w:val="6"/>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1</w:t>
      </w:r>
      <w:r>
        <w:rPr>
          <w:rFonts w:hint="eastAsia" w:asciiTheme="minorEastAsia" w:hAnsiTheme="minorEastAsia" w:eastAsiaTheme="minorEastAsia"/>
          <w:spacing w:val="-7"/>
        </w:rPr>
        <w:t>）</w:t>
      </w:r>
      <w:r>
        <w:rPr>
          <w:rFonts w:asciiTheme="minorEastAsia" w:hAnsiTheme="minorEastAsia" w:eastAsiaTheme="minorEastAsia"/>
          <w:spacing w:val="-7"/>
        </w:rPr>
        <w:t>采光</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GB/T 50033的有关规定。</w:t>
      </w:r>
    </w:p>
    <w:p>
      <w:pPr>
        <w:pStyle w:val="6"/>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2</w:t>
      </w:r>
      <w:r>
        <w:rPr>
          <w:rFonts w:hint="eastAsia" w:asciiTheme="minorEastAsia" w:hAnsiTheme="minorEastAsia" w:eastAsiaTheme="minorEastAsia"/>
          <w:spacing w:val="-7"/>
        </w:rPr>
        <w:t>）</w:t>
      </w:r>
      <w:r>
        <w:rPr>
          <w:rFonts w:asciiTheme="minorEastAsia" w:hAnsiTheme="minorEastAsia" w:eastAsiaTheme="minorEastAsia"/>
          <w:spacing w:val="-7"/>
        </w:rPr>
        <w:t>照明</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 50034的有关规定。</w:t>
      </w:r>
    </w:p>
    <w:p>
      <w:pPr>
        <w:pStyle w:val="6"/>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3</w:t>
      </w:r>
      <w:r>
        <w:rPr>
          <w:rFonts w:hint="eastAsia" w:asciiTheme="minorEastAsia" w:hAnsiTheme="minorEastAsia" w:eastAsiaTheme="minorEastAsia"/>
          <w:spacing w:val="-7"/>
        </w:rPr>
        <w:t>）</w:t>
      </w:r>
      <w:r>
        <w:rPr>
          <w:rFonts w:asciiTheme="minorEastAsia" w:hAnsiTheme="minorEastAsia" w:eastAsiaTheme="minorEastAsia"/>
          <w:spacing w:val="-7"/>
        </w:rPr>
        <w:t>通风</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 50016和工业企业通风的有关要求。</w:t>
      </w:r>
    </w:p>
    <w:p>
      <w:pPr>
        <w:pStyle w:val="6"/>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4</w:t>
      </w:r>
      <w:r>
        <w:rPr>
          <w:rFonts w:hint="eastAsia" w:asciiTheme="minorEastAsia" w:hAnsiTheme="minorEastAsia" w:eastAsiaTheme="minorEastAsia"/>
          <w:spacing w:val="-7"/>
        </w:rPr>
        <w:t>）</w:t>
      </w:r>
      <w:r>
        <w:rPr>
          <w:rFonts w:asciiTheme="minorEastAsia" w:hAnsiTheme="minorEastAsia" w:eastAsiaTheme="minorEastAsia"/>
          <w:spacing w:val="-7"/>
        </w:rPr>
        <w:t>防火</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 50016有关厂房、仓库防火的规定。</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5）</w:t>
      </w:r>
      <w:r>
        <w:rPr>
          <w:rFonts w:asciiTheme="minorEastAsia" w:hAnsiTheme="minorEastAsia" w:eastAsiaTheme="minorEastAsia"/>
          <w:spacing w:val="-7"/>
        </w:rPr>
        <w:t>安全与卫生</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GBZ1和GB/T12801 的有关要求。安全标志应符合GB2893和GB2894</w:t>
      </w:r>
      <w:r>
        <w:rPr>
          <w:rFonts w:hint="eastAsia" w:asciiTheme="minorEastAsia" w:hAnsiTheme="minorEastAsia" w:eastAsiaTheme="minorEastAsia"/>
          <w:spacing w:val="-7"/>
        </w:rPr>
        <w:t>的有关要求。</w:t>
      </w:r>
    </w:p>
    <w:p>
      <w:pPr>
        <w:spacing w:line="360" w:lineRule="auto"/>
        <w:ind w:firstLine="480"/>
        <w:rPr>
          <w:b/>
          <w:color w:val="000000" w:themeColor="text1"/>
          <w:sz w:val="24"/>
          <w:szCs w:val="24"/>
        </w:rPr>
      </w:pPr>
      <w:r>
        <w:rPr>
          <w:b/>
          <w:color w:val="000000" w:themeColor="text1"/>
          <w:sz w:val="24"/>
          <w:szCs w:val="24"/>
        </w:rPr>
        <w:t>4.</w:t>
      </w:r>
      <w:r>
        <w:rPr>
          <w:rFonts w:hint="eastAsia"/>
          <w:b/>
          <w:color w:val="000000" w:themeColor="text1"/>
          <w:sz w:val="24"/>
          <w:szCs w:val="24"/>
        </w:rPr>
        <w:t>其他考核</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根据各试点院校及企业的需要，可以答辩、研发成果、项目课题等替代相关考核成绩，从而获取职业技能等级证书。具体的形式和内容，由相关单位与培训评价组织武汉华中数控股份有限公司共同制定方案。</w:t>
      </w:r>
    </w:p>
    <w:sectPr>
      <w:footerReference r:id="rId3" w:type="default"/>
      <w:pgSz w:w="11910" w:h="16840"/>
      <w:pgMar w:top="1380" w:right="980" w:bottom="1240" w:left="900" w:header="0" w:footer="1053"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Adobe Myungjo Std M">
    <w:altName w:val="Yu Mincho"/>
    <w:panose1 w:val="00000000000000000000"/>
    <w:charset w:val="80"/>
    <w:family w:val="roman"/>
    <w:pitch w:val="default"/>
    <w:sig w:usb0="00000000" w:usb1="00000000" w:usb2="00000010" w:usb3="00000000" w:csb0="002A0005" w:csb1="00000000"/>
  </w:font>
  <w:font w:name="仿宋">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Yu Mincho">
    <w:panose1 w:val="02020400000000000000"/>
    <w:charset w:val="80"/>
    <w:family w:val="auto"/>
    <w:pitch w:val="default"/>
    <w:sig w:usb0="800002E7" w:usb1="2AC7FCF0" w:usb2="00000012"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lang w:val="en-US" w:bidi="ar-SA"/>
      </w:rPr>
      <w:pict>
        <v:shape id="文本框 18" o:spid="_x0000_s4097" o:spt="202" type="#_x0000_t202" style="position:absolute;left:0pt;margin-left:295.7pt;margin-top:778.25pt;height:11pt;width:17.5pt;mso-position-horizontal-relative:page;mso-position-vertical-relative:page;z-index:-251658240;mso-width-relative:page;mso-height-relative:page;" filled="f" stroked="f" coordsize="21600,21600" o:gfxdata="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FFnUGzaAAAADQEAAA8AAAAA&#10;AAAAAQAgAAAAIgAAAGRycy9kb3ducmV2LnhtbFBLAQIUABQAAAAIAIdO4kBazBsloAEAACUDAAAO&#10;AAAAAAAAAAEAIAAAACkBAABkcnMvZTJvRG9jLnhtbFBLBQYAAAAABgAGAFkBAAA7BQAAAAA=&#10;">
          <v:path/>
          <v:fill on="f" focussize="0,0"/>
          <v:stroke on="f" joinstyle="miter"/>
          <v:imagedata o:title=""/>
          <o:lock v:ext="edit"/>
          <v:textbox inset="0mm,0mm,0mm,0mm">
            <w:txbxContent>
              <w:p>
                <w:pPr>
                  <w:spacing w:line="220" w:lineRule="exact"/>
                  <w:ind w:left="40"/>
                  <w:rPr>
                    <w:sz w:val="18"/>
                  </w:rPr>
                </w:pPr>
                <w:r>
                  <w:fldChar w:fldCharType="begin"/>
                </w:r>
                <w:r>
                  <w:rPr>
                    <w:sz w:val="18"/>
                  </w:rPr>
                  <w:instrText xml:space="preserve"> PAGE </w:instrText>
                </w:r>
                <w:r>
                  <w:fldChar w:fldCharType="separate"/>
                </w:r>
                <w:r>
                  <w:rPr>
                    <w:sz w:val="18"/>
                  </w:rPr>
                  <w:t>1</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rawingGridHorizontalSpacing w:val="110"/>
  <w:noPunctuationKerning w:val="1"/>
  <w:characterSpacingControl w:val="doNotCompress"/>
  <w:hdrShapeDefaults>
    <o:shapelayout v:ext="edit">
      <o:idmap v:ext="edit" data="4"/>
    </o:shapelayout>
  </w:hdrShapeDefaults>
  <w:compat>
    <w:ulTrailSpace/>
    <w:doNotExpandShiftReturn/>
    <w:useFELayout/>
    <w:compatSetting w:name="compatibilityMode" w:uri="http://schemas.microsoft.com/office/word" w:val="12"/>
  </w:compat>
  <w:rsids>
    <w:rsidRoot w:val="00D64240"/>
    <w:rsid w:val="00032413"/>
    <w:rsid w:val="0003271D"/>
    <w:rsid w:val="000622EE"/>
    <w:rsid w:val="00081946"/>
    <w:rsid w:val="0008457A"/>
    <w:rsid w:val="000903D8"/>
    <w:rsid w:val="000923C1"/>
    <w:rsid w:val="000B6553"/>
    <w:rsid w:val="00105C32"/>
    <w:rsid w:val="001206CB"/>
    <w:rsid w:val="00134641"/>
    <w:rsid w:val="001531BD"/>
    <w:rsid w:val="001679C3"/>
    <w:rsid w:val="00172351"/>
    <w:rsid w:val="001B0B0C"/>
    <w:rsid w:val="001D2293"/>
    <w:rsid w:val="001D6D07"/>
    <w:rsid w:val="002006DF"/>
    <w:rsid w:val="002273A3"/>
    <w:rsid w:val="00274294"/>
    <w:rsid w:val="002963E9"/>
    <w:rsid w:val="002A7440"/>
    <w:rsid w:val="002B700B"/>
    <w:rsid w:val="002C1410"/>
    <w:rsid w:val="002C6AA0"/>
    <w:rsid w:val="002F762C"/>
    <w:rsid w:val="003349DA"/>
    <w:rsid w:val="00346566"/>
    <w:rsid w:val="00347AB1"/>
    <w:rsid w:val="003601CC"/>
    <w:rsid w:val="003620D1"/>
    <w:rsid w:val="00364516"/>
    <w:rsid w:val="00384C66"/>
    <w:rsid w:val="0039550B"/>
    <w:rsid w:val="0039612B"/>
    <w:rsid w:val="003C176C"/>
    <w:rsid w:val="003C6A19"/>
    <w:rsid w:val="003D09A1"/>
    <w:rsid w:val="003D7145"/>
    <w:rsid w:val="0040029F"/>
    <w:rsid w:val="00404527"/>
    <w:rsid w:val="0040513A"/>
    <w:rsid w:val="00421927"/>
    <w:rsid w:val="00434411"/>
    <w:rsid w:val="00447208"/>
    <w:rsid w:val="00453434"/>
    <w:rsid w:val="004563BA"/>
    <w:rsid w:val="00461C18"/>
    <w:rsid w:val="004652D4"/>
    <w:rsid w:val="004848B4"/>
    <w:rsid w:val="00497079"/>
    <w:rsid w:val="004A6C49"/>
    <w:rsid w:val="004B5F77"/>
    <w:rsid w:val="004C3A2B"/>
    <w:rsid w:val="004C4855"/>
    <w:rsid w:val="004D1EDD"/>
    <w:rsid w:val="004D4E2D"/>
    <w:rsid w:val="004D5FF0"/>
    <w:rsid w:val="004E2425"/>
    <w:rsid w:val="004E6D99"/>
    <w:rsid w:val="0052420D"/>
    <w:rsid w:val="00531FE8"/>
    <w:rsid w:val="0054120F"/>
    <w:rsid w:val="00551731"/>
    <w:rsid w:val="00566F3C"/>
    <w:rsid w:val="00575B8C"/>
    <w:rsid w:val="005B4287"/>
    <w:rsid w:val="005C598C"/>
    <w:rsid w:val="005E17A3"/>
    <w:rsid w:val="005E75E7"/>
    <w:rsid w:val="005F53CF"/>
    <w:rsid w:val="005F7062"/>
    <w:rsid w:val="006003FD"/>
    <w:rsid w:val="006337DC"/>
    <w:rsid w:val="00650ACB"/>
    <w:rsid w:val="006527F6"/>
    <w:rsid w:val="006667AE"/>
    <w:rsid w:val="006B15C6"/>
    <w:rsid w:val="006E5C5A"/>
    <w:rsid w:val="006F1781"/>
    <w:rsid w:val="00701B99"/>
    <w:rsid w:val="00713899"/>
    <w:rsid w:val="00726287"/>
    <w:rsid w:val="007379D9"/>
    <w:rsid w:val="007454C9"/>
    <w:rsid w:val="007521C4"/>
    <w:rsid w:val="00754A7A"/>
    <w:rsid w:val="00777351"/>
    <w:rsid w:val="00777A8E"/>
    <w:rsid w:val="00794F2E"/>
    <w:rsid w:val="007A1C5B"/>
    <w:rsid w:val="007F7A54"/>
    <w:rsid w:val="008106C6"/>
    <w:rsid w:val="008148B5"/>
    <w:rsid w:val="00820207"/>
    <w:rsid w:val="00832988"/>
    <w:rsid w:val="0083605F"/>
    <w:rsid w:val="00861C37"/>
    <w:rsid w:val="00865853"/>
    <w:rsid w:val="00896900"/>
    <w:rsid w:val="008B5C16"/>
    <w:rsid w:val="008C6EE5"/>
    <w:rsid w:val="008D724A"/>
    <w:rsid w:val="008E2BB9"/>
    <w:rsid w:val="008E4D58"/>
    <w:rsid w:val="00900FED"/>
    <w:rsid w:val="00904A6E"/>
    <w:rsid w:val="0091223A"/>
    <w:rsid w:val="009230E9"/>
    <w:rsid w:val="00942187"/>
    <w:rsid w:val="00957822"/>
    <w:rsid w:val="00970FC6"/>
    <w:rsid w:val="009B6D9A"/>
    <w:rsid w:val="009B7266"/>
    <w:rsid w:val="009C0CC2"/>
    <w:rsid w:val="009C4F7F"/>
    <w:rsid w:val="009E2A6B"/>
    <w:rsid w:val="009E58EB"/>
    <w:rsid w:val="009F45BB"/>
    <w:rsid w:val="00A03244"/>
    <w:rsid w:val="00A10495"/>
    <w:rsid w:val="00A15F76"/>
    <w:rsid w:val="00A2281F"/>
    <w:rsid w:val="00A25C2B"/>
    <w:rsid w:val="00A41CD0"/>
    <w:rsid w:val="00A43265"/>
    <w:rsid w:val="00A433CF"/>
    <w:rsid w:val="00A57068"/>
    <w:rsid w:val="00A61883"/>
    <w:rsid w:val="00A740F6"/>
    <w:rsid w:val="00A75D27"/>
    <w:rsid w:val="00A858BC"/>
    <w:rsid w:val="00A949A6"/>
    <w:rsid w:val="00A94C52"/>
    <w:rsid w:val="00AB256A"/>
    <w:rsid w:val="00AC085D"/>
    <w:rsid w:val="00AD61C5"/>
    <w:rsid w:val="00AF6F75"/>
    <w:rsid w:val="00B02589"/>
    <w:rsid w:val="00B03FBD"/>
    <w:rsid w:val="00B04B0A"/>
    <w:rsid w:val="00B145AF"/>
    <w:rsid w:val="00B1461F"/>
    <w:rsid w:val="00B41B1A"/>
    <w:rsid w:val="00B95689"/>
    <w:rsid w:val="00BA6C05"/>
    <w:rsid w:val="00BB0456"/>
    <w:rsid w:val="00BB2402"/>
    <w:rsid w:val="00BB5AB0"/>
    <w:rsid w:val="00BB6FEE"/>
    <w:rsid w:val="00BB70D0"/>
    <w:rsid w:val="00C02326"/>
    <w:rsid w:val="00C03195"/>
    <w:rsid w:val="00C03882"/>
    <w:rsid w:val="00C05467"/>
    <w:rsid w:val="00C10FF6"/>
    <w:rsid w:val="00C142FF"/>
    <w:rsid w:val="00C14432"/>
    <w:rsid w:val="00C1719D"/>
    <w:rsid w:val="00C65A1C"/>
    <w:rsid w:val="00C75929"/>
    <w:rsid w:val="00C925A2"/>
    <w:rsid w:val="00CA3991"/>
    <w:rsid w:val="00CA64C4"/>
    <w:rsid w:val="00CA7A51"/>
    <w:rsid w:val="00CC008E"/>
    <w:rsid w:val="00CC4045"/>
    <w:rsid w:val="00CE1A98"/>
    <w:rsid w:val="00D0068C"/>
    <w:rsid w:val="00D2544F"/>
    <w:rsid w:val="00D25FBF"/>
    <w:rsid w:val="00D440AF"/>
    <w:rsid w:val="00D476C4"/>
    <w:rsid w:val="00D50A4D"/>
    <w:rsid w:val="00D5271F"/>
    <w:rsid w:val="00D57104"/>
    <w:rsid w:val="00D61B2A"/>
    <w:rsid w:val="00D64240"/>
    <w:rsid w:val="00D67D1C"/>
    <w:rsid w:val="00D85C96"/>
    <w:rsid w:val="00D96554"/>
    <w:rsid w:val="00DB02EB"/>
    <w:rsid w:val="00DC3F1A"/>
    <w:rsid w:val="00DC4F45"/>
    <w:rsid w:val="00DC56AC"/>
    <w:rsid w:val="00DC655C"/>
    <w:rsid w:val="00DD5394"/>
    <w:rsid w:val="00DD7E2B"/>
    <w:rsid w:val="00DE1B7D"/>
    <w:rsid w:val="00DE1DE6"/>
    <w:rsid w:val="00DF5BDF"/>
    <w:rsid w:val="00E03AED"/>
    <w:rsid w:val="00E4166E"/>
    <w:rsid w:val="00E62071"/>
    <w:rsid w:val="00E70A8B"/>
    <w:rsid w:val="00E72859"/>
    <w:rsid w:val="00E739BE"/>
    <w:rsid w:val="00E74E22"/>
    <w:rsid w:val="00E77913"/>
    <w:rsid w:val="00EB051A"/>
    <w:rsid w:val="00EC51DD"/>
    <w:rsid w:val="00ED6CF8"/>
    <w:rsid w:val="00ED74F7"/>
    <w:rsid w:val="00EF7196"/>
    <w:rsid w:val="00EF7E4B"/>
    <w:rsid w:val="00F049C2"/>
    <w:rsid w:val="00F075B3"/>
    <w:rsid w:val="00F247C2"/>
    <w:rsid w:val="00F34AE4"/>
    <w:rsid w:val="00F41813"/>
    <w:rsid w:val="00F47885"/>
    <w:rsid w:val="00F47AA5"/>
    <w:rsid w:val="00F511BB"/>
    <w:rsid w:val="00F63DA3"/>
    <w:rsid w:val="00F91F8F"/>
    <w:rsid w:val="00FB7E16"/>
    <w:rsid w:val="00FC2B95"/>
    <w:rsid w:val="014C382A"/>
    <w:rsid w:val="081A436A"/>
    <w:rsid w:val="1D507571"/>
    <w:rsid w:val="2D244367"/>
    <w:rsid w:val="36282EAB"/>
    <w:rsid w:val="42F10B16"/>
    <w:rsid w:val="48414459"/>
    <w:rsid w:val="50A83661"/>
    <w:rsid w:val="52AF4151"/>
    <w:rsid w:val="5315361B"/>
    <w:rsid w:val="7F5C753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paragraph" w:styleId="2">
    <w:name w:val="heading 1"/>
    <w:basedOn w:val="1"/>
    <w:next w:val="1"/>
    <w:qFormat/>
    <w:uiPriority w:val="1"/>
    <w:pPr>
      <w:spacing w:before="45"/>
      <w:ind w:left="499"/>
      <w:outlineLvl w:val="0"/>
    </w:pPr>
    <w:rPr>
      <w:rFonts w:ascii="黑体" w:hAnsi="黑体" w:eastAsia="黑体" w:cs="黑体"/>
      <w:sz w:val="30"/>
      <w:szCs w:val="30"/>
    </w:rPr>
  </w:style>
  <w:style w:type="paragraph" w:styleId="3">
    <w:name w:val="heading 2"/>
    <w:basedOn w:val="1"/>
    <w:next w:val="1"/>
    <w:qFormat/>
    <w:uiPriority w:val="1"/>
    <w:pPr>
      <w:ind w:left="499"/>
      <w:outlineLvl w:val="1"/>
    </w:pPr>
    <w:rPr>
      <w:rFonts w:ascii="黑体" w:hAnsi="黑体" w:eastAsia="黑体" w:cs="黑体"/>
      <w:sz w:val="28"/>
      <w:szCs w:val="28"/>
    </w:rPr>
  </w:style>
  <w:style w:type="paragraph" w:styleId="4">
    <w:name w:val="heading 3"/>
    <w:basedOn w:val="1"/>
    <w:next w:val="1"/>
    <w:qFormat/>
    <w:uiPriority w:val="1"/>
    <w:pPr>
      <w:ind w:left="979"/>
      <w:outlineLvl w:val="2"/>
    </w:pPr>
    <w:rPr>
      <w:b/>
      <w:bCs/>
      <w:sz w:val="24"/>
      <w:szCs w:val="24"/>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pPr>
      <w:autoSpaceDE/>
      <w:autoSpaceDN/>
      <w:snapToGrid w:val="0"/>
      <w:spacing w:line="300" w:lineRule="auto"/>
      <w:jc w:val="center"/>
    </w:pPr>
    <w:rPr>
      <w:rFonts w:asciiTheme="majorHAnsi" w:hAnsiTheme="majorHAnsi" w:cstheme="majorBidi"/>
      <w:kern w:val="2"/>
      <w:sz w:val="21"/>
      <w:szCs w:val="20"/>
      <w:lang w:val="en-US" w:bidi="ar-SA"/>
    </w:rPr>
  </w:style>
  <w:style w:type="paragraph" w:styleId="6">
    <w:name w:val="Body Text"/>
    <w:basedOn w:val="1"/>
    <w:link w:val="24"/>
    <w:qFormat/>
    <w:uiPriority w:val="1"/>
    <w:rPr>
      <w:sz w:val="24"/>
      <w:szCs w:val="24"/>
    </w:rPr>
  </w:style>
  <w:style w:type="paragraph" w:styleId="7">
    <w:name w:val="toc 3"/>
    <w:basedOn w:val="1"/>
    <w:next w:val="1"/>
    <w:qFormat/>
    <w:uiPriority w:val="1"/>
    <w:pPr>
      <w:spacing w:before="81"/>
      <w:ind w:left="1963" w:hanging="601"/>
    </w:pPr>
    <w:rPr>
      <w:sz w:val="24"/>
      <w:szCs w:val="24"/>
    </w:rPr>
  </w:style>
  <w:style w:type="paragraph" w:styleId="8">
    <w:name w:val="Balloon Text"/>
    <w:basedOn w:val="1"/>
    <w:link w:val="23"/>
    <w:qFormat/>
    <w:uiPriority w:val="0"/>
    <w:rPr>
      <w:sz w:val="18"/>
      <w:szCs w:val="18"/>
    </w:rPr>
  </w:style>
  <w:style w:type="paragraph" w:styleId="9">
    <w:name w:val="footer"/>
    <w:basedOn w:val="1"/>
    <w:link w:val="22"/>
    <w:qFormat/>
    <w:uiPriority w:val="0"/>
    <w:pPr>
      <w:tabs>
        <w:tab w:val="center" w:pos="4153"/>
        <w:tab w:val="right" w:pos="8306"/>
      </w:tabs>
      <w:snapToGrid w:val="0"/>
    </w:pPr>
    <w:rPr>
      <w:sz w:val="18"/>
      <w:szCs w:val="18"/>
    </w:rPr>
  </w:style>
  <w:style w:type="paragraph" w:styleId="10">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1"/>
    <w:pPr>
      <w:spacing w:before="82"/>
      <w:ind w:right="321"/>
      <w:jc w:val="right"/>
    </w:pPr>
    <w:rPr>
      <w:b/>
      <w:bCs/>
      <w:sz w:val="28"/>
      <w:szCs w:val="28"/>
    </w:rPr>
  </w:style>
  <w:style w:type="paragraph" w:styleId="12">
    <w:name w:val="toc 4"/>
    <w:basedOn w:val="1"/>
    <w:next w:val="1"/>
    <w:qFormat/>
    <w:uiPriority w:val="1"/>
    <w:pPr>
      <w:spacing w:before="81"/>
      <w:ind w:left="2683" w:hanging="841"/>
    </w:pPr>
    <w:rPr>
      <w:sz w:val="24"/>
      <w:szCs w:val="24"/>
    </w:rPr>
  </w:style>
  <w:style w:type="paragraph" w:styleId="13">
    <w:name w:val="toc 2"/>
    <w:basedOn w:val="1"/>
    <w:next w:val="1"/>
    <w:qFormat/>
    <w:uiPriority w:val="1"/>
    <w:pPr>
      <w:spacing w:before="81"/>
      <w:ind w:left="1843" w:right="323" w:hanging="1844"/>
      <w:jc w:val="right"/>
    </w:pPr>
    <w:rPr>
      <w:sz w:val="24"/>
      <w:szCs w:val="24"/>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Hyperlink"/>
    <w:basedOn w:val="16"/>
    <w:uiPriority w:val="0"/>
    <w:rPr>
      <w:color w:val="0000FF"/>
      <w:u w:val="single"/>
    </w:rPr>
  </w:style>
  <w:style w:type="table" w:customStyle="1" w:styleId="18">
    <w:name w:val="Table Normal"/>
    <w:unhideWhenUsed/>
    <w:qFormat/>
    <w:uiPriority w:val="2"/>
    <w:tblPr>
      <w:tblCellMar>
        <w:top w:w="0" w:type="dxa"/>
        <w:left w:w="0" w:type="dxa"/>
        <w:bottom w:w="0" w:type="dxa"/>
        <w:right w:w="0" w:type="dxa"/>
      </w:tblCellMar>
    </w:tblPr>
  </w:style>
  <w:style w:type="paragraph" w:styleId="19">
    <w:name w:val="List Paragraph"/>
    <w:basedOn w:val="1"/>
    <w:qFormat/>
    <w:uiPriority w:val="1"/>
    <w:pPr>
      <w:spacing w:before="81"/>
      <w:ind w:left="1340" w:hanging="362"/>
    </w:pPr>
  </w:style>
  <w:style w:type="paragraph" w:customStyle="1" w:styleId="20">
    <w:name w:val="Table Paragraph"/>
    <w:basedOn w:val="1"/>
    <w:qFormat/>
    <w:uiPriority w:val="1"/>
  </w:style>
  <w:style w:type="character" w:customStyle="1" w:styleId="21">
    <w:name w:val="页眉 Char"/>
    <w:basedOn w:val="16"/>
    <w:link w:val="10"/>
    <w:qFormat/>
    <w:uiPriority w:val="0"/>
    <w:rPr>
      <w:rFonts w:ascii="宋体" w:hAnsi="宋体" w:eastAsia="宋体" w:cs="宋体"/>
      <w:sz w:val="18"/>
      <w:szCs w:val="18"/>
      <w:lang w:val="zh-CN" w:bidi="zh-CN"/>
    </w:rPr>
  </w:style>
  <w:style w:type="character" w:customStyle="1" w:styleId="22">
    <w:name w:val="页脚 Char"/>
    <w:basedOn w:val="16"/>
    <w:link w:val="9"/>
    <w:qFormat/>
    <w:uiPriority w:val="0"/>
    <w:rPr>
      <w:rFonts w:ascii="宋体" w:hAnsi="宋体" w:eastAsia="宋体" w:cs="宋体"/>
      <w:sz w:val="18"/>
      <w:szCs w:val="18"/>
      <w:lang w:val="zh-CN" w:bidi="zh-CN"/>
    </w:rPr>
  </w:style>
  <w:style w:type="character" w:customStyle="1" w:styleId="23">
    <w:name w:val="批注框文本 Char"/>
    <w:basedOn w:val="16"/>
    <w:link w:val="8"/>
    <w:qFormat/>
    <w:uiPriority w:val="0"/>
    <w:rPr>
      <w:rFonts w:ascii="宋体" w:hAnsi="宋体" w:eastAsia="宋体" w:cs="宋体"/>
      <w:sz w:val="18"/>
      <w:szCs w:val="18"/>
      <w:lang w:val="zh-CN" w:bidi="zh-CN"/>
    </w:rPr>
  </w:style>
  <w:style w:type="character" w:customStyle="1" w:styleId="24">
    <w:name w:val="正文文本 Char"/>
    <w:basedOn w:val="16"/>
    <w:link w:val="6"/>
    <w:qFormat/>
    <w:uiPriority w:val="1"/>
    <w:rPr>
      <w:rFonts w:ascii="宋体" w:hAnsi="宋体" w:eastAsia="宋体" w:cs="宋体"/>
      <w:sz w:val="24"/>
      <w:szCs w:val="24"/>
      <w:lang w:val="zh-CN" w:bidi="zh-CN"/>
    </w:rPr>
  </w:style>
  <w:style w:type="table" w:customStyle="1" w:styleId="25">
    <w:name w:val="网格型1"/>
    <w:basedOn w:val="14"/>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6">
    <w:name w:val="表格 字符"/>
    <w:link w:val="27"/>
    <w:qFormat/>
    <w:uiPriority w:val="0"/>
    <w:rPr>
      <w:rFonts w:ascii="宋体"/>
    </w:rPr>
  </w:style>
  <w:style w:type="paragraph" w:customStyle="1" w:styleId="27">
    <w:name w:val="表格"/>
    <w:basedOn w:val="1"/>
    <w:link w:val="26"/>
    <w:qFormat/>
    <w:uiPriority w:val="0"/>
    <w:pPr>
      <w:autoSpaceDE/>
      <w:autoSpaceDN/>
      <w:jc w:val="center"/>
    </w:pPr>
    <w:rPr>
      <w:rFonts w:hAnsi="Times New Roman" w:cs="Times New Roman"/>
      <w:sz w:val="20"/>
      <w:szCs w:val="20"/>
      <w:lang w:val="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DBF5D1-9D0E-464C-B609-DEC99B744B4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726</Words>
  <Characters>4143</Characters>
  <Lines>34</Lines>
  <Paragraphs>9</Paragraphs>
  <TotalTime>1</TotalTime>
  <ScaleCrop>false</ScaleCrop>
  <LinksUpToDate>false</LinksUpToDate>
  <CharactersWithSpaces>4860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2020-02-28T07:11:00Z</dcterms:created>
  <dc:creator>王志强</dc:creator>
  <cp:lastModifiedBy>华中数控-闻xh</cp:lastModifiedBy>
  <dcterms:modified xsi:type="dcterms:W3CDTF">2020-02-28T16:19:25Z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2019-05-27T00:00:00Z</vt:filetime>
  </property>
  <property fmtid="{D5CDD505-2E9C-101B-9397-08002B2CF9AE}" pid="3" name="Creator">
    <vt:lpwstr>WPS 文字</vt:lpwstr>
  </property>
  <property fmtid="{D5CDD505-2E9C-101B-9397-08002B2CF9AE}" pid="4" name="LastSaved">
    <vt:filetime>2019-06-20T00:00:00Z</vt:filetime>
  </property>
  <property fmtid="{D5CDD505-2E9C-101B-9397-08002B2CF9AE}" pid="5" name="KSOProductBuildVer">
    <vt:lpwstr>2052-11.1.0.9339</vt:lpwstr>
  </property>
</Properties>
</file>