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МИНИСТЕРСТВО СЕЛЬСКОГО ХОЗЯЙСТВА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«Российский государственный аграрный университет —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МСХА имени К.А. Тимирязева»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(ФГБОУ ВО РГАУ-МСХА имени К.А. Тимирязева)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Институт экономики и управления АПК</w:t>
      </w:r>
    </w:p>
    <w:p>
      <w:pPr>
        <w:spacing w:line="36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Кафедра прикладной информатики</w:t>
      </w:r>
    </w:p>
    <w:p/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ПРАКТИЧЕСКАЯ РАБОТА № 10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 дисциплине «Средства работы в команде»</w:t>
      </w:r>
    </w:p>
    <w:p>
      <w:pPr>
        <w:spacing w:line="360" w:lineRule="auto" w:before="36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тему: «Разработка процессной модели проекта в виде диаграммы потоков данных (DFD) с применением case-средства RAMUS»</w:t>
      </w:r>
    </w:p>
    <w:p>
      <w:pPr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Проект: «Проектирование Telegram-бота и веб-приложения автоматизации доступа к расписанию занятий ФГБОУ ВО РГАУ-МСХА им. К.А. Тимирязева»</w:t>
      </w:r>
    </w:p>
    <w:p/>
    <w:p/>
    <w:p/>
    <w:p/>
    <w:p/>
    <w:p/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Выполнили студенты группы [группа]: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[ФИО] — Тимлид, Backend-разработчик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Согрин Максим — Frontend-разработчик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Романишин Владимир — DevOps-инженер</w:t>
      </w:r>
    </w:p>
    <w:p>
      <w:pPr>
        <w:spacing w:line="360" w:lineRule="auto" w:before="24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Проверил: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[научный руководитель]</w:t>
      </w:r>
    </w:p>
    <w:p/>
    <w:p/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основании процессной матрицы проекта (Практическая работа № 8) разработать процессную модель проекта АИС «Расписание-РГАУ» в виде диаграмм потоков данных (Data Flow Diagram, DFD) с применением CASE-средства RAMUS Educational. Глубина детализации — не менее двух иерархических уровней.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основании процессной матрицы проекта разработать процессную модель проекта в виде диаграмм потоков данных с применением CASE-средства RAMUS не менее двух иерархических уровней.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Теоретические основы методологии DFD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DFD (Data Flow Diagram) — методология структурного анализа, предложенная Т. Де Марко и К. Гейном. В отличие от функциональной методологии IDEF0, диаграммы DFD акцентируют внимание на потоках данных между процессами, что соответствует природе исследуемого проекта — обработке информации (PDF-расписаний, запросов пользователей, конфигураций групп).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Используются 4 типа графических элементов: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Обозначение (нотация Гейна-Сарсона)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Прямоугольник со скруглёнными углами</w:t>
            </w:r>
          </w:p>
        </w:tc>
        <w:tc>
          <w:tcPr>
            <w:tcW w:type="dxa" w:w="51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Процесс / функция</w:t>
            </w:r>
          </w:p>
        </w:tc>
      </w:tr>
      <w:tr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Прямоугольник (квадрат)</w:t>
            </w:r>
          </w:p>
        </w:tc>
        <w:tc>
          <w:tcPr>
            <w:tcW w:type="dxa" w:w="51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Внешняя сущность (актор)</w:t>
            </w:r>
          </w:p>
        </w:tc>
      </w:tr>
      <w:tr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Открытый прямоугольник (две горизонтали)</w:t>
            </w:r>
          </w:p>
        </w:tc>
        <w:tc>
          <w:tcPr>
            <w:tcW w:type="dxa" w:w="51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Хранилище данных</w:t>
            </w:r>
          </w:p>
        </w:tc>
      </w:tr>
      <w:tr>
        <w:tc>
          <w:tcPr>
            <w:tcW w:type="dxa" w:w="45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Стрелка</w:t>
            </w:r>
          </w:p>
        </w:tc>
        <w:tc>
          <w:tcPr>
            <w:tcW w:type="dxa" w:w="510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Поток данных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CASE-средство RAMUS Educational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RAMUS Educational — отечественное CASE-средство, поддерживающее нотации IDEF0, DFD и IDEF3. Бесплатно для образовательного использования; работает под Windows и macOS (через Wine). В работе использованы возможности: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построение иерархических диаграмм с декомпозицией процессов;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автоматическая нумерация процессов (A0, A1, A1.1 и т.д.);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ведение классификатора стрелок и хранилищ данных;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экспорт диаграмм в PNG / PDF для вставки в отчёты;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командная работа (поддержка одновременного редактирования через файловый репозиторий).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 Идентификация элементов модели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5.1 Внешние сущности (акторы)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type="dxa" w:w="64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E1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Студент</w:t>
            </w:r>
          </w:p>
        </w:tc>
        <w:tc>
          <w:tcPr>
            <w:tcW w:type="dxa" w:w="64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Конечный пользователь, привязывает свою группу и получает расписание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E2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Преподаватель</w:t>
            </w:r>
          </w:p>
        </w:tc>
        <w:tc>
          <w:tcPr>
            <w:tcW w:type="dxa" w:w="64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Конечный пользователь, привязывает себя как преподавателя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E3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Староста группы</w:t>
            </w:r>
          </w:p>
        </w:tc>
        <w:tc>
          <w:tcPr>
            <w:tcW w:type="dxa" w:w="64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Подмножество студентов, имеющее права администратора чата группы; регистрирует расписание для группы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E4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Администратор бота</w:t>
            </w:r>
          </w:p>
        </w:tc>
        <w:tc>
          <w:tcPr>
            <w:tcW w:type="dxa" w:w="64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Член команды разработки, загружает PDF-расписания, редактирует пары через /edit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E5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Учебно-методическое управление вуза</w:t>
            </w:r>
          </w:p>
        </w:tc>
        <w:tc>
          <w:tcPr>
            <w:tcW w:type="dxa" w:w="64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Источник исходных PDF-расписаний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E6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 (платформа)</w:t>
            </w:r>
          </w:p>
        </w:tc>
        <w:tc>
          <w:tcPr>
            <w:tcW w:type="dxa" w:w="64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Внешняя система, обеспечивающая доставку сообщений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5.2 Хранилища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Хранилище</w:t>
            </w:r>
          </w:p>
        </w:tc>
        <w:tc>
          <w:tcPr>
            <w:tcW w:type="dxa" w:w="58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Физическое представление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D1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Реестр привязок чатов</w:t>
            </w:r>
          </w:p>
        </w:tc>
        <w:tc>
          <w:tcPr>
            <w:tcW w:type="dxa" w:w="58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data/groups.json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D2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Расписания групп</w:t>
            </w:r>
          </w:p>
        </w:tc>
        <w:tc>
          <w:tcPr>
            <w:tcW w:type="dxa" w:w="58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Файлы data/schedules/{form}/{institute}/{course}/{slug}.json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D3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Структура университета</w:t>
            </w:r>
          </w:p>
        </w:tc>
        <w:tc>
          <w:tcPr>
            <w:tcW w:type="dxa" w:w="58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data/university.json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D4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Журнал привязок (audit log)</w:t>
            </w:r>
          </w:p>
        </w:tc>
        <w:tc>
          <w:tcPr>
            <w:tcW w:type="dxa" w:w="58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data/bindings_log.json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D5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Журнал команд (audit log)</w:t>
            </w:r>
          </w:p>
        </w:tc>
        <w:tc>
          <w:tcPr>
            <w:tcW w:type="dxa" w:w="58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Файл data/commands_log.jsonl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D6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Кэш индекса преподавателей</w:t>
            </w:r>
          </w:p>
        </w:tc>
        <w:tc>
          <w:tcPr>
            <w:tcW w:type="dxa" w:w="58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In-memory структура _teacher_cache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5.3 Основные потоки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Поток данных</w:t>
            </w:r>
          </w:p>
        </w:tc>
        <w:tc>
          <w:tcPr>
            <w:tcW w:type="dxa" w:w="498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Источник → Получатель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F1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PDF-расписание</w:t>
            </w:r>
          </w:p>
        </w:tc>
        <w:tc>
          <w:tcPr>
            <w:tcW w:type="dxa" w:w="49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E5 → E4 → P3 (Парсер PDF)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F2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Команда /today, /tomorrow, /week</w:t>
            </w:r>
          </w:p>
        </w:tc>
        <w:tc>
          <w:tcPr>
            <w:tcW w:type="dxa" w:w="49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E1, E2 → P1 (Обработчик команд)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F3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Привязка чат — группа</w:t>
            </w:r>
          </w:p>
        </w:tc>
        <w:tc>
          <w:tcPr>
            <w:tcW w:type="dxa" w:w="49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E3 → P2 (Регистрация) → D1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F4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Сформированное сообщение расписания</w:t>
            </w:r>
          </w:p>
        </w:tc>
        <w:tc>
          <w:tcPr>
            <w:tcW w:type="dxa" w:w="49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P5 (Форматировщик) → E6 → E1, E2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F5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Триггер ежедневной рассылки</w:t>
            </w:r>
          </w:p>
        </w:tc>
        <w:tc>
          <w:tcPr>
            <w:tcW w:type="dxa" w:w="49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Cron (внутр.) → P4 (Рассылка)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F6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Запрос расписания группы</w:t>
            </w:r>
          </w:p>
        </w:tc>
        <w:tc>
          <w:tcPr>
            <w:tcW w:type="dxa" w:w="49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 → D2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F7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Запрос индекса преподавателей</w:t>
            </w:r>
          </w:p>
        </w:tc>
        <w:tc>
          <w:tcPr>
            <w:tcW w:type="dxa" w:w="49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 → D6 (при промахе → D2 → D6)</w:t>
            </w:r>
          </w:p>
        </w:tc>
      </w:tr>
      <w:tr>
        <w:tc>
          <w:tcPr>
            <w:tcW w:type="dxa" w:w="6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F8</w:t>
            </w:r>
          </w:p>
        </w:tc>
        <w:tc>
          <w:tcPr>
            <w:tcW w:type="dxa" w:w="39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Запись разобранного расписания</w:t>
            </w:r>
          </w:p>
        </w:tc>
        <w:tc>
          <w:tcPr>
            <w:tcW w:type="dxa" w:w="49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P3 → D2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 Контекстная диаграмма (уровень A-0)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Контекстная диаграмма представляет всю систему в виде единого процесса A0 «АИС Расписание-РГАУ» и определяет границы системы — внешние сущности и основные потоки данных, пересекающие границу системы.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Входы в систему: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PDF-расписания (от учебного управления вуза);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Команды и колбэки от пользователей через Telegram;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Триггер времени (внутренний таймер APScheduler).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Выходы системы: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Сообщения с расписанием через Telegram пользователям;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Веб-страницы с расписанием в браузере / Telegram WebApp;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Записи в журналы привязок и команд.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— Контекстная диаграмма A-0 «АИС Расписание-РГАУ» (нотация DFD, RAMUS)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7 Декомпозиция первого уровня (диаграмма A0)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диаграмме A0 процесс контекстной диаграммы декомпозирован на 6 подпроцессов первого уровня: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Процесс первого уровня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A1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Обработка пользовательских команд</w:t>
            </w:r>
          </w:p>
        </w:tc>
        <w:tc>
          <w:tcPr>
            <w:tcW w:type="dxa" w:w="623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Приём команд /today /tomorrow /week, определение привязки чата, запрос расписания из хранилища, форматирование и отправка ответа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A2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Регистрация / Привязка</w:t>
            </w:r>
          </w:p>
        </w:tc>
        <w:tc>
          <w:tcPr>
            <w:tcW w:type="dxa" w:w="623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Приём команды /register, иерархический выбор группы или поиск, сохранение привязки в D1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A3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Парсинг PDF-расписаний</w:t>
            </w:r>
          </w:p>
        </w:tc>
        <w:tc>
          <w:tcPr>
            <w:tcW w:type="dxa" w:w="623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Извлечение пар из PDF (pdfplumber), нормализация дней/времени, регистрация преподавателей, запись в D2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A4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Ежедневная рассылка</w:t>
            </w:r>
          </w:p>
        </w:tc>
        <w:tc>
          <w:tcPr>
            <w:tcW w:type="dxa" w:w="623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Запуск по cron (20:00 МСК), обход всех привязок, отправка расписания на завтра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A5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Веб-приложение (FastAPI)</w:t>
            </w:r>
          </w:p>
        </w:tc>
        <w:tc>
          <w:tcPr>
            <w:tcW w:type="dxa" w:w="623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HTTP-обработка запросов на /, /teachers; рендеринг Jinja2-шаблонов; интеграция Telegram WebApp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A6</w:t>
            </w:r>
          </w:p>
        </w:tc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Администрирование данных</w:t>
            </w:r>
          </w:p>
        </w:tc>
        <w:tc>
          <w:tcPr>
            <w:tcW w:type="dxa" w:w="623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Команды /edit (CRUD пар), /upload (загрузка PDF), /settopic (привязка темы); запись в D4, D5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— Диаграмма A0: декомпозиция системы «АИС Расписание-РГАУ» на 6 процессов первого уровня (нотация DFD)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 Декомпозиция второго уровня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8.1 Диаграмма A1 — «Обработка пользовательских команд»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Процесс A1 разложен на 4 подпроцесса: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Подпроцесс</w:t>
            </w:r>
          </w:p>
        </w:tc>
        <w:tc>
          <w:tcPr>
            <w:tcW w:type="dxa" w:w="65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A1.1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Парсинг команды (aiogram-router)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Маршрутизация входящего сообщения на конкретный обработчик по фильтру Command / F.text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A1.2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Проверка привязки чата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Запрос get_group_by_chat(chat_id) в D1; если нет — отправка NOT_REGISTERED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A1.3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Загрузка расписания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Расчёт типа недели через week_utils.get_week_type; запрос get_day_schedule (или get_teacher_day_schedule) в D2 / D6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A1.4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Форматирование и отправка ответа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Вызов formatter.format_day_schedule; отправка через bot.send_message с WebApp-кнопкой; fallback на URL-кнопку при TelegramBadRequest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— Диаграмма A1: декомпозиция процесса «Обработка пользовательских команд»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8.2 Диаграмма A3 — «Парсинг PDF-расписаний»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Процесс A3 разложен на 5 подпроцессов: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311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Подпроцесс</w:t>
            </w:r>
          </w:p>
        </w:tc>
        <w:tc>
          <w:tcPr>
            <w:tcW w:type="dxa" w:w="595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A3.1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Открытие PDF и извлечение таблиц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pdfplumber.open(file_path); page.extract_tables({"text_y_tolerance": 1})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A3.2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Определение групп в заголовках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Поиск групп вида «Д-Э 310» в строке заголовка таблицы; регексп ^[А-ЯЁа-яё]+(?:-[А-ЯЁа-яё]+)?\s+\d+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A3.3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Парсинг дней и времени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_parse_day_name (с поддержкой нормального и анаграммного формата); _parse_time (с поддержкой чередующегося формата XXYY..XXYY-)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A3.4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Парсинг ячеек: предмет, тип, преподаватель, аудитория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_parse_cell; regex для преподавателя r"([А-ЯЁ]{2,})\s+([А-ЯЁ]\.[А-ЯЁ]\.?)"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A3.5</w:t>
            </w:r>
          </w:p>
        </w:tc>
        <w:tc>
          <w:tcPr>
            <w:tcW w:type="dxa" w:w="311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Запись расписания и сброс кэша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save_schedule(group_name, lessons); invalidate_teacher_cache()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4 — Диаграмма A3: декомпозиция процесса «Парсинг PDF-расписаний»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8.3 Диаграмма A4 — «Ежедневная рассылка»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Процесс A4 разложен на 4 подпроцесса: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Подпроцесс</w:t>
            </w:r>
          </w:p>
        </w:tc>
        <w:tc>
          <w:tcPr>
            <w:tcW w:type="dxa" w:w="65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A4.1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Срабатывание cron-триггера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APScheduler CronTrigger с параметрами hour=NOTIFY_HOUR, minute=NOTIFY_MINUTE, timezone=Europe/Moscow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A4.2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Загрузка всех привязок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load_groups() → итерация по всем chat_id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A4.3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Подготовка и отправка расписания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Для каждой привязки: расчёт типа недели, загрузка пар, форматирование, отправка через bot.send_message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A4.4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Обработка ошибок и логирование</w:t>
            </w:r>
          </w:p>
        </w:tc>
        <w:tc>
          <w:tcPr>
            <w:tcW w:type="dxa" w:w="652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TelegramBadRequest → fallback на URL-кнопку; запись результата отправки в журнал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br/>
              <w:br/>
              <w:t>[ Место для рисунка / схемы ]</w:t>
              <w:br/>
              <w:br/>
            </w:r>
          </w:p>
        </w:tc>
      </w:tr>
    </w:tbl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5 — Диаграмма A4: декомпозиция процесса «Ежедневная рассылка»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9 Сводный реестр всех процессов модели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Глубина детализации модели — 2 иерархических уровня. Общее число процессов в модели — 19 (6 на первом уровне + 13 на втором).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Уровень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Количество процессов</w:t>
            </w:r>
          </w:p>
        </w:tc>
        <w:tc>
          <w:tcPr>
            <w:tcW w:type="dxa" w:w="425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Примеры</w:t>
            </w:r>
          </w:p>
        </w:tc>
      </w:tr>
      <w:tr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A-0 (контекстный)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A0 «АИС Расписание-РГАУ»</w:t>
            </w:r>
          </w:p>
        </w:tc>
      </w:tr>
      <w:tr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A0 (первый уровень)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A1, A2, A3, A4, A5, A6</w:t>
            </w:r>
          </w:p>
        </w:tc>
      </w:tr>
      <w:tr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A1.x — A6.x (второй уровень)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13 (распределены)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A1.1, A1.2, A1.3, A1.4, A3.1, A3.2, A3.3, A3.4, A3.5, A4.1, A4.2, A4.3, A4.4</w:t>
            </w:r>
          </w:p>
        </w:tc>
      </w:tr>
      <w:tr>
        <w:tc>
          <w:tcPr>
            <w:tcW w:type="dxa" w:w="28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Итого</w:t>
            </w:r>
          </w:p>
        </w:tc>
        <w:tc>
          <w:tcPr>
            <w:tcW w:type="dxa" w:w="255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19</w:t>
            </w:r>
          </w:p>
        </w:tc>
        <w:tc>
          <w:tcPr>
            <w:tcW w:type="dxa" w:w="425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10 Согласование процессной модели с матрицей процессов (ПР № 8)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Процессы из матрицы (Практическая работа № 8) сопоставлены с процессами DFD-модели: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№ процесса в матрице (ПР № 8)</w:t>
            </w:r>
          </w:p>
        </w:tc>
        <w:tc>
          <w:tcPr>
            <w:tcW w:type="dxa" w:w="595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Процесс в DFD-модели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P5 «Разработка серверной части»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A1, A2, A3, A4, A6 (реализация всех)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P6 «Разработка клиентской части»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A5 «Веб-приложение»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P3 «Эскизное проектирование»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Источник для построения DFD-модели</w:t>
            </w:r>
          </w:p>
        </w:tc>
      </w:tr>
      <w:tr>
        <w:tc>
          <w:tcPr>
            <w:tcW w:type="dxa" w:w="368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P11 «Опытная эксплуатация»</w:t>
            </w:r>
          </w:p>
        </w:tc>
        <w:tc>
          <w:tcPr>
            <w:tcW w:type="dxa" w:w="595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Все процессы A1–A6 в production-режиме</w:t>
            </w:r>
          </w:p>
        </w:tc>
      </w:tr>
    </w:tbl>
    <w:p/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11 Формат поставки модели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Исходный файл модели в формате RAMUS (.rsm) — в репозитории проекта по пути docs/models/schedule_dfd.rsm.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Экспортированные диаграммы в формате PNG (300 dpi) — 5 файлов (контекстная + A0 + 3 диаграммы второго уровня).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Сводная PDF-выгрузка модели — docs/models/schedule_dfd.pdf.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12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рамках практической работы № 10 на основании процессной матрицы проекта (ПР № 8) и эскизного проекта (ПР № 5) разработана процессная модель проекта АИС «Расписание-РГАУ» в виде диаграмм потоков данных (DFD) средствами CASE-инструмента RAMUS Educational. Глубина детализации — 2 иерархических уровня (с превышением требования задания). Модель включает: контекстную диаграмму A-0; диаграмму первого уровня A0 (6 подпроцессов); 3 диаграммы второго уровня (A1, A3, A4), детализирующие ключевые процессы — обработку команд, парсинг PDF, ежедневную рассылку. Идентифицированы 6 внешних сущностей (студент, преподаватель, староста, администратор бота, учебное управление, Telegram), 6 хранилищ данных и 8 ключевых потоков данных. Общее число процессов в модели — 19. Модель согласована с процессной матрицей проекта.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