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Holdout Evaluation Report</w:t>
      </w:r>
    </w:p>
    <w:p>
      <w:pPr>
        <w:jc w:val="center"/>
      </w:pPr>
      <w:r>
        <w:rPr>
          <w:color w:val="1F4E79"/>
          <w:sz w:val="28"/>
        </w:rPr>
        <w:t>NSA Motor Warranty Claims — Dataset v2</w:t>
      </w:r>
    </w:p>
    <w:p/>
    <w:tbl>
      <w:tblPr>
        <w:tblStyle w:val="TableGrid"/>
        <w:tblW w:type="auto" w:w="0"/>
        <w:jc w:val="center"/>
        <w:tblLook w:firstColumn="1" w:firstRow="1" w:lastColumn="0" w:lastRow="0" w:noHBand="0" w:noVBand="1" w:val="04A0"/>
      </w:tblPr>
      <w:tblGrid>
        <w:gridCol w:w="4703"/>
        <w:gridCol w:w="4703"/>
      </w:tblGrid>
      <w:tr>
        <w:tc>
          <w:tcPr>
            <w:tcW w:type="dxa" w:w="2835"/>
            <w:shd w:fill="E8EDF2" w:val="clear"/>
          </w:tcPr>
          <w:p>
            <w:r/>
            <w:r>
              <w:rPr>
                <w:b/>
                <w:sz w:val="18"/>
              </w:rPr>
              <w:t>Date</w:t>
            </w:r>
          </w:p>
        </w:tc>
        <w:tc>
          <w:tcPr>
            <w:tcW w:type="dxa" w:w="6803"/>
          </w:tcPr>
          <w:p>
            <w:r/>
            <w:r>
              <w:rPr>
                <w:sz w:val="18"/>
              </w:rPr>
              <w:t>3 February 2026</w:t>
            </w:r>
          </w:p>
        </w:tc>
      </w:tr>
      <w:tr>
        <w:tc>
          <w:tcPr>
            <w:tcW w:type="dxa" w:w="2835"/>
            <w:shd w:fill="E8EDF2" w:val="clear"/>
          </w:tcPr>
          <w:p>
            <w:r/>
            <w:r>
              <w:rPr>
                <w:b/>
                <w:sz w:val="18"/>
              </w:rPr>
              <w:t>Dataset</w:t>
            </w:r>
          </w:p>
        </w:tc>
        <w:tc>
          <w:tcPr>
            <w:tcW w:type="dxa" w:w="6803"/>
            <w:shd w:fill="F9F9F9" w:val="clear"/>
          </w:tcPr>
          <w:p>
            <w:r/>
            <w:r>
              <w:rPr>
                <w:sz w:val="18"/>
              </w:rPr>
              <w:t>nsa-motor-eval-v2 (30 claims: 15 approved, 15 denied)</w:t>
            </w:r>
          </w:p>
        </w:tc>
      </w:tr>
      <w:tr>
        <w:tc>
          <w:tcPr>
            <w:tcW w:type="dxa" w:w="2835"/>
            <w:shd w:fill="E8EDF2" w:val="clear"/>
          </w:tcPr>
          <w:p>
            <w:r/>
            <w:r>
              <w:rPr>
                <w:b/>
                <w:sz w:val="18"/>
              </w:rPr>
              <w:t>Status</w:t>
            </w:r>
          </w:p>
        </w:tc>
        <w:tc>
          <w:tcPr>
            <w:tcW w:type="dxa" w:w="6803"/>
          </w:tcPr>
          <w:p>
            <w:r/>
            <w:r>
              <w:rPr>
                <w:sz w:val="18"/>
              </w:rPr>
              <w:t>Holdout evaluation — blind test on unseen claims</w:t>
            </w:r>
          </w:p>
        </w:tc>
      </w:tr>
    </w:tbl>
    <w:p>
      <w:r>
        <w:br w:type="page"/>
      </w:r>
    </w:p>
    <w:p>
      <w:pPr>
        <w:pStyle w:val="Heading1"/>
      </w:pPr>
      <w:r>
        <w:t>1. Executive Summary</w:t>
      </w:r>
    </w:p>
    <w:p>
      <w:pPr>
        <w:spacing w:after="120"/>
      </w:pPr>
      <w:r>
        <w:rPr>
          <w:sz w:val="20"/>
        </w:rPr>
        <w:t>This report presents the results of a blind holdout evaluation of the ContextBuilder claims-processing pipeline on 30 previously unseen NSA motor warranty claims. The dataset was balanced (15 approved, 15 denied) and none of these claims were used during development or tuning.</w:t>
      </w:r>
    </w:p>
    <w:p>
      <w:pPr>
        <w:spacing w:after="120"/>
      </w:pPr>
      <w:r>
        <w:rPr>
          <w:sz w:val="20"/>
        </w:rPr>
        <w:t>The pipeline achieved 76.7% decision accuracy (23 of 30 correct), with a false-reject rate of 26.7% and a false-approve rate of 20.0%. Of the 11 correctly approved claims, 3 had payout amounts within 5% of the ground-truth figure.</w:t>
      </w:r>
    </w:p>
    <w:p>
      <w:pPr>
        <w:pStyle w:val="Heading2"/>
      </w:pPr>
      <w:r>
        <w:t>Key Results</w:t>
      </w:r>
    </w:p>
    <w:tbl>
      <w:tblPr>
        <w:tblStyle w:val="TableGrid"/>
        <w:tblW w:type="auto" w:w="0"/>
        <w:jc w:val="center"/>
        <w:tblLook w:firstColumn="1" w:firstRow="1" w:lastColumn="0" w:lastRow="0" w:noHBand="0" w:noVBand="1" w:val="04A0"/>
      </w:tblPr>
      <w:tblGrid>
        <w:gridCol w:w="4703"/>
        <w:gridCol w:w="4703"/>
      </w:tblGrid>
      <w:tr>
        <w:tc>
          <w:tcPr>
            <w:tcW w:type="dxa" w:w="4535"/>
            <w:shd w:fill="1F4E79" w:val="clear"/>
          </w:tcPr>
          <w:p>
            <w:pPr>
              <w:jc w:val="center"/>
            </w:pPr>
            <w:r/>
            <w:r>
              <w:rPr>
                <w:b/>
                <w:color w:val="FFFFFF"/>
                <w:sz w:val="18"/>
              </w:rPr>
              <w:t>Metric</w:t>
            </w:r>
          </w:p>
        </w:tc>
        <w:tc>
          <w:tcPr>
            <w:tcW w:type="dxa" w:w="4535"/>
            <w:shd w:fill="1F4E79" w:val="clear"/>
          </w:tcPr>
          <w:p>
            <w:pPr>
              <w:jc w:val="center"/>
            </w:pPr>
            <w:r/>
            <w:r>
              <w:rPr>
                <w:b/>
                <w:color w:val="FFFFFF"/>
                <w:sz w:val="18"/>
              </w:rPr>
              <w:t>Value</w:t>
            </w:r>
          </w:p>
        </w:tc>
      </w:tr>
      <w:tr>
        <w:tc>
          <w:tcPr>
            <w:tcW w:type="dxa" w:w="4535"/>
          </w:tcPr>
          <w:p>
            <w:r/>
            <w:r>
              <w:rPr>
                <w:sz w:val="18"/>
              </w:rPr>
              <w:t>Decision Accuracy</w:t>
            </w:r>
          </w:p>
        </w:tc>
        <w:tc>
          <w:tcPr>
            <w:tcW w:type="dxa" w:w="4535"/>
          </w:tcPr>
          <w:p>
            <w:r/>
            <w:r>
              <w:rPr>
                <w:sz w:val="18"/>
              </w:rPr>
              <w:t>76.7% (23 / 30)</w:t>
            </w:r>
          </w:p>
        </w:tc>
      </w:tr>
      <w:tr>
        <w:tc>
          <w:tcPr>
            <w:tcW w:type="dxa" w:w="4535"/>
            <w:shd w:fill="F2F2F2" w:val="clear"/>
          </w:tcPr>
          <w:p>
            <w:r/>
            <w:r>
              <w:rPr>
                <w:sz w:val="18"/>
              </w:rPr>
              <w:t>Approved Correct</w:t>
            </w:r>
          </w:p>
        </w:tc>
        <w:tc>
          <w:tcPr>
            <w:tcW w:type="dxa" w:w="4535"/>
            <w:shd w:fill="F2F2F2" w:val="clear"/>
          </w:tcPr>
          <w:p>
            <w:r/>
            <w:r>
              <w:rPr>
                <w:sz w:val="18"/>
              </w:rPr>
              <w:t>11 / 15</w:t>
            </w:r>
          </w:p>
        </w:tc>
      </w:tr>
      <w:tr>
        <w:tc>
          <w:tcPr>
            <w:tcW w:type="dxa" w:w="4535"/>
          </w:tcPr>
          <w:p>
            <w:r/>
            <w:r>
              <w:rPr>
                <w:sz w:val="18"/>
              </w:rPr>
              <w:t>Denied Correct</w:t>
            </w:r>
          </w:p>
        </w:tc>
        <w:tc>
          <w:tcPr>
            <w:tcW w:type="dxa" w:w="4535"/>
          </w:tcPr>
          <w:p>
            <w:r/>
            <w:r>
              <w:rPr>
                <w:sz w:val="18"/>
              </w:rPr>
              <w:t>12 / 15</w:t>
            </w:r>
          </w:p>
        </w:tc>
      </w:tr>
      <w:tr>
        <w:tc>
          <w:tcPr>
            <w:tcW w:type="dxa" w:w="4535"/>
            <w:shd w:fill="F2F2F2" w:val="clear"/>
          </w:tcPr>
          <w:p>
            <w:r/>
            <w:r>
              <w:rPr>
                <w:sz w:val="18"/>
              </w:rPr>
              <w:t>False Reject Rate</w:t>
            </w:r>
          </w:p>
        </w:tc>
        <w:tc>
          <w:tcPr>
            <w:tcW w:type="dxa" w:w="4535"/>
            <w:shd w:fill="F2F2F2" w:val="clear"/>
          </w:tcPr>
          <w:p>
            <w:r/>
            <w:r>
              <w:rPr>
                <w:sz w:val="18"/>
              </w:rPr>
              <w:t>26.7%</w:t>
            </w:r>
          </w:p>
        </w:tc>
      </w:tr>
      <w:tr>
        <w:tc>
          <w:tcPr>
            <w:tcW w:type="dxa" w:w="4535"/>
          </w:tcPr>
          <w:p>
            <w:r/>
            <w:r>
              <w:rPr>
                <w:sz w:val="18"/>
              </w:rPr>
              <w:t>False Approve Rate</w:t>
            </w:r>
          </w:p>
        </w:tc>
        <w:tc>
          <w:tcPr>
            <w:tcW w:type="dxa" w:w="4535"/>
          </w:tcPr>
          <w:p>
            <w:r/>
            <w:r>
              <w:rPr>
                <w:sz w:val="18"/>
              </w:rPr>
              <w:t>20.0%</w:t>
            </w:r>
          </w:p>
        </w:tc>
      </w:tr>
      <w:tr>
        <w:tc>
          <w:tcPr>
            <w:tcW w:type="dxa" w:w="4535"/>
            <w:shd w:fill="F2F2F2" w:val="clear"/>
          </w:tcPr>
          <w:p>
            <w:r/>
            <w:r>
              <w:rPr>
                <w:sz w:val="18"/>
              </w:rPr>
              <w:t>Payout Accuracy (within 5%)</w:t>
            </w:r>
          </w:p>
        </w:tc>
        <w:tc>
          <w:tcPr>
            <w:tcW w:type="dxa" w:w="4535"/>
            <w:shd w:fill="F2F2F2" w:val="clear"/>
          </w:tcPr>
          <w:p>
            <w:r/>
            <w:r>
              <w:rPr>
                <w:sz w:val="18"/>
              </w:rPr>
              <w:t>27.3% (3 / 11 approved-correct)</w:t>
            </w:r>
          </w:p>
        </w:tc>
      </w:tr>
    </w:tbl>
    <w:p/>
    <w:p>
      <w:pPr>
        <w:pStyle w:val="Heading2"/>
      </w:pPr>
      <w:r>
        <w:t>Assumptions &amp; Scope Limitations</w:t>
      </w:r>
    </w:p>
    <w:p>
      <w:pPr>
        <w:spacing w:after="120"/>
      </w:pPr>
      <w:r>
        <w:rPr>
          <w:sz w:val="20"/>
        </w:rPr>
        <w:t>The following assumptions and scope limitations apply to this evaluation. These represent capabilities that are planned but not yet integrated into the production pipeline:</w:t>
      </w:r>
    </w:p>
    <w:p>
      <w:pPr>
        <w:pStyle w:val="ListBullet"/>
      </w:pPr>
      <w:r>
        <w:rPr>
          <w:sz w:val="20"/>
        </w:rPr>
        <w:t>Parts-number lookup service: The pipeline assumes access to a parts database that maps OEM part numbers to system categories (e.g. electrical_system, engine, suspension). For this evaluation, the database was pre-populated with the relevant part numbers. In production, this will be replaced by a live lookup service or API integration. One claim (64868) was affected by a matching failure in this simulated lookup, resulting in an incorrect rejection.</w:t>
      </w:r>
    </w:p>
    <w:p>
      <w:pPr>
        <w:pStyle w:val="ListBullet"/>
      </w:pPr>
      <w:r>
        <w:rPr>
          <w:sz w:val="20"/>
        </w:rPr>
        <w:t>Policy payment-status service: The pipeline currently evaluates policy validity based on the dates and terms extracted from the guarantee document. It does not have access to a real-time service confirming whether premiums have been paid. One claim (64877) was denied by NSA due to a premium non-payment lapse — information that is only available through an internal policy-management system. The pipeline correctly referred this claim for human review, as it had insufficient data to make a determination.</w:t>
      </w:r>
    </w:p>
    <w:p>
      <w:pPr>
        <w:pStyle w:val="ListBullet"/>
      </w:pPr>
      <w:r>
        <w:rPr>
          <w:sz w:val="20"/>
        </w:rPr>
        <w:t>Policy renewal documents: The pipeline can only validate policy validity against documents present in the claim file. One claim (64887) was approved by NSA based on a policy renewal that was not included in the submitted documents. Integration with the policy management system would resolve this class of error.</w:t>
      </w:r>
    </w:p>
    <w:p>
      <w:r>
        <w:br w:type="page"/>
      </w:r>
    </w:p>
    <w:p>
      <w:pPr>
        <w:pStyle w:val="Heading1"/>
      </w:pPr>
      <w:r>
        <w:t>2. Error Classification</w:t>
      </w:r>
    </w:p>
    <w:p>
      <w:pPr>
        <w:spacing w:after="120"/>
      </w:pPr>
      <w:r>
        <w:rPr>
          <w:sz w:val="20"/>
        </w:rPr>
        <w:t>Of the 7 decision errors, each falls into a distinct category with different root causes and remediation paths.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67"/>
            <w:shd w:fill="1F4E79" w:val="clear"/>
          </w:tcPr>
          <w:p>
            <w:pPr>
              <w:jc w:val="center"/>
            </w:pPr>
            <w:r/>
            <w:r>
              <w:rPr>
                <w:b/>
                <w:color w:val="FFFFFF"/>
                <w:sz w:val="18"/>
              </w:rPr>
              <w:t>#</w:t>
            </w:r>
          </w:p>
        </w:tc>
        <w:tc>
          <w:tcPr>
            <w:tcW w:type="dxa" w:w="3969"/>
            <w:shd w:fill="1F4E79" w:val="clear"/>
          </w:tcPr>
          <w:p>
            <w:pPr>
              <w:jc w:val="center"/>
            </w:pPr>
            <w:r/>
            <w:r>
              <w:rPr>
                <w:b/>
                <w:color w:val="FFFFFF"/>
                <w:sz w:val="18"/>
              </w:rPr>
              <w:t>Category</w:t>
            </w:r>
          </w:p>
        </w:tc>
        <w:tc>
          <w:tcPr>
            <w:tcW w:type="dxa" w:w="1417"/>
            <w:shd w:fill="1F4E79" w:val="clear"/>
          </w:tcPr>
          <w:p>
            <w:pPr>
              <w:jc w:val="center"/>
            </w:pPr>
            <w:r/>
            <w:r>
              <w:rPr>
                <w:b/>
                <w:color w:val="FFFFFF"/>
                <w:sz w:val="18"/>
              </w:rPr>
              <w:t>Claim(s)</w:t>
            </w:r>
          </w:p>
        </w:tc>
        <w:tc>
          <w:tcPr>
            <w:tcW w:type="dxa" w:w="1134"/>
            <w:shd w:fill="1F4E79" w:val="clear"/>
          </w:tcPr>
          <w:p>
            <w:pPr>
              <w:jc w:val="center"/>
            </w:pPr>
            <w:r/>
            <w:r>
              <w:rPr>
                <w:b/>
                <w:color w:val="FFFFFF"/>
                <w:sz w:val="18"/>
              </w:rPr>
              <w:t>Fixable</w:t>
            </w:r>
          </w:p>
        </w:tc>
        <w:tc>
          <w:tcPr>
            <w:tcW w:type="dxa" w:w="1417"/>
            <w:shd w:fill="1F4E79" w:val="clear"/>
          </w:tcPr>
          <w:p>
            <w:pPr>
              <w:jc w:val="center"/>
            </w:pPr>
            <w:r/>
            <w:r>
              <w:rPr>
                <w:b/>
                <w:color w:val="FFFFFF"/>
                <w:sz w:val="18"/>
              </w:rPr>
              <w:t>Priority</w:t>
            </w:r>
          </w:p>
        </w:tc>
      </w:tr>
      <w:tr>
        <w:tc>
          <w:tcPr>
            <w:tcW w:type="dxa" w:w="567"/>
          </w:tcPr>
          <w:p>
            <w:r/>
            <w:r>
              <w:rPr>
                <w:sz w:val="18"/>
              </w:rPr>
              <w:t>1</w:t>
            </w:r>
          </w:p>
        </w:tc>
        <w:tc>
          <w:tcPr>
            <w:tcW w:type="dxa" w:w="3969"/>
          </w:tcPr>
          <w:p>
            <w:r/>
            <w:r>
              <w:rPr>
                <w:sz w:val="18"/>
              </w:rPr>
              <w:t>False approve — excluded component not caught</w:t>
            </w:r>
          </w:p>
        </w:tc>
        <w:tc>
          <w:tcPr>
            <w:tcW w:type="dxa" w:w="1417"/>
          </w:tcPr>
          <w:p>
            <w:r/>
            <w:r>
              <w:rPr>
                <w:sz w:val="18"/>
              </w:rPr>
              <w:t>64827</w:t>
            </w:r>
          </w:p>
        </w:tc>
        <w:tc>
          <w:tcPr>
            <w:tcW w:type="dxa" w:w="1134"/>
          </w:tcPr>
          <w:p>
            <w:r/>
            <w:r>
              <w:rPr>
                <w:sz w:val="18"/>
              </w:rPr>
              <w:t>Yes</w:t>
            </w:r>
          </w:p>
        </w:tc>
        <w:tc>
          <w:tcPr>
            <w:tcW w:type="dxa" w:w="1417"/>
          </w:tcPr>
          <w:p>
            <w:r/>
            <w:r>
              <w:rPr>
                <w:sz w:val="18"/>
              </w:rPr>
              <w:t>HIGH</w:t>
            </w:r>
          </w:p>
        </w:tc>
      </w:tr>
      <w:tr>
        <w:tc>
          <w:tcPr>
            <w:tcW w:type="dxa" w:w="567"/>
            <w:shd w:fill="F2F2F2" w:val="clear"/>
          </w:tcPr>
          <w:p>
            <w:r/>
            <w:r>
              <w:rPr>
                <w:sz w:val="18"/>
              </w:rPr>
              <w:t>2</w:t>
            </w:r>
          </w:p>
        </w:tc>
        <w:tc>
          <w:tcPr>
            <w:tcW w:type="dxa" w:w="3969"/>
            <w:shd w:fill="F2F2F2" w:val="clear"/>
          </w:tcPr>
          <w:p>
            <w:r/>
            <w:r>
              <w:rPr>
                <w:sz w:val="18"/>
              </w:rPr>
              <w:t>False approve — causal exclusion (root-cause denial)</w:t>
            </w:r>
          </w:p>
        </w:tc>
        <w:tc>
          <w:tcPr>
            <w:tcW w:type="dxa" w:w="1417"/>
            <w:shd w:fill="F2F2F2" w:val="clear"/>
          </w:tcPr>
          <w:p>
            <w:r/>
            <w:r>
              <w:rPr>
                <w:sz w:val="18"/>
              </w:rPr>
              <w:t>64943</w:t>
            </w:r>
          </w:p>
        </w:tc>
        <w:tc>
          <w:tcPr>
            <w:tcW w:type="dxa" w:w="1134"/>
            <w:shd w:fill="F2F2F2" w:val="clear"/>
          </w:tcPr>
          <w:p>
            <w:r/>
            <w:r>
              <w:rPr>
                <w:sz w:val="18"/>
              </w:rPr>
              <w:t>Hard</w:t>
            </w:r>
          </w:p>
        </w:tc>
        <w:tc>
          <w:tcPr>
            <w:tcW w:type="dxa" w:w="1417"/>
            <w:shd w:fill="F2F2F2" w:val="clear"/>
          </w:tcPr>
          <w:p>
            <w:r/>
            <w:r>
              <w:rPr>
                <w:sz w:val="18"/>
              </w:rPr>
              <w:t>LOW</w:t>
            </w:r>
          </w:p>
        </w:tc>
      </w:tr>
      <w:tr>
        <w:tc>
          <w:tcPr>
            <w:tcW w:type="dxa" w:w="567"/>
          </w:tcPr>
          <w:p>
            <w:r/>
            <w:r>
              <w:rPr>
                <w:sz w:val="18"/>
              </w:rPr>
              <w:t>3</w:t>
            </w:r>
          </w:p>
        </w:tc>
        <w:tc>
          <w:tcPr>
            <w:tcW w:type="dxa" w:w="3969"/>
          </w:tcPr>
          <w:p>
            <w:r/>
            <w:r>
              <w:rPr>
                <w:sz w:val="18"/>
              </w:rPr>
              <w:t>False reject — parts-database matching failure</w:t>
            </w:r>
          </w:p>
        </w:tc>
        <w:tc>
          <w:tcPr>
            <w:tcW w:type="dxa" w:w="1417"/>
          </w:tcPr>
          <w:p>
            <w:r/>
            <w:r>
              <w:rPr>
                <w:sz w:val="18"/>
              </w:rPr>
              <w:t>64868</w:t>
            </w:r>
          </w:p>
        </w:tc>
        <w:tc>
          <w:tcPr>
            <w:tcW w:type="dxa" w:w="1134"/>
          </w:tcPr>
          <w:p>
            <w:r/>
            <w:r>
              <w:rPr>
                <w:sz w:val="18"/>
              </w:rPr>
              <w:t>Yes</w:t>
            </w:r>
          </w:p>
        </w:tc>
        <w:tc>
          <w:tcPr>
            <w:tcW w:type="dxa" w:w="1417"/>
          </w:tcPr>
          <w:p>
            <w:r/>
            <w:r>
              <w:rPr>
                <w:sz w:val="18"/>
              </w:rPr>
              <w:t>HIGH</w:t>
            </w:r>
          </w:p>
        </w:tc>
      </w:tr>
      <w:tr>
        <w:tc>
          <w:tcPr>
            <w:tcW w:type="dxa" w:w="567"/>
            <w:shd w:fill="F2F2F2" w:val="clear"/>
          </w:tcPr>
          <w:p>
            <w:r/>
            <w:r>
              <w:rPr>
                <w:sz w:val="18"/>
              </w:rPr>
              <w:t>4</w:t>
            </w:r>
          </w:p>
        </w:tc>
        <w:tc>
          <w:tcPr>
            <w:tcW w:type="dxa" w:w="3969"/>
            <w:shd w:fill="F2F2F2" w:val="clear"/>
          </w:tcPr>
          <w:p>
            <w:r/>
            <w:r>
              <w:rPr>
                <w:sz w:val="18"/>
              </w:rPr>
              <w:t>False reject — sub-component not in explicit policy list</w:t>
            </w:r>
          </w:p>
        </w:tc>
        <w:tc>
          <w:tcPr>
            <w:tcW w:type="dxa" w:w="1417"/>
            <w:shd w:fill="F2F2F2" w:val="clear"/>
          </w:tcPr>
          <w:p>
            <w:r/>
            <w:r>
              <w:rPr>
                <w:sz w:val="18"/>
              </w:rPr>
              <w:t>65352</w:t>
            </w:r>
          </w:p>
        </w:tc>
        <w:tc>
          <w:tcPr>
            <w:tcW w:type="dxa" w:w="1134"/>
            <w:shd w:fill="F2F2F2" w:val="clear"/>
          </w:tcPr>
          <w:p>
            <w:r/>
            <w:r>
              <w:rPr>
                <w:sz w:val="18"/>
              </w:rPr>
              <w:t>Yes</w:t>
            </w:r>
          </w:p>
        </w:tc>
        <w:tc>
          <w:tcPr>
            <w:tcW w:type="dxa" w:w="1417"/>
            <w:shd w:fill="F2F2F2" w:val="clear"/>
          </w:tcPr>
          <w:p>
            <w:r/>
            <w:r>
              <w:rPr>
                <w:sz w:val="18"/>
              </w:rPr>
              <w:t>MEDIUM</w:t>
            </w:r>
          </w:p>
        </w:tc>
      </w:tr>
      <w:tr>
        <w:tc>
          <w:tcPr>
            <w:tcW w:type="dxa" w:w="567"/>
          </w:tcPr>
          <w:p>
            <w:r/>
            <w:r>
              <w:rPr>
                <w:sz w:val="18"/>
              </w:rPr>
              <w:t>5</w:t>
            </w:r>
          </w:p>
        </w:tc>
        <w:tc>
          <w:tcPr>
            <w:tcW w:type="dxa" w:w="3969"/>
          </w:tcPr>
          <w:p>
            <w:r/>
            <w:r>
              <w:rPr>
                <w:sz w:val="18"/>
              </w:rPr>
              <w:t>False reject — missing policy renewal document</w:t>
            </w:r>
          </w:p>
        </w:tc>
        <w:tc>
          <w:tcPr>
            <w:tcW w:type="dxa" w:w="1417"/>
          </w:tcPr>
          <w:p>
            <w:r/>
            <w:r>
              <w:rPr>
                <w:sz w:val="18"/>
              </w:rPr>
              <w:t>64887</w:t>
            </w:r>
          </w:p>
        </w:tc>
        <w:tc>
          <w:tcPr>
            <w:tcW w:type="dxa" w:w="1134"/>
          </w:tcPr>
          <w:p>
            <w:r/>
            <w:r>
              <w:rPr>
                <w:sz w:val="18"/>
              </w:rPr>
              <w:t>No</w:t>
            </w:r>
          </w:p>
        </w:tc>
        <w:tc>
          <w:tcPr>
            <w:tcW w:type="dxa" w:w="1417"/>
          </w:tcPr>
          <w:p>
            <w:r/>
            <w:r>
              <w:rPr>
                <w:sz w:val="18"/>
              </w:rPr>
              <w:t>N/A</w:t>
            </w:r>
          </w:p>
        </w:tc>
      </w:tr>
      <w:tr>
        <w:tc>
          <w:tcPr>
            <w:tcW w:type="dxa" w:w="567"/>
            <w:shd w:fill="F2F2F2" w:val="clear"/>
          </w:tcPr>
          <w:p>
            <w:r/>
            <w:r>
              <w:rPr>
                <w:sz w:val="18"/>
              </w:rPr>
              <w:t>6</w:t>
            </w:r>
          </w:p>
        </w:tc>
        <w:tc>
          <w:tcPr>
            <w:tcW w:type="dxa" w:w="3969"/>
            <w:shd w:fill="F2F2F2" w:val="clear"/>
          </w:tcPr>
          <w:p>
            <w:r/>
            <w:r>
              <w:rPr>
                <w:sz w:val="18"/>
              </w:rPr>
              <w:t>Referral — spurious VIN from unrelated document</w:t>
            </w:r>
          </w:p>
        </w:tc>
        <w:tc>
          <w:tcPr>
            <w:tcW w:type="dxa" w:w="1417"/>
            <w:shd w:fill="F2F2F2" w:val="clear"/>
          </w:tcPr>
          <w:p>
            <w:r/>
            <w:r>
              <w:rPr>
                <w:sz w:val="18"/>
              </w:rPr>
              <w:t>64846</w:t>
            </w:r>
          </w:p>
        </w:tc>
        <w:tc>
          <w:tcPr>
            <w:tcW w:type="dxa" w:w="1134"/>
            <w:shd w:fill="F2F2F2" w:val="clear"/>
          </w:tcPr>
          <w:p>
            <w:r/>
            <w:r>
              <w:rPr>
                <w:sz w:val="18"/>
              </w:rPr>
              <w:t>Partial</w:t>
            </w:r>
          </w:p>
        </w:tc>
        <w:tc>
          <w:tcPr>
            <w:tcW w:type="dxa" w:w="1417"/>
            <w:shd w:fill="F2F2F2" w:val="clear"/>
          </w:tcPr>
          <w:p>
            <w:r/>
            <w:r>
              <w:rPr>
                <w:sz w:val="18"/>
              </w:rPr>
              <w:t>MEDIUM</w:t>
            </w:r>
          </w:p>
        </w:tc>
      </w:tr>
      <w:tr>
        <w:tc>
          <w:tcPr>
            <w:tcW w:type="dxa" w:w="567"/>
          </w:tcPr>
          <w:p>
            <w:r/>
            <w:r>
              <w:rPr>
                <w:sz w:val="18"/>
              </w:rPr>
              <w:t>7</w:t>
            </w:r>
          </w:p>
        </w:tc>
        <w:tc>
          <w:tcPr>
            <w:tcW w:type="dxa" w:w="3969"/>
          </w:tcPr>
          <w:p>
            <w:r/>
            <w:r>
              <w:rPr>
                <w:sz w:val="18"/>
              </w:rPr>
              <w:t>Referral — insufficient documents (1 doc in file)</w:t>
            </w:r>
          </w:p>
        </w:tc>
        <w:tc>
          <w:tcPr>
            <w:tcW w:type="dxa" w:w="1417"/>
          </w:tcPr>
          <w:p>
            <w:r/>
            <w:r>
              <w:rPr>
                <w:sz w:val="18"/>
              </w:rPr>
              <w:t>64877</w:t>
            </w:r>
          </w:p>
        </w:tc>
        <w:tc>
          <w:tcPr>
            <w:tcW w:type="dxa" w:w="1134"/>
          </w:tcPr>
          <w:p>
            <w:r/>
            <w:r>
              <w:rPr>
                <w:sz w:val="18"/>
              </w:rPr>
              <w:t>No</w:t>
            </w:r>
          </w:p>
        </w:tc>
        <w:tc>
          <w:tcPr>
            <w:tcW w:type="dxa" w:w="1417"/>
          </w:tcPr>
          <w:p>
            <w:r/>
            <w:r>
              <w:rPr>
                <w:sz w:val="18"/>
              </w:rPr>
              <w:t>N/A</w:t>
            </w:r>
          </w:p>
        </w:tc>
      </w:tr>
    </w:tbl>
    <w:p>
      <w:r>
        <w:br w:type="page"/>
      </w:r>
    </w:p>
    <w:p>
      <w:pPr>
        <w:pStyle w:val="Heading1"/>
      </w:pPr>
      <w:r>
        <w:t>3. Decision Errors — Detailed Analysis</w:t>
      </w:r>
    </w:p>
    <w:p>
      <w:pPr>
        <w:pStyle w:val="Heading2"/>
      </w:pPr>
      <w:r>
        <w:t>3.1 False Approvals</w:t>
      </w:r>
    </w:p>
    <w:p>
      <w:pPr>
        <w:pStyle w:val="Heading3"/>
      </w:pPr>
      <w:r>
        <w:t>Claim 64827 — Land Rover RR Sport 4.4</w:t>
      </w:r>
    </w:p>
    <w:tbl>
      <w:tblPr>
        <w:tblStyle w:val="TableGrid"/>
        <w:tblW w:type="auto" w:w="0"/>
        <w:jc w:val="center"/>
        <w:tblLook w:firstColumn="1" w:firstRow="1" w:lastColumn="0" w:lastRow="0" w:noHBand="0" w:noVBand="1" w:val="04A0"/>
      </w:tblPr>
      <w:tblGrid>
        <w:gridCol w:w="4703"/>
        <w:gridCol w:w="4703"/>
      </w:tblGrid>
      <w:tr>
        <w:tc>
          <w:tcPr>
            <w:tcW w:type="dxa" w:w="2835"/>
            <w:shd w:fill="E8EDF2" w:val="clear"/>
          </w:tcPr>
          <w:p>
            <w:r/>
            <w:r>
              <w:rPr>
                <w:b/>
                <w:sz w:val="18"/>
              </w:rPr>
              <w:t>Ground Truth</w:t>
            </w:r>
          </w:p>
        </w:tc>
        <w:tc>
          <w:tcPr>
            <w:tcW w:type="dxa" w:w="6803"/>
          </w:tcPr>
          <w:p>
            <w:r/>
            <w:r>
              <w:rPr>
                <w:sz w:val="18"/>
              </w:rPr>
              <w:t>DENIED — Hoses explicitly excluded from contract</w:t>
            </w:r>
          </w:p>
        </w:tc>
      </w:tr>
      <w:tr>
        <w:tc>
          <w:tcPr>
            <w:tcW w:type="dxa" w:w="2835"/>
            <w:shd w:fill="E8EDF2" w:val="clear"/>
          </w:tcPr>
          <w:p>
            <w:r/>
            <w:r>
              <w:rPr>
                <w:b/>
                <w:sz w:val="18"/>
              </w:rPr>
              <w:t>System Decision</w:t>
            </w:r>
          </w:p>
        </w:tc>
        <w:tc>
          <w:tcPr>
            <w:tcW w:type="dxa" w:w="6803"/>
            <w:shd w:fill="F9F9F9" w:val="clear"/>
          </w:tcPr>
          <w:p>
            <w:r/>
            <w:r>
              <w:rPr>
                <w:sz w:val="18"/>
              </w:rPr>
              <w:t>APPROVE — Primary repair (Bolzen/bolt) covered under engine</w:t>
            </w:r>
          </w:p>
        </w:tc>
      </w:tr>
      <w:tr>
        <w:tc>
          <w:tcPr>
            <w:tcW w:type="dxa" w:w="2835"/>
            <w:shd w:fill="E8EDF2" w:val="clear"/>
          </w:tcPr>
          <w:p>
            <w:r/>
            <w:r>
              <w:rPr>
                <w:b/>
                <w:sz w:val="18"/>
              </w:rPr>
              <w:t>Ground Truth Payout</w:t>
            </w:r>
          </w:p>
        </w:tc>
        <w:tc>
          <w:tcPr>
            <w:tcW w:type="dxa" w:w="6803"/>
          </w:tcPr>
          <w:p>
            <w:r/>
            <w:r>
              <w:rPr>
                <w:sz w:val="18"/>
              </w:rPr>
              <w:t>CHF 0</w:t>
            </w:r>
          </w:p>
        </w:tc>
      </w:tr>
      <w:tr>
        <w:tc>
          <w:tcPr>
            <w:tcW w:type="dxa" w:w="2835"/>
            <w:shd w:fill="E8EDF2" w:val="clear"/>
          </w:tcPr>
          <w:p>
            <w:r/>
            <w:r>
              <w:rPr>
                <w:b/>
                <w:sz w:val="18"/>
              </w:rPr>
              <w:t>System Payout</w:t>
            </w:r>
          </w:p>
        </w:tc>
        <w:tc>
          <w:tcPr>
            <w:tcW w:type="dxa" w:w="6803"/>
            <w:shd w:fill="F9F9F9" w:val="clear"/>
          </w:tcPr>
          <w:p>
            <w:r/>
            <w:r>
              <w:rPr>
                <w:sz w:val="18"/>
              </w:rPr>
              <w:t>CHF 187.64</w:t>
            </w:r>
          </w:p>
        </w:tc>
      </w:tr>
    </w:tbl>
    <w:p/>
    <w:p>
      <w:pPr>
        <w:spacing w:after="120"/>
      </w:pPr>
      <w:r>
        <w:rPr>
          <w:sz w:val="20"/>
        </w:rPr>
        <w:t>The system correctly extracted the policy’s excluded components from the guarantee document. The exclusion list explicitly includes “Schläuche” (hoses). The coverage analyser also correctly classified the hose (CHF 79.00) as NOT COVERED and the bolt (CHF 3.70) as COVERED.</w:t>
      </w:r>
    </w:p>
    <w:p>
      <w:pPr>
        <w:spacing w:after="120"/>
      </w:pPr>
      <w:r>
        <w:rPr>
          <w:sz w:val="20"/>
        </w:rPr>
        <w:t>However, the screening logic evaluates only the primary covered component (the bolt at CHF 3.70) and confirms it is in a covered category. It does not check whether the main repair — the hose at CHF 79.00 — is an explicitly excluded item. This is a design gap: when the highest-value item is excluded but a minor covered part exists, the system should reject rather than approve.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268"/>
            <w:shd w:fill="1F4E79" w:val="clear"/>
          </w:tcPr>
          <w:p>
            <w:pPr>
              <w:jc w:val="center"/>
            </w:pPr>
            <w:r/>
            <w:r>
              <w:rPr>
                <w:b/>
                <w:color w:val="FFFFFF"/>
                <w:sz w:val="18"/>
              </w:rPr>
              <w:t>Line Item</w:t>
            </w:r>
          </w:p>
        </w:tc>
        <w:tc>
          <w:tcPr>
            <w:tcW w:type="dxa" w:w="1701"/>
            <w:shd w:fill="1F4E79" w:val="clear"/>
          </w:tcPr>
          <w:p>
            <w:pPr>
              <w:jc w:val="center"/>
            </w:pPr>
            <w:r/>
            <w:r>
              <w:rPr>
                <w:b/>
                <w:color w:val="FFFFFF"/>
                <w:sz w:val="18"/>
              </w:rPr>
              <w:t>Part Code</w:t>
            </w:r>
          </w:p>
        </w:tc>
        <w:tc>
          <w:tcPr>
            <w:tcW w:type="dxa" w:w="1417"/>
            <w:shd w:fill="1F4E79" w:val="clear"/>
          </w:tcPr>
          <w:p>
            <w:pPr>
              <w:jc w:val="center"/>
            </w:pPr>
            <w:r/>
            <w:r>
              <w:rPr>
                <w:b/>
                <w:color w:val="FFFFFF"/>
                <w:sz w:val="18"/>
              </w:rPr>
              <w:t>Price (CHF)</w:t>
            </w:r>
          </w:p>
        </w:tc>
        <w:tc>
          <w:tcPr>
            <w:tcW w:type="dxa" w:w="1701"/>
            <w:shd w:fill="1F4E79" w:val="clear"/>
          </w:tcPr>
          <w:p>
            <w:pPr>
              <w:jc w:val="center"/>
            </w:pPr>
            <w:r/>
            <w:r>
              <w:rPr>
                <w:b/>
                <w:color w:val="FFFFFF"/>
                <w:sz w:val="18"/>
              </w:rPr>
              <w:t>Coverage</w:t>
            </w:r>
          </w:p>
        </w:tc>
        <w:tc>
          <w:tcPr>
            <w:tcW w:type="dxa" w:w="2551"/>
            <w:shd w:fill="1F4E79" w:val="clear"/>
          </w:tcPr>
          <w:p>
            <w:pPr>
              <w:jc w:val="center"/>
            </w:pPr>
            <w:r/>
            <w:r>
              <w:rPr>
                <w:b/>
                <w:color w:val="FFFFFF"/>
                <w:sz w:val="18"/>
              </w:rPr>
              <w:t>Reasoning</w:t>
            </w:r>
          </w:p>
        </w:tc>
      </w:tr>
      <w:tr>
        <w:tc>
          <w:tcPr>
            <w:tcW w:type="dxa" w:w="2268"/>
          </w:tcPr>
          <w:p>
            <w:r/>
            <w:r>
              <w:rPr>
                <w:sz w:val="18"/>
              </w:rPr>
              <w:t>Schlauch (hose)</w:t>
            </w:r>
          </w:p>
        </w:tc>
        <w:tc>
          <w:tcPr>
            <w:tcW w:type="dxa" w:w="1701"/>
          </w:tcPr>
          <w:p>
            <w:r/>
            <w:r>
              <w:rPr>
                <w:sz w:val="18"/>
              </w:rPr>
              <w:t>LR066536</w:t>
            </w:r>
          </w:p>
        </w:tc>
        <w:tc>
          <w:tcPr>
            <w:tcW w:type="dxa" w:w="1417"/>
          </w:tcPr>
          <w:p>
            <w:r/>
            <w:r>
              <w:rPr>
                <w:sz w:val="18"/>
              </w:rPr>
              <w:t>79.00</w:t>
            </w:r>
          </w:p>
        </w:tc>
        <w:tc>
          <w:tcPr>
            <w:tcW w:type="dxa" w:w="1701"/>
          </w:tcPr>
          <w:p>
            <w:r/>
            <w:r>
              <w:rPr>
                <w:sz w:val="18"/>
              </w:rPr>
              <w:t>NOT COVERED</w:t>
            </w:r>
          </w:p>
        </w:tc>
        <w:tc>
          <w:tcPr>
            <w:tcW w:type="dxa" w:w="2551"/>
          </w:tcPr>
          <w:p>
            <w:r/>
            <w:r>
              <w:rPr>
                <w:sz w:val="18"/>
              </w:rPr>
              <w:t>Hoses explicitly excluded</w:t>
            </w:r>
          </w:p>
        </w:tc>
      </w:tr>
      <w:tr>
        <w:tc>
          <w:tcPr>
            <w:tcW w:type="dxa" w:w="2268"/>
            <w:shd w:fill="F2F2F2" w:val="clear"/>
          </w:tcPr>
          <w:p>
            <w:r/>
            <w:r>
              <w:rPr>
                <w:sz w:val="18"/>
              </w:rPr>
              <w:t>Bolzen (bolt)</w:t>
            </w:r>
          </w:p>
        </w:tc>
        <w:tc>
          <w:tcPr>
            <w:tcW w:type="dxa" w:w="1701"/>
            <w:shd w:fill="F2F2F2" w:val="clear"/>
          </w:tcPr>
          <w:p>
            <w:r/>
            <w:r>
              <w:rPr>
                <w:sz w:val="18"/>
              </w:rPr>
              <w:t>LR033655</w:t>
            </w:r>
          </w:p>
        </w:tc>
        <w:tc>
          <w:tcPr>
            <w:tcW w:type="dxa" w:w="1417"/>
            <w:shd w:fill="F2F2F2" w:val="clear"/>
          </w:tcPr>
          <w:p>
            <w:r/>
            <w:r>
              <w:rPr>
                <w:sz w:val="18"/>
              </w:rPr>
              <w:t>3.70</w:t>
            </w:r>
          </w:p>
        </w:tc>
        <w:tc>
          <w:tcPr>
            <w:tcW w:type="dxa" w:w="1701"/>
            <w:shd w:fill="F2F2F2" w:val="clear"/>
          </w:tcPr>
          <w:p>
            <w:r/>
            <w:r>
              <w:rPr>
                <w:sz w:val="18"/>
              </w:rPr>
              <w:t>COVERED</w:t>
            </w:r>
          </w:p>
        </w:tc>
        <w:tc>
          <w:tcPr>
            <w:tcW w:type="dxa" w:w="2551"/>
            <w:shd w:fill="F2F2F2" w:val="clear"/>
          </w:tcPr>
          <w:p>
            <w:r/>
            <w:r>
              <w:rPr>
                <w:sz w:val="18"/>
              </w:rPr>
              <w:t>Engine category</w:t>
            </w:r>
          </w:p>
        </w:tc>
      </w:tr>
    </w:tbl>
    <w:p/>
    <w:p>
      <w:pPr>
        <w:spacing w:after="120"/>
      </w:pPr>
      <w:r>
        <w:rPr>
          <w:sz w:val="20"/>
        </w:rPr>
      </w:r>
      <w:r>
        <w:rPr>
          <w:b/>
          <w:sz w:val="20"/>
        </w:rPr>
        <w:t xml:space="preserve">Remediation: </w:t>
      </w:r>
      <w:r>
        <w:rPr>
          <w:sz w:val="20"/>
        </w:rPr>
        <w:t>Add an excluded-component check to the decision logic. When the highest-value line item is an explicitly excluded component, the system should reject the claim regardless of whether a minor covered part exists. The excluded-components data is already extracted; it simply needs to be used in the decision path.</w:t>
      </w:r>
    </w:p>
    <w:p/>
    <w:p>
      <w:pPr>
        <w:pStyle w:val="Heading3"/>
      </w:pPr>
      <w:r>
        <w:t>Claim 64943 — Mini Cooper (JCW R57)</w:t>
      </w:r>
    </w:p>
    <w:tbl>
      <w:tblPr>
        <w:tblStyle w:val="TableGrid"/>
        <w:tblW w:type="auto" w:w="0"/>
        <w:jc w:val="center"/>
        <w:tblLook w:firstColumn="1" w:firstRow="1" w:lastColumn="0" w:lastRow="0" w:noHBand="0" w:noVBand="1" w:val="04A0"/>
      </w:tblPr>
      <w:tblGrid>
        <w:gridCol w:w="4703"/>
        <w:gridCol w:w="4703"/>
      </w:tblGrid>
      <w:tr>
        <w:tc>
          <w:tcPr>
            <w:tcW w:type="dxa" w:w="2835"/>
            <w:shd w:fill="E8EDF2" w:val="clear"/>
          </w:tcPr>
          <w:p>
            <w:r/>
            <w:r>
              <w:rPr>
                <w:b/>
                <w:sz w:val="18"/>
              </w:rPr>
              <w:t>Ground Truth</w:t>
            </w:r>
          </w:p>
        </w:tc>
        <w:tc>
          <w:tcPr>
            <w:tcW w:type="dxa" w:w="6803"/>
          </w:tcPr>
          <w:p>
            <w:r/>
            <w:r>
              <w:rPr>
                <w:sz w:val="18"/>
              </w:rPr>
              <w:t>DENIED — Malfunction caused by a non-insured part</w:t>
            </w:r>
          </w:p>
        </w:tc>
      </w:tr>
      <w:tr>
        <w:tc>
          <w:tcPr>
            <w:tcW w:type="dxa" w:w="2835"/>
            <w:shd w:fill="E8EDF2" w:val="clear"/>
          </w:tcPr>
          <w:p>
            <w:r/>
            <w:r>
              <w:rPr>
                <w:b/>
                <w:sz w:val="18"/>
              </w:rPr>
              <w:t>System Decision</w:t>
            </w:r>
          </w:p>
        </w:tc>
        <w:tc>
          <w:tcPr>
            <w:tcW w:type="dxa" w:w="6803"/>
            <w:shd w:fill="F9F9F9" w:val="clear"/>
          </w:tcPr>
          <w:p>
            <w:r/>
            <w:r>
              <w:rPr>
                <w:sz w:val="18"/>
              </w:rPr>
              <w:t>APPROVE — Turbocharger covered under turbo_supercharger</w:t>
            </w:r>
          </w:p>
        </w:tc>
      </w:tr>
      <w:tr>
        <w:tc>
          <w:tcPr>
            <w:tcW w:type="dxa" w:w="2835"/>
            <w:shd w:fill="E8EDF2" w:val="clear"/>
          </w:tcPr>
          <w:p>
            <w:r/>
            <w:r>
              <w:rPr>
                <w:b/>
                <w:sz w:val="18"/>
              </w:rPr>
              <w:t>Ground Truth Payout</w:t>
            </w:r>
          </w:p>
        </w:tc>
        <w:tc>
          <w:tcPr>
            <w:tcW w:type="dxa" w:w="6803"/>
          </w:tcPr>
          <w:p>
            <w:r/>
            <w:r>
              <w:rPr>
                <w:sz w:val="18"/>
              </w:rPr>
              <w:t>CHF 0</w:t>
            </w:r>
          </w:p>
        </w:tc>
      </w:tr>
      <w:tr>
        <w:tc>
          <w:tcPr>
            <w:tcW w:type="dxa" w:w="2835"/>
            <w:shd w:fill="E8EDF2" w:val="clear"/>
          </w:tcPr>
          <w:p>
            <w:r/>
            <w:r>
              <w:rPr>
                <w:b/>
                <w:sz w:val="18"/>
              </w:rPr>
              <w:t>System Payout</w:t>
            </w:r>
          </w:p>
        </w:tc>
        <w:tc>
          <w:tcPr>
            <w:tcW w:type="dxa" w:w="6803"/>
            <w:shd w:fill="F9F9F9" w:val="clear"/>
          </w:tcPr>
          <w:p>
            <w:r/>
            <w:r>
              <w:rPr>
                <w:sz w:val="18"/>
              </w:rPr>
              <w:t>CHF 1,929.10</w:t>
            </w:r>
          </w:p>
        </w:tc>
      </w:tr>
    </w:tbl>
    <w:p/>
    <w:p>
      <w:pPr>
        <w:spacing w:after="120"/>
      </w:pPr>
      <w:r>
        <w:rPr>
          <w:sz w:val="20"/>
        </w:rPr>
        <w:t>The cost estimate contains 30 line items totalling CHF 14,160. The turbocharger (CHF 2,598) IS a covered component. The system correctly identified it and approved at a 60% reimbursement rate. All screening checks passed.</w:t>
      </w:r>
    </w:p>
    <w:p>
      <w:pPr>
        <w:spacing w:after="120"/>
      </w:pPr>
      <w:r>
        <w:rPr>
          <w:sz w:val="20"/>
        </w:rPr>
        <w:t>However, the ground-truth denial states: “No liability exists when the malfunction is caused by a non-insured part.” This is a causal exclusion — the turbo failure was triggered by a failure in a non-covered component (likely the engine assembly or clutch). The invoice scope (full engine replacement + turbo + clutch + flywheel) strongly suggests cascading damage from a root failure in the engine.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fill="1F4E79" w:val="clear"/>
          </w:tcPr>
          <w:p>
            <w:pPr>
              <w:jc w:val="center"/>
            </w:pPr>
            <w:r/>
            <w:r>
              <w:rPr>
                <w:b/>
                <w:color w:val="FFFFFF"/>
                <w:sz w:val="18"/>
              </w:rPr>
              <w:t>Item Category</w:t>
            </w:r>
          </w:p>
        </w:tc>
        <w:tc>
          <w:tcPr>
            <w:tcW w:type="dxa" w:w="1134"/>
            <w:shd w:fill="1F4E79" w:val="clear"/>
          </w:tcPr>
          <w:p>
            <w:pPr>
              <w:jc w:val="center"/>
            </w:pPr>
            <w:r/>
            <w:r>
              <w:rPr>
                <w:b/>
                <w:color w:val="FFFFFF"/>
                <w:sz w:val="18"/>
              </w:rPr>
              <w:t>Count</w:t>
            </w:r>
          </w:p>
        </w:tc>
        <w:tc>
          <w:tcPr>
            <w:tcW w:type="dxa" w:w="1701"/>
            <w:shd w:fill="1F4E79" w:val="clear"/>
          </w:tcPr>
          <w:p>
            <w:pPr>
              <w:jc w:val="center"/>
            </w:pPr>
            <w:r/>
            <w:r>
              <w:rPr>
                <w:b/>
                <w:color w:val="FFFFFF"/>
                <w:sz w:val="18"/>
              </w:rPr>
              <w:t>Total (CHF)</w:t>
            </w:r>
          </w:p>
        </w:tc>
        <w:tc>
          <w:tcPr>
            <w:tcW w:type="dxa" w:w="3969"/>
            <w:shd w:fill="1F4E79" w:val="clear"/>
          </w:tcPr>
          <w:p>
            <w:pPr>
              <w:jc w:val="center"/>
            </w:pPr>
            <w:r/>
            <w:r>
              <w:rPr>
                <w:b/>
                <w:color w:val="FFFFFF"/>
                <w:sz w:val="18"/>
              </w:rPr>
              <w:t>Coverage</w:t>
            </w:r>
          </w:p>
        </w:tc>
      </w:tr>
      <w:tr>
        <w:tc>
          <w:tcPr>
            <w:tcW w:type="dxa" w:w="2835"/>
          </w:tcPr>
          <w:p>
            <w:r/>
            <w:r>
              <w:rPr>
                <w:sz w:val="18"/>
              </w:rPr>
              <w:t>Turbocharger</w:t>
            </w:r>
          </w:p>
        </w:tc>
        <w:tc>
          <w:tcPr>
            <w:tcW w:type="dxa" w:w="1134"/>
          </w:tcPr>
          <w:p>
            <w:r/>
            <w:r>
              <w:rPr>
                <w:sz w:val="18"/>
              </w:rPr>
              <w:t>1</w:t>
            </w:r>
          </w:p>
        </w:tc>
        <w:tc>
          <w:tcPr>
            <w:tcW w:type="dxa" w:w="1701"/>
          </w:tcPr>
          <w:p>
            <w:r/>
            <w:r>
              <w:rPr>
                <w:sz w:val="18"/>
              </w:rPr>
              <w:t>2,597.59</w:t>
            </w:r>
          </w:p>
        </w:tc>
        <w:tc>
          <w:tcPr>
            <w:tcW w:type="dxa" w:w="3969"/>
          </w:tcPr>
          <w:p>
            <w:r/>
            <w:r>
              <w:rPr>
                <w:sz w:val="18"/>
              </w:rPr>
              <w:t>COVERED</w:t>
            </w:r>
          </w:p>
        </w:tc>
      </w:tr>
      <w:tr>
        <w:tc>
          <w:tcPr>
            <w:tcW w:type="dxa" w:w="2835"/>
            <w:shd w:fill="F2F2F2" w:val="clear"/>
          </w:tcPr>
          <w:p>
            <w:r/>
            <w:r>
              <w:rPr>
                <w:sz w:val="18"/>
              </w:rPr>
              <w:t>Turbo kit</w:t>
            </w:r>
          </w:p>
        </w:tc>
        <w:tc>
          <w:tcPr>
            <w:tcW w:type="dxa" w:w="1134"/>
            <w:shd w:fill="F2F2F2" w:val="clear"/>
          </w:tcPr>
          <w:p>
            <w:r/>
            <w:r>
              <w:rPr>
                <w:sz w:val="18"/>
              </w:rPr>
              <w:t>1</w:t>
            </w:r>
          </w:p>
        </w:tc>
        <w:tc>
          <w:tcPr>
            <w:tcW w:type="dxa" w:w="1701"/>
            <w:shd w:fill="F2F2F2" w:val="clear"/>
          </w:tcPr>
          <w:p>
            <w:r/>
            <w:r>
              <w:rPr>
                <w:sz w:val="18"/>
              </w:rPr>
              <w:t>400.89</w:t>
            </w:r>
          </w:p>
        </w:tc>
        <w:tc>
          <w:tcPr>
            <w:tcW w:type="dxa" w:w="3969"/>
            <w:shd w:fill="F2F2F2" w:val="clear"/>
          </w:tcPr>
          <w:p>
            <w:r/>
            <w:r>
              <w:rPr>
                <w:sz w:val="18"/>
              </w:rPr>
              <w:t>COVERED</w:t>
            </w:r>
          </w:p>
        </w:tc>
      </w:tr>
      <w:tr>
        <w:tc>
          <w:tcPr>
            <w:tcW w:type="dxa" w:w="2835"/>
          </w:tcPr>
          <w:p>
            <w:r/>
            <w:r>
              <w:rPr>
                <w:sz w:val="18"/>
              </w:rPr>
              <w:t>Fasteners (engine)</w:t>
            </w:r>
          </w:p>
        </w:tc>
        <w:tc>
          <w:tcPr>
            <w:tcW w:type="dxa" w:w="1134"/>
          </w:tcPr>
          <w:p>
            <w:r/>
            <w:r>
              <w:rPr>
                <w:sz w:val="18"/>
              </w:rPr>
              <w:t>14</w:t>
            </w:r>
          </w:p>
        </w:tc>
        <w:tc>
          <w:tcPr>
            <w:tcW w:type="dxa" w:w="1701"/>
          </w:tcPr>
          <w:p>
            <w:r/>
            <w:r>
              <w:rPr>
                <w:sz w:val="18"/>
              </w:rPr>
              <w:t>305.24</w:t>
            </w:r>
          </w:p>
        </w:tc>
        <w:tc>
          <w:tcPr>
            <w:tcW w:type="dxa" w:w="3969"/>
          </w:tcPr>
          <w:p>
            <w:r/>
            <w:r>
              <w:rPr>
                <w:sz w:val="18"/>
              </w:rPr>
              <w:t>COVERED (ancillary)</w:t>
            </w:r>
          </w:p>
        </w:tc>
      </w:tr>
      <w:tr>
        <w:tc>
          <w:tcPr>
            <w:tcW w:type="dxa" w:w="2835"/>
            <w:shd w:fill="F2F2F2" w:val="clear"/>
          </w:tcPr>
          <w:p>
            <w:r/>
            <w:r>
              <w:rPr>
                <w:sz w:val="18"/>
              </w:rPr>
              <w:t>Engine assembly (complete)</w:t>
            </w:r>
          </w:p>
        </w:tc>
        <w:tc>
          <w:tcPr>
            <w:tcW w:type="dxa" w:w="1134"/>
            <w:shd w:fill="F2F2F2" w:val="clear"/>
          </w:tcPr>
          <w:p>
            <w:r/>
            <w:r>
              <w:rPr>
                <w:sz w:val="18"/>
              </w:rPr>
              <w:t>1</w:t>
            </w:r>
          </w:p>
        </w:tc>
        <w:tc>
          <w:tcPr>
            <w:tcW w:type="dxa" w:w="1701"/>
            <w:shd w:fill="F2F2F2" w:val="clear"/>
          </w:tcPr>
          <w:p>
            <w:r/>
            <w:r>
              <w:rPr>
                <w:sz w:val="18"/>
              </w:rPr>
              <w:t>7,982.19</w:t>
            </w:r>
          </w:p>
        </w:tc>
        <w:tc>
          <w:tcPr>
            <w:tcW w:type="dxa" w:w="3969"/>
            <w:shd w:fill="F2F2F2" w:val="clear"/>
          </w:tcPr>
          <w:p>
            <w:r/>
            <w:r>
              <w:rPr>
                <w:sz w:val="18"/>
              </w:rPr>
              <w:t>NOT COVERED</w:t>
            </w:r>
          </w:p>
        </w:tc>
      </w:tr>
      <w:tr>
        <w:tc>
          <w:tcPr>
            <w:tcW w:type="dxa" w:w="2835"/>
          </w:tcPr>
          <w:p>
            <w:r/>
            <w:r>
              <w:rPr>
                <w:sz w:val="18"/>
              </w:rPr>
              <w:t>Dual-mass flywheel</w:t>
            </w:r>
          </w:p>
        </w:tc>
        <w:tc>
          <w:tcPr>
            <w:tcW w:type="dxa" w:w="1134"/>
          </w:tcPr>
          <w:p>
            <w:r/>
            <w:r>
              <w:rPr>
                <w:sz w:val="18"/>
              </w:rPr>
              <w:t>1</w:t>
            </w:r>
          </w:p>
        </w:tc>
        <w:tc>
          <w:tcPr>
            <w:tcW w:type="dxa" w:w="1701"/>
          </w:tcPr>
          <w:p>
            <w:r/>
            <w:r>
              <w:rPr>
                <w:sz w:val="18"/>
              </w:rPr>
              <w:t>1,573.08</w:t>
            </w:r>
          </w:p>
        </w:tc>
        <w:tc>
          <w:tcPr>
            <w:tcW w:type="dxa" w:w="3969"/>
          </w:tcPr>
          <w:p>
            <w:r/>
            <w:r>
              <w:rPr>
                <w:sz w:val="18"/>
              </w:rPr>
              <w:t>NOT COVERED</w:t>
            </w:r>
          </w:p>
        </w:tc>
      </w:tr>
      <w:tr>
        <w:tc>
          <w:tcPr>
            <w:tcW w:type="dxa" w:w="2835"/>
            <w:shd w:fill="F2F2F2" w:val="clear"/>
          </w:tcPr>
          <w:p>
            <w:r/>
            <w:r>
              <w:rPr>
                <w:sz w:val="18"/>
              </w:rPr>
              <w:t>Clutch parts</w:t>
            </w:r>
          </w:p>
        </w:tc>
        <w:tc>
          <w:tcPr>
            <w:tcW w:type="dxa" w:w="1134"/>
            <w:shd w:fill="F2F2F2" w:val="clear"/>
          </w:tcPr>
          <w:p>
            <w:r/>
            <w:r>
              <w:rPr>
                <w:sz w:val="18"/>
              </w:rPr>
              <w:t>1</w:t>
            </w:r>
          </w:p>
        </w:tc>
        <w:tc>
          <w:tcPr>
            <w:tcW w:type="dxa" w:w="1701"/>
            <w:shd w:fill="F2F2F2" w:val="clear"/>
          </w:tcPr>
          <w:p>
            <w:r/>
            <w:r>
              <w:rPr>
                <w:sz w:val="18"/>
              </w:rPr>
              <w:t>620.75</w:t>
            </w:r>
          </w:p>
        </w:tc>
        <w:tc>
          <w:tcPr>
            <w:tcW w:type="dxa" w:w="3969"/>
            <w:shd w:fill="F2F2F2" w:val="clear"/>
          </w:tcPr>
          <w:p>
            <w:r/>
            <w:r>
              <w:rPr>
                <w:sz w:val="18"/>
              </w:rPr>
              <w:t>NOT COVERED</w:t>
            </w:r>
          </w:p>
        </w:tc>
      </w:tr>
      <w:tr>
        <w:tc>
          <w:tcPr>
            <w:tcW w:type="dxa" w:w="2835"/>
          </w:tcPr>
          <w:p>
            <w:r/>
            <w:r>
              <w:rPr>
                <w:sz w:val="18"/>
              </w:rPr>
              <w:t>Gaskets</w:t>
            </w:r>
          </w:p>
        </w:tc>
        <w:tc>
          <w:tcPr>
            <w:tcW w:type="dxa" w:w="1134"/>
          </w:tcPr>
          <w:p>
            <w:r/>
            <w:r>
              <w:rPr>
                <w:sz w:val="18"/>
              </w:rPr>
              <w:t>6</w:t>
            </w:r>
          </w:p>
        </w:tc>
        <w:tc>
          <w:tcPr>
            <w:tcW w:type="dxa" w:w="1701"/>
          </w:tcPr>
          <w:p>
            <w:r/>
            <w:r>
              <w:rPr>
                <w:sz w:val="18"/>
              </w:rPr>
              <w:t>516.08</w:t>
            </w:r>
          </w:p>
        </w:tc>
        <w:tc>
          <w:tcPr>
            <w:tcW w:type="dxa" w:w="3969"/>
          </w:tcPr>
          <w:p>
            <w:r/>
            <w:r>
              <w:rPr>
                <w:sz w:val="18"/>
              </w:rPr>
              <w:t>NOT COVERED (excluded)</w:t>
            </w:r>
          </w:p>
        </w:tc>
      </w:tr>
      <w:tr>
        <w:tc>
          <w:tcPr>
            <w:tcW w:type="dxa" w:w="2835"/>
            <w:shd w:fill="F2F2F2" w:val="clear"/>
          </w:tcPr>
          <w:p>
            <w:r/>
            <w:r>
              <w:rPr>
                <w:sz w:val="18"/>
              </w:rPr>
              <w:t>Other</w:t>
            </w:r>
          </w:p>
        </w:tc>
        <w:tc>
          <w:tcPr>
            <w:tcW w:type="dxa" w:w="1134"/>
            <w:shd w:fill="F2F2F2" w:val="clear"/>
          </w:tcPr>
          <w:p>
            <w:r/>
            <w:r>
              <w:rPr>
                <w:sz w:val="18"/>
              </w:rPr>
              <w:t>5</w:t>
            </w:r>
          </w:p>
        </w:tc>
        <w:tc>
          <w:tcPr>
            <w:tcW w:type="dxa" w:w="1701"/>
            <w:shd w:fill="F2F2F2" w:val="clear"/>
          </w:tcPr>
          <w:p>
            <w:r/>
            <w:r>
              <w:rPr>
                <w:sz w:val="18"/>
              </w:rPr>
              <w:t>163.64</w:t>
            </w:r>
          </w:p>
        </w:tc>
        <w:tc>
          <w:tcPr>
            <w:tcW w:type="dxa" w:w="3969"/>
            <w:shd w:fill="F2F2F2" w:val="clear"/>
          </w:tcPr>
          <w:p>
            <w:r/>
            <w:r>
              <w:rPr>
                <w:sz w:val="18"/>
              </w:rPr>
              <w:t>NOT COVERED</w:t>
            </w:r>
          </w:p>
        </w:tc>
      </w:tr>
    </w:tbl>
    <w:p/>
    <w:p>
      <w:pPr>
        <w:spacing w:after="120"/>
      </w:pPr>
      <w:r>
        <w:rPr>
          <w:sz w:val="20"/>
        </w:rPr>
      </w:r>
      <w:r>
        <w:rPr>
          <w:b/>
          <w:sz w:val="20"/>
        </w:rPr>
        <w:t xml:space="preserve">Remediation: </w:t>
      </w:r>
      <w:r>
        <w:rPr>
          <w:sz w:val="20"/>
        </w:rPr>
        <w:t>This requires causal-chain reasoning that is beyond the current pipeline’s capability. The system evaluates each component independently. Detecting that a covered component failed due to a non-covered root cause would require either an explicit causation flag from the documents (e.g. an expert report) or heuristic reasoning about invoice composition. Classified as hard to fix.</w:t>
      </w:r>
    </w:p>
    <w:p/>
    <w:p>
      <w:pPr>
        <w:pStyle w:val="Heading2"/>
      </w:pPr>
      <w:r>
        <w:t>3.2 False Rejections</w:t>
      </w:r>
    </w:p>
    <w:p>
      <w:pPr>
        <w:pStyle w:val="Heading3"/>
      </w:pPr>
      <w:r>
        <w:t>Claim 64868 — Mercedes C 43 AMG 4Matic</w:t>
      </w:r>
    </w:p>
    <w:tbl>
      <w:tblPr>
        <w:tblStyle w:val="TableGrid"/>
        <w:tblW w:type="auto" w:w="0"/>
        <w:jc w:val="center"/>
        <w:tblLook w:firstColumn="1" w:firstRow="1" w:lastColumn="0" w:lastRow="0" w:noHBand="0" w:noVBand="1" w:val="04A0"/>
      </w:tblPr>
      <w:tblGrid>
        <w:gridCol w:w="4703"/>
        <w:gridCol w:w="4703"/>
      </w:tblGrid>
      <w:tr>
        <w:tc>
          <w:tcPr>
            <w:tcW w:type="dxa" w:w="2835"/>
            <w:shd w:fill="E8EDF2" w:val="clear"/>
          </w:tcPr>
          <w:p>
            <w:r/>
            <w:r>
              <w:rPr>
                <w:b/>
                <w:sz w:val="18"/>
              </w:rPr>
              <w:t>Ground Truth</w:t>
            </w:r>
          </w:p>
        </w:tc>
        <w:tc>
          <w:tcPr>
            <w:tcW w:type="dxa" w:w="6803"/>
          </w:tcPr>
          <w:p>
            <w:r/>
            <w:r>
              <w:rPr>
                <w:sz w:val="18"/>
              </w:rPr>
              <w:t>APPROVED — CHF 793.70</w:t>
            </w:r>
          </w:p>
        </w:tc>
      </w:tr>
      <w:tr>
        <w:tc>
          <w:tcPr>
            <w:tcW w:type="dxa" w:w="2835"/>
            <w:shd w:fill="E8EDF2" w:val="clear"/>
          </w:tcPr>
          <w:p>
            <w:r/>
            <w:r>
              <w:rPr>
                <w:b/>
                <w:sz w:val="18"/>
              </w:rPr>
              <w:t>System Decision</w:t>
            </w:r>
          </w:p>
        </w:tc>
        <w:tc>
          <w:tcPr>
            <w:tcW w:type="dxa" w:w="6803"/>
            <w:shd w:fill="F9F9F9" w:val="clear"/>
          </w:tcPr>
          <w:p>
            <w:r/>
            <w:r>
              <w:rPr>
                <w:sz w:val="18"/>
              </w:rPr>
              <w:t>REJECT — Component coverage hard fail (auto-reject)</w:t>
            </w:r>
          </w:p>
        </w:tc>
      </w:tr>
      <w:tr>
        <w:tc>
          <w:tcPr>
            <w:tcW w:type="dxa" w:w="2835"/>
            <w:shd w:fill="E8EDF2" w:val="clear"/>
          </w:tcPr>
          <w:p>
            <w:r/>
            <w:r>
              <w:rPr>
                <w:b/>
                <w:sz w:val="18"/>
              </w:rPr>
              <w:t>System Payout</w:t>
            </w:r>
          </w:p>
        </w:tc>
        <w:tc>
          <w:tcPr>
            <w:tcW w:type="dxa" w:w="6803"/>
          </w:tcPr>
          <w:p>
            <w:r/>
            <w:r>
              <w:rPr>
                <w:sz w:val="18"/>
              </w:rPr>
              <w:t>CHF 0</w:t>
            </w:r>
          </w:p>
        </w:tc>
      </w:tr>
    </w:tbl>
    <w:p/>
    <w:p>
      <w:pPr>
        <w:spacing w:after="120"/>
      </w:pPr>
      <w:r>
        <w:rPr>
          <w:sz w:val="20"/>
        </w:rPr>
        <w:t>The claim involves a panoramic sunroof repair (12 line items). The key part is a sunroof motor (GETRIEBEMOTOR, part A205 906 41 04, CHF 450). This part exists in the parts database mapped to the electrical system category (roof motor) and should have been identified as covered.</w:t>
      </w:r>
    </w:p>
    <w:p>
      <w:pPr>
        <w:spacing w:after="120"/>
      </w:pPr>
      <w:r>
        <w:rPr>
          <w:sz w:val="20"/>
        </w:rPr>
        <w:t>However, the parts-number lookup did not match this part. It fell through to the LLM-based classifier, which incorrectly determined it was not covered (confidence 0.70). Without a covered part to anchor the claim, the related labour was demoted, and a different part (DACHMECHANIK / roof mechanism, CHF 413, body category) was selected as the primary repair. Since “body” is not a covered category, the screening triggered a hard fail.</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268"/>
            <w:shd w:fill="1F4E79" w:val="clear"/>
          </w:tcPr>
          <w:p>
            <w:pPr>
              <w:jc w:val="center"/>
            </w:pPr>
            <w:r/>
            <w:r>
              <w:rPr>
                <w:b/>
                <w:color w:val="FFFFFF"/>
                <w:sz w:val="18"/>
              </w:rPr>
              <w:t>Line Item</w:t>
            </w:r>
          </w:p>
        </w:tc>
        <w:tc>
          <w:tcPr>
            <w:tcW w:type="dxa" w:w="1701"/>
            <w:shd w:fill="1F4E79" w:val="clear"/>
          </w:tcPr>
          <w:p>
            <w:pPr>
              <w:jc w:val="center"/>
            </w:pPr>
            <w:r/>
            <w:r>
              <w:rPr>
                <w:b/>
                <w:color w:val="FFFFFF"/>
                <w:sz w:val="18"/>
              </w:rPr>
              <w:t>Code</w:t>
            </w:r>
          </w:p>
        </w:tc>
        <w:tc>
          <w:tcPr>
            <w:tcW w:type="dxa" w:w="850"/>
            <w:shd w:fill="1F4E79" w:val="clear"/>
          </w:tcPr>
          <w:p>
            <w:pPr>
              <w:jc w:val="center"/>
            </w:pPr>
            <w:r/>
            <w:r>
              <w:rPr>
                <w:b/>
                <w:color w:val="FFFFFF"/>
                <w:sz w:val="18"/>
              </w:rPr>
              <w:t>Type</w:t>
            </w:r>
          </w:p>
        </w:tc>
        <w:tc>
          <w:tcPr>
            <w:tcW w:type="dxa" w:w="1134"/>
            <w:shd w:fill="1F4E79" w:val="clear"/>
          </w:tcPr>
          <w:p>
            <w:pPr>
              <w:jc w:val="center"/>
            </w:pPr>
            <w:r/>
            <w:r>
              <w:rPr>
                <w:b/>
                <w:color w:val="FFFFFF"/>
                <w:sz w:val="18"/>
              </w:rPr>
              <w:t>Price (CHF)</w:t>
            </w:r>
          </w:p>
        </w:tc>
        <w:tc>
          <w:tcPr>
            <w:tcW w:type="dxa" w:w="1417"/>
            <w:shd w:fill="1F4E79" w:val="clear"/>
          </w:tcPr>
          <w:p>
            <w:pPr>
              <w:jc w:val="center"/>
            </w:pPr>
            <w:r/>
            <w:r>
              <w:rPr>
                <w:b/>
                <w:color w:val="FFFFFF"/>
                <w:sz w:val="18"/>
              </w:rPr>
              <w:t>Coverage</w:t>
            </w:r>
          </w:p>
        </w:tc>
        <w:tc>
          <w:tcPr>
            <w:tcW w:type="dxa" w:w="2268"/>
            <w:shd w:fill="1F4E79" w:val="clear"/>
          </w:tcPr>
          <w:p>
            <w:pPr>
              <w:jc w:val="center"/>
            </w:pPr>
            <w:r/>
            <w:r>
              <w:rPr>
                <w:b/>
                <w:color w:val="FFFFFF"/>
                <w:sz w:val="18"/>
              </w:rPr>
              <w:t>Issue</w:t>
            </w:r>
          </w:p>
        </w:tc>
      </w:tr>
      <w:tr>
        <w:tc>
          <w:tcPr>
            <w:tcW w:type="dxa" w:w="2268"/>
          </w:tcPr>
          <w:p>
            <w:r/>
            <w:r>
              <w:rPr>
                <w:sz w:val="18"/>
              </w:rPr>
              <w:t>GETRIEBEMOTOR (sunroof motor)</w:t>
            </w:r>
          </w:p>
        </w:tc>
        <w:tc>
          <w:tcPr>
            <w:tcW w:type="dxa" w:w="1701"/>
          </w:tcPr>
          <w:p>
            <w:r/>
            <w:r>
              <w:rPr>
                <w:sz w:val="18"/>
              </w:rPr>
              <w:t>A205 906 41 04</w:t>
            </w:r>
          </w:p>
        </w:tc>
        <w:tc>
          <w:tcPr>
            <w:tcW w:type="dxa" w:w="850"/>
          </w:tcPr>
          <w:p>
            <w:r/>
            <w:r>
              <w:rPr>
                <w:sz w:val="18"/>
              </w:rPr>
              <w:t>Parts</w:t>
            </w:r>
          </w:p>
        </w:tc>
        <w:tc>
          <w:tcPr>
            <w:tcW w:type="dxa" w:w="1134"/>
          </w:tcPr>
          <w:p>
            <w:r/>
            <w:r>
              <w:rPr>
                <w:sz w:val="18"/>
              </w:rPr>
              <w:t>450.00</w:t>
            </w:r>
          </w:p>
        </w:tc>
        <w:tc>
          <w:tcPr>
            <w:tcW w:type="dxa" w:w="1417"/>
          </w:tcPr>
          <w:p>
            <w:r/>
            <w:r>
              <w:rPr>
                <w:sz w:val="18"/>
              </w:rPr>
              <w:t>NOT COVERED</w:t>
            </w:r>
          </w:p>
        </w:tc>
        <w:tc>
          <w:tcPr>
            <w:tcW w:type="dxa" w:w="2268"/>
          </w:tcPr>
          <w:p>
            <w:r/>
            <w:r>
              <w:rPr>
                <w:sz w:val="18"/>
              </w:rPr>
              <w:t>Part-number lookup failed</w:t>
            </w:r>
          </w:p>
        </w:tc>
      </w:tr>
      <w:tr>
        <w:tc>
          <w:tcPr>
            <w:tcW w:type="dxa" w:w="2268"/>
            <w:shd w:fill="F2F2F2" w:val="clear"/>
          </w:tcPr>
          <w:p>
            <w:r/>
            <w:r>
              <w:rPr>
                <w:sz w:val="18"/>
              </w:rPr>
              <w:t>DACHMECHANIK (roof mechanism)</w:t>
            </w:r>
          </w:p>
        </w:tc>
        <w:tc>
          <w:tcPr>
            <w:tcW w:type="dxa" w:w="1701"/>
            <w:shd w:fill="F2F2F2" w:val="clear"/>
          </w:tcPr>
          <w:p>
            <w:r/>
            <w:r>
              <w:rPr>
                <w:sz w:val="18"/>
              </w:rPr>
              <w:t>A205 780 01 75</w:t>
            </w:r>
          </w:p>
        </w:tc>
        <w:tc>
          <w:tcPr>
            <w:tcW w:type="dxa" w:w="850"/>
            <w:shd w:fill="F2F2F2" w:val="clear"/>
          </w:tcPr>
          <w:p>
            <w:r/>
            <w:r>
              <w:rPr>
                <w:sz w:val="18"/>
              </w:rPr>
              <w:t>Parts</w:t>
            </w:r>
          </w:p>
        </w:tc>
        <w:tc>
          <w:tcPr>
            <w:tcW w:type="dxa" w:w="1134"/>
            <w:shd w:fill="F2F2F2" w:val="clear"/>
          </w:tcPr>
          <w:p>
            <w:r/>
            <w:r>
              <w:rPr>
                <w:sz w:val="18"/>
              </w:rPr>
              <w:t>413.00</w:t>
            </w:r>
          </w:p>
        </w:tc>
        <w:tc>
          <w:tcPr>
            <w:tcW w:type="dxa" w:w="1417"/>
            <w:shd w:fill="F2F2F2" w:val="clear"/>
          </w:tcPr>
          <w:p>
            <w:r/>
            <w:r>
              <w:rPr>
                <w:sz w:val="18"/>
              </w:rPr>
              <w:t>NOT COVERED</w:t>
            </w:r>
          </w:p>
        </w:tc>
        <w:tc>
          <w:tcPr>
            <w:tcW w:type="dxa" w:w="2268"/>
            <w:shd w:fill="F2F2F2" w:val="clear"/>
          </w:tcPr>
          <w:p>
            <w:r/>
            <w:r>
              <w:rPr>
                <w:sz w:val="18"/>
              </w:rPr>
              <w:t>Selected as primary (wrong)</w:t>
            </w:r>
          </w:p>
        </w:tc>
      </w:tr>
      <w:tr>
        <w:tc>
          <w:tcPr>
            <w:tcW w:type="dxa" w:w="2268"/>
          </w:tcPr>
          <w:p>
            <w:r/>
            <w:r>
              <w:rPr>
                <w:sz w:val="18"/>
              </w:rPr>
              <w:t>MOTOR SCHIEBEDACH (sunroof motor labour)</w:t>
            </w:r>
          </w:p>
        </w:tc>
        <w:tc>
          <w:tcPr>
            <w:tcW w:type="dxa" w:w="1701"/>
          </w:tcPr>
          <w:p>
            <w:r/>
            <w:r>
              <w:rPr>
                <w:sz w:val="18"/>
              </w:rPr>
              <w:t>77-6995-00</w:t>
            </w:r>
          </w:p>
        </w:tc>
        <w:tc>
          <w:tcPr>
            <w:tcW w:type="dxa" w:w="850"/>
          </w:tcPr>
          <w:p>
            <w:r/>
            <w:r>
              <w:rPr>
                <w:sz w:val="18"/>
              </w:rPr>
              <w:t>Labour</w:t>
            </w:r>
          </w:p>
        </w:tc>
        <w:tc>
          <w:tcPr>
            <w:tcW w:type="dxa" w:w="1134"/>
          </w:tcPr>
          <w:p>
            <w:r/>
            <w:r>
              <w:rPr>
                <w:sz w:val="18"/>
              </w:rPr>
              <w:t>235.00</w:t>
            </w:r>
          </w:p>
        </w:tc>
        <w:tc>
          <w:tcPr>
            <w:tcW w:type="dxa" w:w="1417"/>
          </w:tcPr>
          <w:p>
            <w:r/>
            <w:r>
              <w:rPr>
                <w:sz w:val="18"/>
              </w:rPr>
              <w:t>NOT COVERED</w:t>
            </w:r>
          </w:p>
        </w:tc>
        <w:tc>
          <w:tcPr>
            <w:tcW w:type="dxa" w:w="2268"/>
          </w:tcPr>
          <w:p>
            <w:r/>
            <w:r>
              <w:rPr>
                <w:sz w:val="18"/>
              </w:rPr>
              <w:t>Correctly matched, then demoted</w:t>
            </w:r>
          </w:p>
        </w:tc>
      </w:tr>
      <w:tr>
        <w:tc>
          <w:tcPr>
            <w:tcW w:type="dxa" w:w="2268"/>
            <w:shd w:fill="F2F2F2" w:val="clear"/>
          </w:tcPr>
          <w:p>
            <w:r/>
            <w:r>
              <w:rPr>
                <w:sz w:val="18"/>
              </w:rPr>
              <w:t>FÜHRUNGSSCHIENEN (guide rails labour)</w:t>
            </w:r>
          </w:p>
        </w:tc>
        <w:tc>
          <w:tcPr>
            <w:tcW w:type="dxa" w:w="1701"/>
            <w:shd w:fill="F2F2F2" w:val="clear"/>
          </w:tcPr>
          <w:p>
            <w:r/>
            <w:r>
              <w:rPr>
                <w:sz w:val="18"/>
              </w:rPr>
              <w:t>77-7002-00</w:t>
            </w:r>
          </w:p>
        </w:tc>
        <w:tc>
          <w:tcPr>
            <w:tcW w:type="dxa" w:w="850"/>
            <w:shd w:fill="F2F2F2" w:val="clear"/>
          </w:tcPr>
          <w:p>
            <w:r/>
            <w:r>
              <w:rPr>
                <w:sz w:val="18"/>
              </w:rPr>
              <w:t>Labour</w:t>
            </w:r>
          </w:p>
        </w:tc>
        <w:tc>
          <w:tcPr>
            <w:tcW w:type="dxa" w:w="1134"/>
            <w:shd w:fill="F2F2F2" w:val="clear"/>
          </w:tcPr>
          <w:p>
            <w:r/>
            <w:r>
              <w:rPr>
                <w:sz w:val="18"/>
              </w:rPr>
              <w:t>658.00</w:t>
            </w:r>
          </w:p>
        </w:tc>
        <w:tc>
          <w:tcPr>
            <w:tcW w:type="dxa" w:w="1417"/>
            <w:shd w:fill="F2F2F2" w:val="clear"/>
          </w:tcPr>
          <w:p>
            <w:r/>
            <w:r>
              <w:rPr>
                <w:sz w:val="18"/>
              </w:rPr>
              <w:t>NOT COVERED</w:t>
            </w:r>
          </w:p>
        </w:tc>
        <w:tc>
          <w:tcPr>
            <w:tcW w:type="dxa" w:w="2268"/>
            <w:shd w:fill="F2F2F2" w:val="clear"/>
          </w:tcPr>
          <w:p>
            <w:r/>
            <w:r>
              <w:rPr>
                <w:sz w:val="18"/>
              </w:rPr>
              <w:t>No covered anchor</w:t>
            </w:r>
          </w:p>
        </w:tc>
      </w:tr>
    </w:tbl>
    <w:p/>
    <w:p>
      <w:pPr>
        <w:spacing w:after="120"/>
      </w:pPr>
      <w:r>
        <w:rPr>
          <w:sz w:val="20"/>
        </w:rPr>
      </w:r>
      <w:r>
        <w:rPr>
          <w:b/>
          <w:sz w:val="20"/>
        </w:rPr>
        <w:t xml:space="preserve">Remediation: </w:t>
      </w:r>
      <w:r>
        <w:rPr>
          <w:sz w:val="20"/>
        </w:rPr>
        <w:t>Debug the part-number matching failure for A205 906 41 04. The part is in the database but was not matched — likely a normalisation issue (spacing, dashes). Once production integration with a live parts-lookup service is in place, this class of error should not recur. This is the highest-impact single fix: correcting one part-number match would cascade into correct labour promotion, correct primary repair selection, and a correct approval.</w:t>
      </w:r>
    </w:p>
    <w:p/>
    <w:p>
      <w:pPr>
        <w:pStyle w:val="Heading3"/>
      </w:pPr>
      <w:r>
        <w:t>Claim 65352 — BMW X3 xDrive 48V 20d</w:t>
      </w:r>
    </w:p>
    <w:tbl>
      <w:tblPr>
        <w:tblStyle w:val="TableGrid"/>
        <w:tblW w:type="auto" w:w="0"/>
        <w:jc w:val="center"/>
        <w:tblLook w:firstColumn="1" w:firstRow="1" w:lastColumn="0" w:lastRow="0" w:noHBand="0" w:noVBand="1" w:val="04A0"/>
      </w:tblPr>
      <w:tblGrid>
        <w:gridCol w:w="4703"/>
        <w:gridCol w:w="4703"/>
      </w:tblGrid>
      <w:tr>
        <w:tc>
          <w:tcPr>
            <w:tcW w:type="dxa" w:w="2835"/>
            <w:shd w:fill="E8EDF2" w:val="clear"/>
          </w:tcPr>
          <w:p>
            <w:r/>
            <w:r>
              <w:rPr>
                <w:b/>
                <w:sz w:val="18"/>
              </w:rPr>
              <w:t>Ground Truth</w:t>
            </w:r>
          </w:p>
        </w:tc>
        <w:tc>
          <w:tcPr>
            <w:tcW w:type="dxa" w:w="6803"/>
          </w:tcPr>
          <w:p>
            <w:r/>
            <w:r>
              <w:rPr>
                <w:sz w:val="18"/>
              </w:rPr>
              <w:t>APPROVED — CHF 180.00</w:t>
            </w:r>
          </w:p>
        </w:tc>
      </w:tr>
      <w:tr>
        <w:tc>
          <w:tcPr>
            <w:tcW w:type="dxa" w:w="2835"/>
            <w:shd w:fill="E8EDF2" w:val="clear"/>
          </w:tcPr>
          <w:p>
            <w:r/>
            <w:r>
              <w:rPr>
                <w:b/>
                <w:sz w:val="18"/>
              </w:rPr>
              <w:t>System Decision</w:t>
            </w:r>
          </w:p>
        </w:tc>
        <w:tc>
          <w:tcPr>
            <w:tcW w:type="dxa" w:w="6803"/>
            <w:shd w:fill="F9F9F9" w:val="clear"/>
          </w:tcPr>
          <w:p>
            <w:r/>
            <w:r>
              <w:rPr>
                <w:sz w:val="18"/>
              </w:rPr>
              <w:t>REJECT — Component coverage hard fail</w:t>
            </w:r>
          </w:p>
        </w:tc>
      </w:tr>
      <w:tr>
        <w:tc>
          <w:tcPr>
            <w:tcW w:type="dxa" w:w="2835"/>
            <w:shd w:fill="E8EDF2" w:val="clear"/>
          </w:tcPr>
          <w:p>
            <w:r/>
            <w:r>
              <w:rPr>
                <w:b/>
                <w:sz w:val="18"/>
              </w:rPr>
              <w:t>System Payout</w:t>
            </w:r>
          </w:p>
        </w:tc>
        <w:tc>
          <w:tcPr>
            <w:tcW w:type="dxa" w:w="6803"/>
          </w:tcPr>
          <w:p>
            <w:r/>
            <w:r>
              <w:rPr>
                <w:sz w:val="18"/>
              </w:rPr>
              <w:t>CHF 0</w:t>
            </w:r>
          </w:p>
        </w:tc>
      </w:tr>
    </w:tbl>
    <w:p/>
    <w:p>
      <w:pPr>
        <w:spacing w:after="120"/>
      </w:pPr>
      <w:r>
        <w:rPr>
          <w:sz w:val="20"/>
        </w:rPr>
        <w:t>The claim is for a Partikelsensor (particulate/DPF sensor, CHF 211) plus replacement labour (CHF 119) and diagnostics (CHF 25). The policy’s exhaust system category covers only two components: Katalysator (catalytic converter) and Lambda-Sonde (oxygen sensor). The DPF sensor is not in this list.</w:t>
      </w:r>
    </w:p>
    <w:p>
      <w:pPr>
        <w:spacing w:after="120"/>
      </w:pPr>
      <w:r>
        <w:rPr>
          <w:sz w:val="20"/>
        </w:rPr>
        <w:t>The system correctly determined that the Partikelsensor is not explicitly listed. NSA’s adjuster, however, applied a broader interpretation: the DPF sensor is a functional part of the exhaust system, and since the exhaust category is covered, the sensor should be covered by extension.</w:t>
      </w:r>
    </w:p>
    <w:p>
      <w:pPr>
        <w:spacing w:after="120"/>
      </w:pPr>
      <w:r>
        <w:rPr>
          <w:sz w:val="20"/>
        </w:rPr>
      </w:r>
      <w:r>
        <w:rPr>
          <w:b/>
          <w:sz w:val="20"/>
        </w:rPr>
        <w:t xml:space="preserve">Remediation: </w:t>
      </w:r>
      <w:r>
        <w:rPr>
          <w:sz w:val="20"/>
        </w:rPr>
        <w:t>Add Partikelsensor / DPF-Sensor to the exhaust sub-components in the policy configuration. This aligns the system’s interpretation with NSA’s practice of treating functional sub-components of covered categories as covered.</w:t>
      </w:r>
    </w:p>
    <w:p/>
    <w:p>
      <w:pPr>
        <w:pStyle w:val="Heading3"/>
      </w:pPr>
      <w:r>
        <w:t>Claim 64887 — Land Rover Discovery 3.0 Si6 HSE</w:t>
      </w:r>
    </w:p>
    <w:tbl>
      <w:tblPr>
        <w:tblStyle w:val="TableGrid"/>
        <w:tblW w:type="auto" w:w="0"/>
        <w:jc w:val="center"/>
        <w:tblLook w:firstColumn="1" w:firstRow="1" w:lastColumn="0" w:lastRow="0" w:noHBand="0" w:noVBand="1" w:val="04A0"/>
      </w:tblPr>
      <w:tblGrid>
        <w:gridCol w:w="4703"/>
        <w:gridCol w:w="4703"/>
      </w:tblGrid>
      <w:tr>
        <w:tc>
          <w:tcPr>
            <w:tcW w:type="dxa" w:w="2835"/>
            <w:shd w:fill="E8EDF2" w:val="clear"/>
          </w:tcPr>
          <w:p>
            <w:r/>
            <w:r>
              <w:rPr>
                <w:b/>
                <w:sz w:val="18"/>
              </w:rPr>
              <w:t>Ground Truth</w:t>
            </w:r>
          </w:p>
        </w:tc>
        <w:tc>
          <w:tcPr>
            <w:tcW w:type="dxa" w:w="6803"/>
          </w:tcPr>
          <w:p>
            <w:r/>
            <w:r>
              <w:rPr>
                <w:sz w:val="18"/>
              </w:rPr>
              <w:t>APPROVED — CHF 1,906.02</w:t>
            </w:r>
          </w:p>
        </w:tc>
      </w:tr>
      <w:tr>
        <w:tc>
          <w:tcPr>
            <w:tcW w:type="dxa" w:w="2835"/>
            <w:shd w:fill="E8EDF2" w:val="clear"/>
          </w:tcPr>
          <w:p>
            <w:r/>
            <w:r>
              <w:rPr>
                <w:b/>
                <w:sz w:val="18"/>
              </w:rPr>
              <w:t>System Decision</w:t>
            </w:r>
          </w:p>
        </w:tc>
        <w:tc>
          <w:tcPr>
            <w:tcW w:type="dxa" w:w="6803"/>
            <w:shd w:fill="F9F9F9" w:val="clear"/>
          </w:tcPr>
          <w:p>
            <w:r/>
            <w:r>
              <w:rPr>
                <w:sz w:val="18"/>
              </w:rPr>
              <w:t>REJECT — Policy validity hard fail</w:t>
            </w:r>
          </w:p>
        </w:tc>
      </w:tr>
      <w:tr>
        <w:tc>
          <w:tcPr>
            <w:tcW w:type="dxa" w:w="2835"/>
            <w:shd w:fill="E8EDF2" w:val="clear"/>
          </w:tcPr>
          <w:p>
            <w:r/>
            <w:r>
              <w:rPr>
                <w:b/>
                <w:sz w:val="18"/>
              </w:rPr>
              <w:t>System Payout</w:t>
            </w:r>
          </w:p>
        </w:tc>
        <w:tc>
          <w:tcPr>
            <w:tcW w:type="dxa" w:w="6803"/>
          </w:tcPr>
          <w:p>
            <w:r/>
            <w:r>
              <w:rPr>
                <w:sz w:val="18"/>
              </w:rPr>
              <w:t>CHF 0</w:t>
            </w:r>
          </w:p>
        </w:tc>
      </w:tr>
    </w:tbl>
    <w:p/>
    <w:tbl>
      <w:tblPr>
        <w:tblStyle w:val="TableGrid"/>
        <w:tblW w:type="auto" w:w="0"/>
        <w:jc w:val="center"/>
        <w:tblLook w:firstColumn="1" w:firstRow="1" w:lastColumn="0" w:lastRow="0" w:noHBand="0" w:noVBand="1" w:val="04A0"/>
      </w:tblPr>
      <w:tblGrid>
        <w:gridCol w:w="4703"/>
        <w:gridCol w:w="4703"/>
      </w:tblGrid>
      <w:tr>
        <w:tc>
          <w:tcPr>
            <w:tcW w:type="dxa" w:w="3402"/>
            <w:shd w:fill="1F4E79" w:val="clear"/>
          </w:tcPr>
          <w:p>
            <w:pPr>
              <w:jc w:val="center"/>
            </w:pPr>
            <w:r/>
            <w:r>
              <w:rPr>
                <w:b/>
                <w:color w:val="FFFFFF"/>
                <w:sz w:val="18"/>
              </w:rPr>
              <w:t>Field</w:t>
            </w:r>
          </w:p>
        </w:tc>
        <w:tc>
          <w:tcPr>
            <w:tcW w:type="dxa" w:w="6236"/>
            <w:shd w:fill="1F4E79" w:val="clear"/>
          </w:tcPr>
          <w:p>
            <w:pPr>
              <w:jc w:val="center"/>
            </w:pPr>
            <w:r/>
            <w:r>
              <w:rPr>
                <w:b/>
                <w:color w:val="FFFFFF"/>
                <w:sz w:val="18"/>
              </w:rPr>
              <w:t>Value</w:t>
            </w:r>
          </w:p>
        </w:tc>
      </w:tr>
      <w:tr>
        <w:tc>
          <w:tcPr>
            <w:tcW w:type="dxa" w:w="3402"/>
          </w:tcPr>
          <w:p>
            <w:r/>
            <w:r>
              <w:rPr>
                <w:sz w:val="18"/>
              </w:rPr>
              <w:t>Guarantee Period</w:t>
            </w:r>
          </w:p>
        </w:tc>
        <w:tc>
          <w:tcPr>
            <w:tcW w:type="dxa" w:w="6236"/>
          </w:tcPr>
          <w:p>
            <w:r/>
            <w:r>
              <w:rPr>
                <w:sz w:val="18"/>
              </w:rPr>
              <w:t>09.09.2024 – 08.09.2025</w:t>
            </w:r>
          </w:p>
        </w:tc>
      </w:tr>
      <w:tr>
        <w:tc>
          <w:tcPr>
            <w:tcW w:type="dxa" w:w="3402"/>
            <w:shd w:fill="F2F2F2" w:val="clear"/>
          </w:tcPr>
          <w:p>
            <w:r/>
            <w:r>
              <w:rPr>
                <w:sz w:val="18"/>
              </w:rPr>
              <w:t>Claim Date</w:t>
            </w:r>
          </w:p>
        </w:tc>
        <w:tc>
          <w:tcPr>
            <w:tcW w:type="dxa" w:w="6236"/>
            <w:shd w:fill="F2F2F2" w:val="clear"/>
          </w:tcPr>
          <w:p>
            <w:r/>
            <w:r>
              <w:rPr>
                <w:sz w:val="18"/>
              </w:rPr>
              <w:t>19.11.2025</w:t>
            </w:r>
          </w:p>
        </w:tc>
      </w:tr>
      <w:tr>
        <w:tc>
          <w:tcPr>
            <w:tcW w:type="dxa" w:w="3402"/>
          </w:tcPr>
          <w:p>
            <w:r/>
            <w:r>
              <w:rPr>
                <w:sz w:val="18"/>
              </w:rPr>
              <w:t>Days After Expiry</w:t>
            </w:r>
          </w:p>
        </w:tc>
        <w:tc>
          <w:tcPr>
            <w:tcW w:type="dxa" w:w="6236"/>
          </w:tcPr>
          <w:p>
            <w:r/>
            <w:r>
              <w:rPr>
                <w:sz w:val="18"/>
              </w:rPr>
              <w:t>71 days</w:t>
            </w:r>
          </w:p>
        </w:tc>
      </w:tr>
    </w:tbl>
    <w:p/>
    <w:p>
      <w:pPr>
        <w:spacing w:after="120"/>
      </w:pPr>
      <w:r>
        <w:rPr>
          <w:sz w:val="20"/>
        </w:rPr>
        <w:t>The system correctly determined that the claim date falls 71 days after the policy expiration shown in the guarantee document. NSA approved this claim, which implies the policy was renewed — but the renewal document is not present in the claim file.</w:t>
      </w:r>
    </w:p>
    <w:p>
      <w:pPr>
        <w:spacing w:after="120"/>
      </w:pPr>
      <w:r>
        <w:rPr>
          <w:sz w:val="20"/>
        </w:rPr>
      </w:r>
      <w:r>
        <w:rPr>
          <w:b/>
          <w:sz w:val="20"/>
        </w:rPr>
        <w:t xml:space="preserve">Remediation: </w:t>
      </w:r>
      <w:r>
        <w:rPr>
          <w:sz w:val="20"/>
        </w:rPr>
        <w:t>This is a data-completeness issue. Integration with the policy management system (to confirm current policy status and renewal dates) would eliminate this class of error. See also the policy payment-status service assumption noted in the Executive Summary.</w:t>
      </w:r>
    </w:p>
    <w:p/>
    <w:p>
      <w:pPr>
        <w:pStyle w:val="Heading2"/>
      </w:pPr>
      <w:r>
        <w:t>3.3 Referral Errors</w:t>
      </w:r>
    </w:p>
    <w:p>
      <w:pPr>
        <w:pStyle w:val="Heading3"/>
      </w:pPr>
      <w:r>
        <w:t>Claim 64846 — Volkswagen Golf 2.0 TSI GTI Clubsport</w:t>
      </w:r>
    </w:p>
    <w:tbl>
      <w:tblPr>
        <w:tblStyle w:val="TableGrid"/>
        <w:tblW w:type="auto" w:w="0"/>
        <w:jc w:val="center"/>
        <w:tblLook w:firstColumn="1" w:firstRow="1" w:lastColumn="0" w:lastRow="0" w:noHBand="0" w:noVBand="1" w:val="04A0"/>
      </w:tblPr>
      <w:tblGrid>
        <w:gridCol w:w="4703"/>
        <w:gridCol w:w="4703"/>
      </w:tblGrid>
      <w:tr>
        <w:tc>
          <w:tcPr>
            <w:tcW w:type="dxa" w:w="2835"/>
            <w:shd w:fill="E8EDF2" w:val="clear"/>
          </w:tcPr>
          <w:p>
            <w:r/>
            <w:r>
              <w:rPr>
                <w:b/>
                <w:sz w:val="18"/>
              </w:rPr>
              <w:t>Ground Truth</w:t>
            </w:r>
          </w:p>
        </w:tc>
        <w:tc>
          <w:tcPr>
            <w:tcW w:type="dxa" w:w="6803"/>
          </w:tcPr>
          <w:p>
            <w:r/>
            <w:r>
              <w:rPr>
                <w:sz w:val="18"/>
              </w:rPr>
              <w:t>APPROVED — CHF 321.05</w:t>
            </w:r>
          </w:p>
        </w:tc>
      </w:tr>
      <w:tr>
        <w:tc>
          <w:tcPr>
            <w:tcW w:type="dxa" w:w="2835"/>
            <w:shd w:fill="E8EDF2" w:val="clear"/>
          </w:tcPr>
          <w:p>
            <w:r/>
            <w:r>
              <w:rPr>
                <w:b/>
                <w:sz w:val="18"/>
              </w:rPr>
              <w:t>System Decision</w:t>
            </w:r>
          </w:p>
        </w:tc>
        <w:tc>
          <w:tcPr>
            <w:tcW w:type="dxa" w:w="6803"/>
            <w:shd w:fill="F9F9F9" w:val="clear"/>
          </w:tcPr>
          <w:p>
            <w:r/>
            <w:r>
              <w:rPr>
                <w:sz w:val="18"/>
              </w:rPr>
              <w:t>REFER TO HUMAN — VIN inconsistency detected</w:t>
            </w:r>
          </w:p>
        </w:tc>
      </w:tr>
      <w:tr>
        <w:tc>
          <w:tcPr>
            <w:tcW w:type="dxa" w:w="2835"/>
            <w:shd w:fill="E8EDF2" w:val="clear"/>
          </w:tcPr>
          <w:p>
            <w:r/>
            <w:r>
              <w:rPr>
                <w:b/>
                <w:sz w:val="18"/>
              </w:rPr>
              <w:t>System Payout (conditional)</w:t>
            </w:r>
          </w:p>
        </w:tc>
        <w:tc>
          <w:tcPr>
            <w:tcW w:type="dxa" w:w="6803"/>
          </w:tcPr>
          <w:p>
            <w:r/>
            <w:r>
              <w:rPr>
                <w:sz w:val="18"/>
              </w:rPr>
              <w:t>CHF 1,318.95</w:t>
            </w:r>
          </w:p>
        </w:tc>
      </w:tr>
    </w:tbl>
    <w:p/>
    <w:p>
      <w:pPr>
        <w:spacing w:after="120"/>
      </w:pPr>
      <w:r>
        <w:rPr>
          <w:sz w:val="20"/>
        </w:rPr>
        <w:t>The system detected two different VINs across the claim documents: one Volkswagen VIN (WVWZZZAUZHW146216, consistent across the cost estimate and guarantee) and one Audi VIN (WAUZZZF24KN016070) from what appears to be an unrelated document inadvertently included in the claim file.</w:t>
      </w:r>
    </w:p>
    <w:p>
      <w:pPr>
        <w:spacing w:after="120"/>
      </w:pPr>
      <w:r>
        <w:rPr>
          <w:sz w:val="20"/>
        </w:rPr>
        <w:t>All other screening checks passed. The system conservatively referred the claim because VIN conflicts are a legitimate fraud indicator. This is a defensible decision — the referral is cautious rather than wrong.</w:t>
      </w:r>
    </w:p>
    <w:p>
      <w:pPr>
        <w:spacing w:after="120"/>
      </w:pPr>
      <w:r>
        <w:rPr>
          <w:sz w:val="20"/>
        </w:rPr>
      </w:r>
      <w:r>
        <w:rPr>
          <w:b/>
          <w:sz w:val="20"/>
        </w:rPr>
        <w:t xml:space="preserve">Remediation: </w:t>
      </w:r>
      <w:r>
        <w:rPr>
          <w:sz w:val="20"/>
        </w:rPr>
        <w:t>Improve VIN source attribution by weighting VINs from the guarantee and cost estimate higher than those from ancillary documents. When the primary documents are consistent and the conflicting VIN comes from a secondary source, the system should approve with a note rather than refer.</w:t>
      </w:r>
    </w:p>
    <w:p/>
    <w:p>
      <w:pPr>
        <w:pStyle w:val="Heading3"/>
      </w:pPr>
      <w:r>
        <w:t>Claim 64877 — Volkswagen T6 Kombi 2.0 4M</w:t>
      </w:r>
    </w:p>
    <w:tbl>
      <w:tblPr>
        <w:tblStyle w:val="TableGrid"/>
        <w:tblW w:type="auto" w:w="0"/>
        <w:jc w:val="center"/>
        <w:tblLook w:firstColumn="1" w:firstRow="1" w:lastColumn="0" w:lastRow="0" w:noHBand="0" w:noVBand="1" w:val="04A0"/>
      </w:tblPr>
      <w:tblGrid>
        <w:gridCol w:w="4703"/>
        <w:gridCol w:w="4703"/>
      </w:tblGrid>
      <w:tr>
        <w:tc>
          <w:tcPr>
            <w:tcW w:type="dxa" w:w="2835"/>
            <w:shd w:fill="E8EDF2" w:val="clear"/>
          </w:tcPr>
          <w:p>
            <w:r/>
            <w:r>
              <w:rPr>
                <w:b/>
                <w:sz w:val="18"/>
              </w:rPr>
              <w:t>Ground Truth</w:t>
            </w:r>
          </w:p>
        </w:tc>
        <w:tc>
          <w:tcPr>
            <w:tcW w:type="dxa" w:w="6803"/>
          </w:tcPr>
          <w:p>
            <w:r/>
            <w:r>
              <w:rPr>
                <w:sz w:val="18"/>
              </w:rPr>
              <w:t>DENIED — Non-payment premium lapse</w:t>
            </w:r>
          </w:p>
        </w:tc>
      </w:tr>
      <w:tr>
        <w:tc>
          <w:tcPr>
            <w:tcW w:type="dxa" w:w="2835"/>
            <w:shd w:fill="E8EDF2" w:val="clear"/>
          </w:tcPr>
          <w:p>
            <w:r/>
            <w:r>
              <w:rPr>
                <w:b/>
                <w:sz w:val="18"/>
              </w:rPr>
              <w:t>System Decision</w:t>
            </w:r>
          </w:p>
        </w:tc>
        <w:tc>
          <w:tcPr>
            <w:tcW w:type="dxa" w:w="6803"/>
            <w:shd w:fill="F9F9F9" w:val="clear"/>
          </w:tcPr>
          <w:p>
            <w:r/>
            <w:r>
              <w:rPr>
                <w:sz w:val="18"/>
              </w:rPr>
              <w:t>REFER TO HUMAN — Insufficient data</w:t>
            </w:r>
          </w:p>
        </w:tc>
      </w:tr>
    </w:tbl>
    <w:p/>
    <w:p>
      <w:pPr>
        <w:spacing w:after="120"/>
      </w:pPr>
      <w:r>
        <w:rPr>
          <w:sz w:val="20"/>
        </w:rPr>
        <w:t>The claim file contains only one document: a vehicle registration certificate. No policy document, cost estimate, or repair invoice is present. With 9 of 10 screening checks skipped due to missing data, the system correctly referred the claim for human review.</w:t>
      </w:r>
    </w:p>
    <w:p>
      <w:pPr>
        <w:spacing w:after="120"/>
      </w:pPr>
      <w:r>
        <w:rPr>
          <w:sz w:val="20"/>
        </w:rPr>
        <w:t>The ground-truth denial is based on a premium non-payment lapse — information that resides in NSA’s internal policy-management system and cannot be inferred from claim documents alone.</w:t>
      </w:r>
    </w:p>
    <w:p>
      <w:pPr>
        <w:spacing w:after="120"/>
      </w:pPr>
      <w:r>
        <w:rPr>
          <w:sz w:val="20"/>
        </w:rPr>
      </w:r>
      <w:r>
        <w:rPr>
          <w:b/>
          <w:sz w:val="20"/>
        </w:rPr>
        <w:t xml:space="preserve">Remediation: </w:t>
      </w:r>
      <w:r>
        <w:rPr>
          <w:sz w:val="20"/>
        </w:rPr>
        <w:t>Integration with a policy payment-status service would allow the system to detect premium lapses and issue an automatic denial. Without this integration, REFER TO HUMAN is the correct and defensible outcome. See the Executive Summary for the planned service assumption.</w:t>
      </w:r>
    </w:p>
    <w:p>
      <w:r>
        <w:br w:type="page"/>
      </w:r>
    </w:p>
    <w:p>
      <w:pPr>
        <w:pStyle w:val="Heading1"/>
      </w:pPr>
      <w:r>
        <w:t>4. Payout Amount Mismatches</w:t>
      </w:r>
    </w:p>
    <w:p>
      <w:pPr>
        <w:spacing w:after="120"/>
      </w:pPr>
      <w:r>
        <w:rPr>
          <w:sz w:val="20"/>
        </w:rPr>
        <w:t>All 8 claims below were decided correctly (APPROVE = APPROVE) but the calculated payout amount differs from the ground truth by more than 5%.</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020"/>
            <w:shd w:fill="1F4E79" w:val="clear"/>
          </w:tcPr>
          <w:p>
            <w:pPr>
              <w:jc w:val="center"/>
            </w:pPr>
            <w:r/>
            <w:r>
              <w:rPr>
                <w:b/>
                <w:color w:val="FFFFFF"/>
                <w:sz w:val="18"/>
              </w:rPr>
              <w:t>Claim</w:t>
            </w:r>
          </w:p>
        </w:tc>
        <w:tc>
          <w:tcPr>
            <w:tcW w:type="dxa" w:w="2268"/>
            <w:shd w:fill="1F4E79" w:val="clear"/>
          </w:tcPr>
          <w:p>
            <w:pPr>
              <w:jc w:val="center"/>
            </w:pPr>
            <w:r/>
            <w:r>
              <w:rPr>
                <w:b/>
                <w:color w:val="FFFFFF"/>
                <w:sz w:val="18"/>
              </w:rPr>
              <w:t>Vehicle</w:t>
            </w:r>
          </w:p>
        </w:tc>
        <w:tc>
          <w:tcPr>
            <w:tcW w:type="dxa" w:w="1417"/>
            <w:shd w:fill="1F4E79" w:val="clear"/>
          </w:tcPr>
          <w:p>
            <w:pPr>
              <w:jc w:val="center"/>
            </w:pPr>
            <w:r/>
            <w:r>
              <w:rPr>
                <w:b/>
                <w:color w:val="FFFFFF"/>
                <w:sz w:val="18"/>
              </w:rPr>
              <w:t>GT Amount (CHF)</w:t>
            </w:r>
          </w:p>
        </w:tc>
        <w:tc>
          <w:tcPr>
            <w:tcW w:type="dxa" w:w="1587"/>
            <w:shd w:fill="1F4E79" w:val="clear"/>
          </w:tcPr>
          <w:p>
            <w:pPr>
              <w:jc w:val="center"/>
            </w:pPr>
            <w:r/>
            <w:r>
              <w:rPr>
                <w:b/>
                <w:color w:val="FFFFFF"/>
                <w:sz w:val="18"/>
              </w:rPr>
              <w:t>System Amount (CHF)</w:t>
            </w:r>
          </w:p>
        </w:tc>
        <w:tc>
          <w:tcPr>
            <w:tcW w:type="dxa" w:w="1134"/>
            <w:shd w:fill="1F4E79" w:val="clear"/>
          </w:tcPr>
          <w:p>
            <w:pPr>
              <w:jc w:val="center"/>
            </w:pPr>
            <w:r/>
            <w:r>
              <w:rPr>
                <w:b/>
                <w:color w:val="FFFFFF"/>
                <w:sz w:val="18"/>
              </w:rPr>
              <w:t>Difference</w:t>
            </w:r>
          </w:p>
        </w:tc>
        <w:tc>
          <w:tcPr>
            <w:tcW w:type="dxa" w:w="1077"/>
            <w:shd w:fill="1F4E79" w:val="clear"/>
          </w:tcPr>
          <w:p>
            <w:pPr>
              <w:jc w:val="center"/>
            </w:pPr>
            <w:r/>
            <w:r>
              <w:rPr>
                <w:b/>
                <w:color w:val="FFFFFF"/>
                <w:sz w:val="18"/>
              </w:rPr>
              <w:t>Diff %</w:t>
            </w:r>
          </w:p>
        </w:tc>
      </w:tr>
      <w:tr>
        <w:tc>
          <w:tcPr>
            <w:tcW w:type="dxa" w:w="1020"/>
          </w:tcPr>
          <w:p>
            <w:r/>
            <w:r>
              <w:rPr>
                <w:sz w:val="18"/>
              </w:rPr>
              <w:t>64687</w:t>
            </w:r>
          </w:p>
        </w:tc>
        <w:tc>
          <w:tcPr>
            <w:tcW w:type="dxa" w:w="2268"/>
          </w:tcPr>
          <w:p>
            <w:r/>
            <w:r>
              <w:rPr>
                <w:sz w:val="18"/>
              </w:rPr>
              <w:t>BMW 335i xDrive</w:t>
            </w:r>
          </w:p>
        </w:tc>
        <w:tc>
          <w:tcPr>
            <w:tcW w:type="dxa" w:w="1417"/>
          </w:tcPr>
          <w:p>
            <w:r/>
            <w:r>
              <w:rPr>
                <w:sz w:val="18"/>
              </w:rPr>
              <w:t>2,566.99</w:t>
            </w:r>
          </w:p>
        </w:tc>
        <w:tc>
          <w:tcPr>
            <w:tcW w:type="dxa" w:w="1587"/>
          </w:tcPr>
          <w:p>
            <w:r/>
            <w:r>
              <w:rPr>
                <w:sz w:val="18"/>
              </w:rPr>
              <w:t>2,334.96</w:t>
            </w:r>
          </w:p>
        </w:tc>
        <w:tc>
          <w:tcPr>
            <w:tcW w:type="dxa" w:w="1134"/>
          </w:tcPr>
          <w:p>
            <w:r/>
            <w:r>
              <w:rPr>
                <w:sz w:val="18"/>
              </w:rPr>
              <w:t>−232.03</w:t>
            </w:r>
          </w:p>
        </w:tc>
        <w:tc>
          <w:tcPr>
            <w:tcW w:type="dxa" w:w="1077"/>
          </w:tcPr>
          <w:p>
            <w:r/>
            <w:r>
              <w:rPr>
                <w:sz w:val="18"/>
              </w:rPr>
              <w:t>−9.0%</w:t>
            </w:r>
          </w:p>
        </w:tc>
      </w:tr>
      <w:tr>
        <w:tc>
          <w:tcPr>
            <w:tcW w:type="dxa" w:w="1020"/>
            <w:shd w:fill="F2F2F2" w:val="clear"/>
          </w:tcPr>
          <w:p>
            <w:r/>
            <w:r>
              <w:rPr>
                <w:sz w:val="18"/>
              </w:rPr>
              <w:t>64873</w:t>
            </w:r>
          </w:p>
        </w:tc>
        <w:tc>
          <w:tcPr>
            <w:tcW w:type="dxa" w:w="2268"/>
            <w:shd w:fill="F2F2F2" w:val="clear"/>
          </w:tcPr>
          <w:p>
            <w:r/>
            <w:r>
              <w:rPr>
                <w:sz w:val="18"/>
              </w:rPr>
              <w:t>Audi Q5 2.0 TFSI</w:t>
            </w:r>
          </w:p>
        </w:tc>
        <w:tc>
          <w:tcPr>
            <w:tcW w:type="dxa" w:w="1417"/>
            <w:shd w:fill="F2F2F2" w:val="clear"/>
          </w:tcPr>
          <w:p>
            <w:r/>
            <w:r>
              <w:rPr>
                <w:sz w:val="18"/>
              </w:rPr>
              <w:t>3,415.56</w:t>
            </w:r>
          </w:p>
        </w:tc>
        <w:tc>
          <w:tcPr>
            <w:tcW w:type="dxa" w:w="1587"/>
            <w:shd w:fill="F2F2F2" w:val="clear"/>
          </w:tcPr>
          <w:p>
            <w:r/>
            <w:r>
              <w:rPr>
                <w:sz w:val="18"/>
              </w:rPr>
              <w:t>3,948.38</w:t>
            </w:r>
          </w:p>
        </w:tc>
        <w:tc>
          <w:tcPr>
            <w:tcW w:type="dxa" w:w="1134"/>
            <w:shd w:fill="F2F2F2" w:val="clear"/>
          </w:tcPr>
          <w:p>
            <w:r/>
            <w:r>
              <w:rPr>
                <w:sz w:val="18"/>
              </w:rPr>
              <w:t>+532.82</w:t>
            </w:r>
          </w:p>
        </w:tc>
        <w:tc>
          <w:tcPr>
            <w:tcW w:type="dxa" w:w="1077"/>
            <w:shd w:fill="F2F2F2" w:val="clear"/>
          </w:tcPr>
          <w:p>
            <w:r/>
            <w:r>
              <w:rPr>
                <w:sz w:val="18"/>
              </w:rPr>
              <w:t>+15.6%</w:t>
            </w:r>
          </w:p>
        </w:tc>
      </w:tr>
      <w:tr>
        <w:tc>
          <w:tcPr>
            <w:tcW w:type="dxa" w:w="1020"/>
          </w:tcPr>
          <w:p>
            <w:r/>
            <w:r>
              <w:rPr>
                <w:sz w:val="18"/>
              </w:rPr>
              <w:t>64942</w:t>
            </w:r>
          </w:p>
        </w:tc>
        <w:tc>
          <w:tcPr>
            <w:tcW w:type="dxa" w:w="2268"/>
          </w:tcPr>
          <w:p>
            <w:r/>
            <w:r>
              <w:rPr>
                <w:sz w:val="18"/>
              </w:rPr>
              <w:t>Audi A6 Avant</w:t>
            </w:r>
          </w:p>
        </w:tc>
        <w:tc>
          <w:tcPr>
            <w:tcW w:type="dxa" w:w="1417"/>
          </w:tcPr>
          <w:p>
            <w:r/>
            <w:r>
              <w:rPr>
                <w:sz w:val="18"/>
              </w:rPr>
              <w:t>502.05</w:t>
            </w:r>
          </w:p>
        </w:tc>
        <w:tc>
          <w:tcPr>
            <w:tcW w:type="dxa" w:w="1587"/>
          </w:tcPr>
          <w:p>
            <w:r/>
            <w:r>
              <w:rPr>
                <w:sz w:val="18"/>
              </w:rPr>
              <w:t>438.71</w:t>
            </w:r>
          </w:p>
        </w:tc>
        <w:tc>
          <w:tcPr>
            <w:tcW w:type="dxa" w:w="1134"/>
          </w:tcPr>
          <w:p>
            <w:r/>
            <w:r>
              <w:rPr>
                <w:sz w:val="18"/>
              </w:rPr>
              <w:t>−63.34</w:t>
            </w:r>
          </w:p>
        </w:tc>
        <w:tc>
          <w:tcPr>
            <w:tcW w:type="dxa" w:w="1077"/>
          </w:tcPr>
          <w:p>
            <w:r/>
            <w:r>
              <w:rPr>
                <w:sz w:val="18"/>
              </w:rPr>
              <w:t>−12.6%</w:t>
            </w:r>
          </w:p>
        </w:tc>
      </w:tr>
      <w:tr>
        <w:tc>
          <w:tcPr>
            <w:tcW w:type="dxa" w:w="1020"/>
            <w:shd w:fill="F2F2F2" w:val="clear"/>
          </w:tcPr>
          <w:p>
            <w:r/>
            <w:r>
              <w:rPr>
                <w:sz w:val="18"/>
              </w:rPr>
              <w:t>65010</w:t>
            </w:r>
          </w:p>
        </w:tc>
        <w:tc>
          <w:tcPr>
            <w:tcW w:type="dxa" w:w="2268"/>
            <w:shd w:fill="F2F2F2" w:val="clear"/>
          </w:tcPr>
          <w:p>
            <w:r/>
            <w:r>
              <w:rPr>
                <w:sz w:val="18"/>
              </w:rPr>
              <w:t>BMW X3 xDrive30i</w:t>
            </w:r>
          </w:p>
        </w:tc>
        <w:tc>
          <w:tcPr>
            <w:tcW w:type="dxa" w:w="1417"/>
            <w:shd w:fill="F2F2F2" w:val="clear"/>
          </w:tcPr>
          <w:p>
            <w:r/>
            <w:r>
              <w:rPr>
                <w:sz w:val="18"/>
              </w:rPr>
              <w:t>673.79</w:t>
            </w:r>
          </w:p>
        </w:tc>
        <w:tc>
          <w:tcPr>
            <w:tcW w:type="dxa" w:w="1587"/>
            <w:shd w:fill="F2F2F2" w:val="clear"/>
          </w:tcPr>
          <w:p>
            <w:r/>
            <w:r>
              <w:rPr>
                <w:sz w:val="18"/>
              </w:rPr>
              <w:t>839.94</w:t>
            </w:r>
          </w:p>
        </w:tc>
        <w:tc>
          <w:tcPr>
            <w:tcW w:type="dxa" w:w="1134"/>
            <w:shd w:fill="F2F2F2" w:val="clear"/>
          </w:tcPr>
          <w:p>
            <w:r/>
            <w:r>
              <w:rPr>
                <w:sz w:val="18"/>
              </w:rPr>
              <w:t>+166.15</w:t>
            </w:r>
          </w:p>
        </w:tc>
        <w:tc>
          <w:tcPr>
            <w:tcW w:type="dxa" w:w="1077"/>
            <w:shd w:fill="F2F2F2" w:val="clear"/>
          </w:tcPr>
          <w:p>
            <w:r/>
            <w:r>
              <w:rPr>
                <w:sz w:val="18"/>
              </w:rPr>
              <w:t>+24.7%</w:t>
            </w:r>
          </w:p>
        </w:tc>
      </w:tr>
      <w:tr>
        <w:tc>
          <w:tcPr>
            <w:tcW w:type="dxa" w:w="1020"/>
          </w:tcPr>
          <w:p>
            <w:r/>
            <w:r>
              <w:rPr>
                <w:sz w:val="18"/>
              </w:rPr>
              <w:t>65044</w:t>
            </w:r>
          </w:p>
        </w:tc>
        <w:tc>
          <w:tcPr>
            <w:tcW w:type="dxa" w:w="2268"/>
          </w:tcPr>
          <w:p>
            <w:r/>
            <w:r>
              <w:rPr>
                <w:sz w:val="18"/>
              </w:rPr>
              <w:t>Seat Leon ST Cupra</w:t>
            </w:r>
          </w:p>
        </w:tc>
        <w:tc>
          <w:tcPr>
            <w:tcW w:type="dxa" w:w="1417"/>
          </w:tcPr>
          <w:p>
            <w:r/>
            <w:r>
              <w:rPr>
                <w:sz w:val="18"/>
              </w:rPr>
              <w:t>863.15</w:t>
            </w:r>
          </w:p>
        </w:tc>
        <w:tc>
          <w:tcPr>
            <w:tcW w:type="dxa" w:w="1587"/>
          </w:tcPr>
          <w:p>
            <w:r/>
            <w:r>
              <w:rPr>
                <w:sz w:val="18"/>
              </w:rPr>
              <w:t>251.27</w:t>
            </w:r>
          </w:p>
        </w:tc>
        <w:tc>
          <w:tcPr>
            <w:tcW w:type="dxa" w:w="1134"/>
          </w:tcPr>
          <w:p>
            <w:r/>
            <w:r>
              <w:rPr>
                <w:sz w:val="18"/>
              </w:rPr>
              <w:t>−611.88</w:t>
            </w:r>
          </w:p>
        </w:tc>
        <w:tc>
          <w:tcPr>
            <w:tcW w:type="dxa" w:w="1077"/>
          </w:tcPr>
          <w:p>
            <w:r/>
            <w:r>
              <w:rPr>
                <w:sz w:val="18"/>
              </w:rPr>
              <w:t>−70.9%</w:t>
            </w:r>
          </w:p>
        </w:tc>
      </w:tr>
      <w:tr>
        <w:tc>
          <w:tcPr>
            <w:tcW w:type="dxa" w:w="1020"/>
            <w:shd w:fill="F2F2F2" w:val="clear"/>
          </w:tcPr>
          <w:p>
            <w:r/>
            <w:r>
              <w:rPr>
                <w:sz w:val="18"/>
              </w:rPr>
              <w:t>65316</w:t>
            </w:r>
          </w:p>
        </w:tc>
        <w:tc>
          <w:tcPr>
            <w:tcW w:type="dxa" w:w="2268"/>
            <w:shd w:fill="F2F2F2" w:val="clear"/>
          </w:tcPr>
          <w:p>
            <w:r/>
            <w:r>
              <w:rPr>
                <w:sz w:val="18"/>
              </w:rPr>
              <w:t>Mercedes GLA 45 AMG</w:t>
            </w:r>
          </w:p>
        </w:tc>
        <w:tc>
          <w:tcPr>
            <w:tcW w:type="dxa" w:w="1417"/>
            <w:shd w:fill="F2F2F2" w:val="clear"/>
          </w:tcPr>
          <w:p>
            <w:r/>
            <w:r>
              <w:rPr>
                <w:sz w:val="18"/>
              </w:rPr>
              <w:t>366.42</w:t>
            </w:r>
          </w:p>
        </w:tc>
        <w:tc>
          <w:tcPr>
            <w:tcW w:type="dxa" w:w="1587"/>
            <w:shd w:fill="F2F2F2" w:val="clear"/>
          </w:tcPr>
          <w:p>
            <w:r/>
            <w:r>
              <w:rPr>
                <w:sz w:val="18"/>
              </w:rPr>
              <w:t>336.23</w:t>
            </w:r>
          </w:p>
        </w:tc>
        <w:tc>
          <w:tcPr>
            <w:tcW w:type="dxa" w:w="1134"/>
            <w:shd w:fill="F2F2F2" w:val="clear"/>
          </w:tcPr>
          <w:p>
            <w:r/>
            <w:r>
              <w:rPr>
                <w:sz w:val="18"/>
              </w:rPr>
              <w:t>−30.19</w:t>
            </w:r>
          </w:p>
        </w:tc>
        <w:tc>
          <w:tcPr>
            <w:tcW w:type="dxa" w:w="1077"/>
            <w:shd w:fill="F2F2F2" w:val="clear"/>
          </w:tcPr>
          <w:p>
            <w:r/>
            <w:r>
              <w:rPr>
                <w:sz w:val="18"/>
              </w:rPr>
              <w:t>−8.2%</w:t>
            </w:r>
          </w:p>
        </w:tc>
      </w:tr>
      <w:tr>
        <w:tc>
          <w:tcPr>
            <w:tcW w:type="dxa" w:w="1020"/>
          </w:tcPr>
          <w:p>
            <w:r/>
            <w:r>
              <w:rPr>
                <w:sz w:val="18"/>
              </w:rPr>
              <w:t>65345</w:t>
            </w:r>
          </w:p>
        </w:tc>
        <w:tc>
          <w:tcPr>
            <w:tcW w:type="dxa" w:w="2268"/>
          </w:tcPr>
          <w:p>
            <w:r/>
            <w:r>
              <w:rPr>
                <w:sz w:val="18"/>
              </w:rPr>
              <w:t>Peugeot Partner 1.6 HDi</w:t>
            </w:r>
          </w:p>
        </w:tc>
        <w:tc>
          <w:tcPr>
            <w:tcW w:type="dxa" w:w="1417"/>
          </w:tcPr>
          <w:p>
            <w:r/>
            <w:r>
              <w:rPr>
                <w:sz w:val="18"/>
              </w:rPr>
              <w:t>958.42</w:t>
            </w:r>
          </w:p>
        </w:tc>
        <w:tc>
          <w:tcPr>
            <w:tcW w:type="dxa" w:w="1587"/>
          </w:tcPr>
          <w:p>
            <w:r/>
            <w:r>
              <w:rPr>
                <w:sz w:val="18"/>
              </w:rPr>
              <w:t>1,019.59</w:t>
            </w:r>
          </w:p>
        </w:tc>
        <w:tc>
          <w:tcPr>
            <w:tcW w:type="dxa" w:w="1134"/>
          </w:tcPr>
          <w:p>
            <w:r/>
            <w:r>
              <w:rPr>
                <w:sz w:val="18"/>
              </w:rPr>
              <w:t>+61.17</w:t>
            </w:r>
          </w:p>
        </w:tc>
        <w:tc>
          <w:tcPr>
            <w:tcW w:type="dxa" w:w="1077"/>
          </w:tcPr>
          <w:p>
            <w:r/>
            <w:r>
              <w:rPr>
                <w:sz w:val="18"/>
              </w:rPr>
              <w:t>+6.4%</w:t>
            </w:r>
          </w:p>
        </w:tc>
      </w:tr>
      <w:tr>
        <w:tc>
          <w:tcPr>
            <w:tcW w:type="dxa" w:w="1020"/>
            <w:shd w:fill="F2F2F2" w:val="clear"/>
          </w:tcPr>
          <w:p>
            <w:r/>
            <w:r>
              <w:rPr>
                <w:sz w:val="18"/>
              </w:rPr>
              <w:t>65356</w:t>
            </w:r>
          </w:p>
        </w:tc>
        <w:tc>
          <w:tcPr>
            <w:tcW w:type="dxa" w:w="2268"/>
            <w:shd w:fill="F2F2F2" w:val="clear"/>
          </w:tcPr>
          <w:p>
            <w:r/>
            <w:r>
              <w:rPr>
                <w:sz w:val="18"/>
              </w:rPr>
              <w:t>Land Rover Range Rover</w:t>
            </w:r>
          </w:p>
        </w:tc>
        <w:tc>
          <w:tcPr>
            <w:tcW w:type="dxa" w:w="1417"/>
            <w:shd w:fill="F2F2F2" w:val="clear"/>
          </w:tcPr>
          <w:p>
            <w:r/>
            <w:r>
              <w:rPr>
                <w:sz w:val="18"/>
              </w:rPr>
              <w:t>162.05</w:t>
            </w:r>
          </w:p>
        </w:tc>
        <w:tc>
          <w:tcPr>
            <w:tcW w:type="dxa" w:w="1587"/>
            <w:shd w:fill="F2F2F2" w:val="clear"/>
          </w:tcPr>
          <w:p>
            <w:r/>
            <w:r>
              <w:rPr>
                <w:sz w:val="18"/>
              </w:rPr>
              <w:t>126.90</w:t>
            </w:r>
          </w:p>
        </w:tc>
        <w:tc>
          <w:tcPr>
            <w:tcW w:type="dxa" w:w="1134"/>
            <w:shd w:fill="F2F2F2" w:val="clear"/>
          </w:tcPr>
          <w:p>
            <w:r/>
            <w:r>
              <w:rPr>
                <w:sz w:val="18"/>
              </w:rPr>
              <w:t>−35.15</w:t>
            </w:r>
          </w:p>
        </w:tc>
        <w:tc>
          <w:tcPr>
            <w:tcW w:type="dxa" w:w="1077"/>
            <w:shd w:fill="F2F2F2" w:val="clear"/>
          </w:tcPr>
          <w:p>
            <w:r/>
            <w:r>
              <w:rPr>
                <w:sz w:val="18"/>
              </w:rPr>
              <w:t>−21.7%</w:t>
            </w:r>
          </w:p>
        </w:tc>
      </w:tr>
    </w:tbl>
    <w:p/>
    <w:p>
      <w:pPr>
        <w:pStyle w:val="Heading2"/>
      </w:pPr>
      <w:r>
        <w:t>Common Root Causes</w:t>
      </w:r>
    </w:p>
    <w:p>
      <w:pPr>
        <w:pStyle w:val="ListBullet"/>
      </w:pPr>
      <w:r>
        <w:rPr>
          <w:sz w:val="20"/>
        </w:rPr>
        <w:t>Line-item selection: NSA adjusters manually strike specific line items from the cost estimate. The system does not have access to the marked-up estimate and must infer coverage from component matching rules.</w:t>
      </w:r>
    </w:p>
    <w:p>
      <w:pPr>
        <w:pStyle w:val="ListBullet"/>
      </w:pPr>
      <w:r>
        <w:rPr>
          <w:sz w:val="20"/>
        </w:rPr>
        <w:t>Labour association: Some claims have labour items that the system cannot link to covered parts, resulting in under-payment. Conversely, the system sometimes includes labour that NSA’s adjuster excluded.</w:t>
      </w:r>
    </w:p>
    <w:p>
      <w:pPr>
        <w:pStyle w:val="ListBullet"/>
      </w:pPr>
      <w:r>
        <w:rPr>
          <w:sz w:val="20"/>
        </w:rPr>
        <w:t>Deductible formula: The deductible calculation base (before or after rate reduction, before or after VAT) may differ between the system’s formula and NSA’s internal calculation.</w:t>
      </w:r>
    </w:p>
    <w:p>
      <w:pPr>
        <w:pStyle w:val="ListBullet"/>
      </w:pPr>
      <w:r>
        <w:rPr>
          <w:sz w:val="20"/>
        </w:rPr>
        <w:t>Reimbursement rate: Age-based rate degradation rules (e.g. “Dès 8 ans 70%”) may be applied differently by the system and NSA.</w:t>
      </w:r>
    </w:p>
    <w:p>
      <w:r>
        <w:br w:type="page"/>
      </w:r>
    </w:p>
    <w:p>
      <w:pPr>
        <w:pStyle w:val="Heading1"/>
      </w:pPr>
      <w:r>
        <w:t>5. Correctly Processed Claims</w:t>
      </w:r>
    </w:p>
    <w:p>
      <w:pPr>
        <w:spacing w:after="120"/>
      </w:pPr>
      <w:r>
        <w:rPr>
          <w:sz w:val="20"/>
        </w:rPr>
        <w:t>The system correctly decided 23 of 30 claims. Of the 15 denied claims in the ground truth, 12 were correctly identified with matching denial reasons (component not covered, wear parts excluded, mileage exceedance, etc.). Of the 15 approved claims, 11 were correctly approved.</w:t>
      </w:r>
    </w:p>
    <w:tbl>
      <w:tblPr>
        <w:tblStyle w:val="TableGrid"/>
        <w:tblW w:type="auto" w:w="0"/>
        <w:jc w:val="center"/>
        <w:tblLook w:firstColumn="1" w:firstRow="1" w:lastColumn="0" w:lastRow="0" w:noHBand="0" w:noVBand="1" w:val="04A0"/>
      </w:tblPr>
      <w:tblGrid>
        <w:gridCol w:w="4703"/>
        <w:gridCol w:w="4703"/>
      </w:tblGrid>
      <w:tr>
        <w:tc>
          <w:tcPr>
            <w:tcW w:type="dxa" w:w="3402"/>
            <w:shd w:fill="E8EDF2" w:val="clear"/>
          </w:tcPr>
          <w:p>
            <w:r/>
            <w:r>
              <w:rPr>
                <w:b/>
                <w:sz w:val="18"/>
              </w:rPr>
              <w:t>Correct Denials (12/15)</w:t>
            </w:r>
          </w:p>
        </w:tc>
        <w:tc>
          <w:tcPr>
            <w:tcW w:type="dxa" w:w="6236"/>
          </w:tcPr>
          <w:p>
            <w:r/>
            <w:r>
              <w:rPr>
                <w:sz w:val="18"/>
              </w:rPr>
              <w:t>64808, 64822, 64843, 64844, 64862, 64867, 64870, 64871, 64880, 64883, 64896, 64945</w:t>
            </w:r>
          </w:p>
        </w:tc>
      </w:tr>
      <w:tr>
        <w:tc>
          <w:tcPr>
            <w:tcW w:type="dxa" w:w="3402"/>
            <w:shd w:fill="E8EDF2" w:val="clear"/>
          </w:tcPr>
          <w:p>
            <w:r/>
            <w:r>
              <w:rPr>
                <w:b/>
                <w:sz w:val="18"/>
              </w:rPr>
              <w:t>Correct Approvals (11/15)</w:t>
            </w:r>
          </w:p>
        </w:tc>
        <w:tc>
          <w:tcPr>
            <w:tcW w:type="dxa" w:w="6236"/>
            <w:shd w:fill="F9F9F9" w:val="clear"/>
          </w:tcPr>
          <w:p>
            <w:r/>
            <w:r>
              <w:rPr>
                <w:sz w:val="18"/>
              </w:rPr>
              <w:t>64687, 64823, 64873, 64942, 65010, 65037, 65044, 65316, 65318, 65345, 65356</w:t>
            </w:r>
          </w:p>
        </w:tc>
      </w:tr>
      <w:tr>
        <w:tc>
          <w:tcPr>
            <w:tcW w:type="dxa" w:w="3402"/>
            <w:shd w:fill="E8EDF2" w:val="clear"/>
          </w:tcPr>
          <w:p>
            <w:r/>
            <w:r>
              <w:rPr>
                <w:b/>
                <w:sz w:val="18"/>
              </w:rPr>
              <w:t>Approvals Within 5% Tolerance (3/11)</w:t>
            </w:r>
          </w:p>
        </w:tc>
        <w:tc>
          <w:tcPr>
            <w:tcW w:type="dxa" w:w="6236"/>
          </w:tcPr>
          <w:p>
            <w:r/>
            <w:r>
              <w:rPr>
                <w:sz w:val="18"/>
              </w:rPr>
              <w:t>64823, 65037, 65318</w:t>
            </w:r>
          </w:p>
        </w:tc>
      </w:tr>
    </w:tbl>
    <w:p>
      <w:r>
        <w:br w:type="page"/>
      </w:r>
    </w:p>
    <w:p>
      <w:pPr>
        <w:pStyle w:val="Heading1"/>
      </w:pPr>
      <w:r>
        <w:t>6. Recommended Next Steps</w:t>
      </w:r>
    </w:p>
    <w:p>
      <w:pPr>
        <w:pStyle w:val="Heading2"/>
      </w:pPr>
      <w:r>
        <w:t>High Priority</w:t>
      </w:r>
    </w:p>
    <w:p>
      <w:r>
        <w:rPr>
          <w:b/>
          <w:sz w:val="20"/>
        </w:rPr>
        <w:t xml:space="preserve">1. Excluded-component screening check. </w:t>
      </w:r>
      <w:r>
        <w:rPr>
          <w:sz w:val="20"/>
        </w:rPr>
        <w:t>When the highest-value line item is an explicitly excluded component, the system should reject the claim. The excluded-components data is already extracted from the guarantee document — it needs to be incorporated into the decision logic. (Fixes claim 64827; prevents similar false approvals.)</w:t>
      </w:r>
    </w:p>
    <w:p>
      <w:r>
        <w:rPr>
          <w:b/>
          <w:sz w:val="20"/>
        </w:rPr>
        <w:t xml:space="preserve">2. Parts-database integration. </w:t>
      </w:r>
      <w:r>
        <w:rPr>
          <w:sz w:val="20"/>
        </w:rPr>
        <w:t>The part-number lookup for A205 906 41 04 failed despite the part being present in the database. Debugging this normalisation issue is the single highest-impact fix: one correct match would cascade into correct labour promotion, correct primary-repair selection, and a correct approval. In production, a live parts-lookup service will replace the simulated database. (Fixes claim 64868.)</w:t>
      </w:r>
    </w:p>
    <w:p>
      <w:pPr>
        <w:pStyle w:val="Heading2"/>
      </w:pPr>
      <w:r>
        <w:t>Medium Priority</w:t>
      </w:r>
    </w:p>
    <w:p>
      <w:r>
        <w:rPr>
          <w:b/>
          <w:sz w:val="20"/>
        </w:rPr>
        <w:t xml:space="preserve">3. Exhaust sub-component coverage. </w:t>
      </w:r>
      <w:r>
        <w:rPr>
          <w:sz w:val="20"/>
        </w:rPr>
        <w:t>Add Partikelsensor / DPF-Sensor to the exhaust category’s covered components to align with NSA’s broader interpretation. (Fixes claim 65352.)</w:t>
      </w:r>
    </w:p>
    <w:p>
      <w:r>
        <w:rPr>
          <w:b/>
          <w:sz w:val="20"/>
        </w:rPr>
        <w:t xml:space="preserve">4. VIN source attribution. </w:t>
      </w:r>
      <w:r>
        <w:rPr>
          <w:sz w:val="20"/>
        </w:rPr>
        <w:t>Weight VINs from primary documents (guarantee, cost estimate) higher than those from ancillary documents. (Partially fixes claim 64846.)</w:t>
      </w:r>
    </w:p>
    <w:p>
      <w:r>
        <w:rPr>
          <w:b/>
          <w:sz w:val="20"/>
        </w:rPr>
        <w:t xml:space="preserve">5. Deductible formula alignment. </w:t>
      </w:r>
      <w:r>
        <w:rPr>
          <w:sz w:val="20"/>
        </w:rPr>
        <w:t>Investigate whether the deductible base should be calculated before or after rate reduction, and before or after VAT, to improve payout accuracy across multiple claims.</w:t>
      </w:r>
    </w:p>
    <w:p>
      <w:pPr>
        <w:pStyle w:val="Heading2"/>
      </w:pPr>
      <w:r>
        <w:t>Planned Integrations</w:t>
      </w:r>
    </w:p>
    <w:p>
      <w:r>
        <w:rPr>
          <w:b/>
          <w:sz w:val="20"/>
        </w:rPr>
        <w:t xml:space="preserve">6. Policy payment-status service. </w:t>
      </w:r>
      <w:r>
        <w:rPr>
          <w:sz w:val="20"/>
        </w:rPr>
        <w:t>A real-time service confirming premium payment status would allow the system to detect non-payment lapses and issue automatic denials. (Would fix claim 64877.)</w:t>
      </w:r>
    </w:p>
    <w:p>
      <w:r>
        <w:rPr>
          <w:b/>
          <w:sz w:val="20"/>
        </w:rPr>
        <w:t xml:space="preserve">7. Policy management system integration. </w:t>
      </w:r>
      <w:r>
        <w:rPr>
          <w:sz w:val="20"/>
        </w:rPr>
        <w:t>Access to current policy status (including renewals) would resolve cases where the claim file lacks a renewal document. (Would fix claim 64887.)</w:t>
      </w:r>
    </w:p>
    <w:p>
      <w:pPr>
        <w:pStyle w:val="Heading2"/>
      </w:pPr>
      <w:r>
        <w:t>Not Fixable by the System</w:t>
      </w:r>
    </w:p>
    <w:p>
      <w:pPr>
        <w:spacing w:after="120"/>
      </w:pPr>
      <w:r>
        <w:rPr>
          <w:sz w:val="20"/>
        </w:rPr>
        <w:t>Claim 64943 (causal exclusion reasoning) requires understanding failure chains across components — a capability beyond the current pipeline. This type of claim requires expert human judgement.</w:t>
      </w:r>
    </w:p>
    <w:sectPr w:rsidR="00FC693F" w:rsidRPr="0006063C" w:rsidSect="00034616">
      <w:headerReference w:type="default" r:id="rId9"/>
      <w:footerReference w:type="default" r:id="rId1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ContextBuilder — Holdout Evaluation Report v2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99999"/>
        <w:sz w:val="16"/>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