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Answers to the questions:</w:t>
      </w:r>
    </w:p>
    <w:p w:rsidR="00000000" w:rsidDel="00000000" w:rsidP="00000000" w:rsidRDefault="00000000" w:rsidRPr="00000000" w14:paraId="0000000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Can you smooth out the regime switches by adding a moving average?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now, the data is already smoothed by a 3-month moving average. Our goal is then to change the length of the rolling window (2,4, 5, 6, … months) to see which one performs better.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At what moving average does the strategy have the best Sharpe Ratio?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1410"/>
        <w:gridCol w:w="1410"/>
        <w:gridCol w:w="1410"/>
        <w:gridCol w:w="1410"/>
        <w:gridCol w:w="1410"/>
        <w:tblGridChange w:id="0">
          <w:tblGrid>
            <w:gridCol w:w="1590"/>
            <w:gridCol w:w="1410"/>
            <w:gridCol w:w="1410"/>
            <w:gridCol w:w="1410"/>
            <w:gridCol w:w="1410"/>
            <w:gridCol w:w="1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Moving Avg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4-month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5-month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6-month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Sharpe Ratio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1.03</w:t>
            </w:r>
          </w:p>
        </w:tc>
      </w:tr>
    </w:tbl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obtain a decreasing trend in the Sharpe Ratio as the number of months increases. Thus, a 2-month rolling window for the moving average is the best choice.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you check how the strategy performed after December 1972?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strategy changes for 1972~2024 data: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1872~2024 Objective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1972~2024 Objective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maximize sharpe ratio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maximize sharpe ratio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minimize variance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minimize variance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maximize sharpe ratio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minimize variance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minimize variance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maximize sharpe ratio</w:t>
            </w:r>
          </w:p>
        </w:tc>
      </w:tr>
    </w:tbl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 that the number of regimes with max sharpe ratio and min variance as objectives does not have to be the same. (i.e., I can set the objective of all three regimes to be max sharpe ratio and one to be min variance, etc.)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Below is the comparison in sharpe ratio between 1872~2024 data and 1972~2024 data: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1872~2024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1972~2024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Sharpe Ratio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1.62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Conclusion: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change the moving average from a 3-month rolling window to a 2-month rolling window.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change the 1872~2024 data to 1973~2024.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Input data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G/I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Start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End 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1872-01-01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monthly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2024-09-01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S&amp;P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Growth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1871-01-01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monthly -&gt; daily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2024-10-29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Output data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Start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Frequency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End 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1793-01-01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monthly -&gt; daily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2024-09-24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1792-12-31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yearly -&gt; daily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2024-09-26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S&amp;P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1871-01-01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monthly -&gt; daily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2024-10-29</w:t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Pre-processing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Aligned the start and end dates to </w:t>
      </w:r>
      <w:r w:rsidDel="00000000" w:rsidR="00000000" w:rsidRPr="00000000">
        <w:rPr>
          <w:u w:val="single"/>
          <w:rtl w:val="0"/>
        </w:rPr>
        <w:t xml:space="preserve">1973-01-01</w:t>
      </w:r>
      <w:r w:rsidDel="00000000" w:rsidR="00000000" w:rsidRPr="00000000">
        <w:rPr>
          <w:rtl w:val="0"/>
        </w:rPr>
        <w:t xml:space="preserve"> ~ 2024-09-01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Get the monthly data (first day of each month)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Calculate </w:t>
      </w:r>
      <w:r w:rsidDel="00000000" w:rsidR="00000000" w:rsidRPr="00000000">
        <w:rPr>
          <w:u w:val="single"/>
          <w:rtl w:val="0"/>
        </w:rPr>
        <w:t xml:space="preserve">2-months</w:t>
      </w:r>
      <w:r w:rsidDel="00000000" w:rsidR="00000000" w:rsidRPr="00000000">
        <w:rPr>
          <w:rtl w:val="0"/>
        </w:rPr>
        <w:t xml:space="preserve"> simple moving average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Calculate first derivative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Define Regimes based on</w:t>
      </w:r>
    </w:p>
    <w:tbl>
      <w:tblPr>
        <w:tblStyle w:val="Table6"/>
        <w:tblW w:w="9060.000000000002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2.0000000000002"/>
        <w:gridCol w:w="1812.0000000000002"/>
        <w:gridCol w:w="1812.0000000000002"/>
        <w:gridCol w:w="1812.0000000000002"/>
        <w:gridCol w:w="1812.0000000000002"/>
        <w:tblGridChange w:id="0">
          <w:tblGrid>
            <w:gridCol w:w="1812.0000000000002"/>
            <w:gridCol w:w="1812.0000000000002"/>
            <w:gridCol w:w="1812.0000000000002"/>
            <w:gridCol w:w="1812.0000000000002"/>
            <w:gridCol w:w="1812.00000000000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Falling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&gt;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&lt;=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Falling</w:t>
            </w:r>
          </w:p>
        </w:tc>
      </w:tr>
    </w:tbl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Finalized data: </w:t>
      </w:r>
      <w:r w:rsidDel="00000000" w:rsidR="00000000" w:rsidRPr="00000000">
        <w:rPr>
          <w:u w:val="single"/>
          <w:rtl w:val="0"/>
        </w:rPr>
        <w:t xml:space="preserve">1973-01-01</w:t>
      </w:r>
      <w:r w:rsidDel="00000000" w:rsidR="00000000" w:rsidRPr="00000000">
        <w:rPr>
          <w:rtl w:val="0"/>
        </w:rPr>
        <w:t xml:space="preserve"> ~ 2024-09-01; monthly data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Visualization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When was which regime?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y-axis return; x-axis asset class plot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401835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01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Asset Performance Metrics per Regime</w:t>
      </w:r>
    </w:p>
    <w:tbl>
      <w:tblPr>
        <w:tblStyle w:val="Table7"/>
        <w:tblW w:w="4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95"/>
        <w:gridCol w:w="1080"/>
        <w:gridCol w:w="1080"/>
        <w:tblGridChange w:id="0">
          <w:tblGrid>
            <w:gridCol w:w="1095"/>
            <w:gridCol w:w="1095"/>
            <w:gridCol w:w="1080"/>
            <w:gridCol w:w="10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Average 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S&amp;P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769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1321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1437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724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1174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545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887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992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710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1135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1298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4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095"/>
        <w:gridCol w:w="1095"/>
        <w:gridCol w:w="1095"/>
        <w:tblGridChange w:id="0">
          <w:tblGrid>
            <w:gridCol w:w="1095"/>
            <w:gridCol w:w="1095"/>
            <w:gridCol w:w="1095"/>
            <w:gridCol w:w="10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Volatility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S&amp;P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578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1281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1149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1257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1046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486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993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540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1040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44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110"/>
        <w:gridCol w:w="1095"/>
        <w:gridCol w:w="1095"/>
        <w:tblGridChange w:id="0">
          <w:tblGrid>
            <w:gridCol w:w="1110"/>
            <w:gridCol w:w="1110"/>
            <w:gridCol w:w="1095"/>
            <w:gridCol w:w="10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Sharpe Ratio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S&amp;P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1.33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1.25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1.23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0.93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1.20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0.85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1.31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1.02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1.25</w:t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44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125"/>
        <w:gridCol w:w="1080"/>
        <w:gridCol w:w="1065"/>
        <w:tblGridChange w:id="0">
          <w:tblGrid>
            <w:gridCol w:w="1155"/>
            <w:gridCol w:w="1125"/>
            <w:gridCol w:w="1080"/>
            <w:gridCol w:w="10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 Drawdown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S&amp;P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-0.17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Portfolios Optimization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Strategy: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Based on the performance above, Regime 1,4 have higher sharpe ratios, Regime 3 have lower returns, and Regime 2 has high volatility but medium returns, so our objective for each regime is:</w:t>
      </w:r>
    </w:p>
    <w:tbl>
      <w:tblPr>
        <w:tblStyle w:val="Table11"/>
        <w:tblW w:w="4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2895"/>
        <w:tblGridChange w:id="0">
          <w:tblGrid>
            <w:gridCol w:w="1485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Objective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maximize Sharpe ratio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minimize variance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minimize variance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maximize Sharpe ratio</w:t>
            </w:r>
          </w:p>
        </w:tc>
      </w:tr>
    </w:tbl>
    <w:p w:rsidR="00000000" w:rsidDel="00000000" w:rsidP="00000000" w:rsidRDefault="00000000" w:rsidRPr="00000000" w14:paraId="0000010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Dynamic Portfolio Weights for each Regime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S&amp;P 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30.33%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23.02%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46.65%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1.75%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20.05%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78.20%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24.52%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75.48%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8.71%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3.46%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87.83%</w:t>
            </w:r>
          </w:p>
        </w:tc>
      </w:tr>
    </w:tbl>
    <w:p w:rsidR="00000000" w:rsidDel="00000000" w:rsidP="00000000" w:rsidRDefault="00000000" w:rsidRPr="00000000" w14:paraId="0000011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Comparison between Benchmark (S&amp;P 500) and Dynamic Portfolio Optimization</w:t>
      </w:r>
    </w:p>
    <w:tbl>
      <w:tblPr>
        <w:tblStyle w:val="Table13"/>
        <w:tblW w:w="72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385"/>
        <w:gridCol w:w="2730"/>
        <w:tblGridChange w:id="0">
          <w:tblGrid>
            <w:gridCol w:w="2115"/>
            <w:gridCol w:w="2385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Benchmark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Regime-Based Portfolio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Annual Volatility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15.88%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17.44%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Sharpe Ratio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1.62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Sortino Ratio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3.82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Max Drawdown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-54.70%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-35.35%</w:t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5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745"/>
        <w:tblGridChange w:id="0">
          <w:tblGrid>
            <w:gridCol w:w="276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Portfolio vs Benchmark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Annual Excess Return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21.33%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Tracking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23.60%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Information Ratio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0.90</w:t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Limitations &amp; Recommendations: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Data:</w:t>
      </w:r>
    </w:p>
    <w:p w:rsidR="00000000" w:rsidDel="00000000" w:rsidP="00000000" w:rsidRDefault="00000000" w:rsidRPr="00000000" w14:paraId="0000014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used monthly data rather then daily data, which loses some of the information</w:t>
      </w:r>
    </w:p>
    <w:p w:rsidR="00000000" w:rsidDel="00000000" w:rsidP="00000000" w:rsidRDefault="00000000" w:rsidRPr="00000000" w14:paraId="0000014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change to the daily data in the future</w:t>
      </w:r>
    </w:p>
    <w:p w:rsidR="00000000" w:rsidDel="00000000" w:rsidP="00000000" w:rsidRDefault="00000000" w:rsidRPr="00000000" w14:paraId="0000014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only S&amp;P 500 and inflation data, cannot reflect the real market</w:t>
      </w:r>
    </w:p>
    <w:p w:rsidR="00000000" w:rsidDel="00000000" w:rsidP="00000000" w:rsidRDefault="00000000" w:rsidRPr="00000000" w14:paraId="0000014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add other inputs in the future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Method: (the model)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set objective function but have no constraints</w:t>
      </w:r>
    </w:p>
    <w:p w:rsidR="00000000" w:rsidDel="00000000" w:rsidP="00000000" w:rsidRDefault="00000000" w:rsidRPr="00000000" w14:paraId="0000014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add constraints to the model according to investors’ ideas</w:t>
      </w:r>
    </w:p>
    <w:p w:rsidR="00000000" w:rsidDel="00000000" w:rsidP="00000000" w:rsidRDefault="00000000" w:rsidRPr="00000000" w14:paraId="0000014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prior knowledge needed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Financial concepts: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model is only an ideal case; according to the "when was which regime" graph, regime-switching was very frequent, which means that high-frequency trading is required to achieve the desired return</w:t>
      </w:r>
    </w:p>
    <w:p w:rsidR="00000000" w:rsidDel="00000000" w:rsidP="00000000" w:rsidRDefault="00000000" w:rsidRPr="00000000" w14:paraId="0000014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however, in the real world, one also needs to be aware of trading transaction fees and other potential charges (?)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We first defined four regimes based on the rising/falling of growth and inflation. Then, based on the asset performance for each regime, we set objectives separately for each regime. Finally, using a dynamic strategy, we had an optimization model. By comparison with the benchmark, our model performs better in every indicator.</w:t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