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5.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 do two recorders hear the same community, and does it differ between forest and pasture?</w:t>
      </w:r>
    </w:p>
    <w:p>
      <w:pPr>
        <w:pStyle w:val="Subtitle"/>
      </w:pPr>
      <w:r>
        <w:t xml:space="preserve">Recorder spacing and soundscape distance-decay · Tandayapa Cloud Forest Station, Ecuador · AudioMoth passive acoustic monitoring</w:t>
      </w:r>
    </w:p>
    <w:p>
      <w:pPr>
        <w:pStyle w:val="Author"/>
      </w:pPr>
      <w:r>
        <w:t xml:space="preserve">Franz Chandi, Maria Andrade, Priscila Cajas, Noemi Castro</w:t>
      </w:r>
    </w:p>
    <w:p>
      <w:pPr>
        <w:pStyle w:val="Date"/>
      </w:pPr>
      <w:r>
        <w:t xml:space="preserve">11 junio 2026</w:t>
      </w:r>
    </w:p>
    <w:bookmarkStart w:id="20" w:name="introduction"/>
    <w:p>
      <w:pPr>
        <w:pStyle w:val="Heading1"/>
      </w:pPr>
      <w:r>
        <w:t xml:space="preserve">Introduction</w:t>
      </w:r>
    </w:p>
    <w:p>
      <w:pPr>
        <w:pStyle w:val="FirstParagraph"/>
      </w:pPr>
      <w:r>
        <w:t xml:space="preserve">Tropical montane cloud forests are among the most biodiverse ecosystems on Earth, with high richness</w:t>
      </w:r>
      <w:r>
        <w:t xml:space="preserve"> </w:t>
      </w:r>
      <w:r>
        <w:t xml:space="preserve">and endemism (Bruijnzeel et al., 2011); Ecuador’s Chocó Andino is a global biodiversity hotspot, now a</w:t>
      </w:r>
      <w:r>
        <w:t xml:space="preserve"> </w:t>
      </w:r>
      <w:r>
        <w:t xml:space="preserve">mosaic of forest remnants and human-modified habitats such as pasture (UNESCO, 2024). Soundscape</w:t>
      </w:r>
      <w:r>
        <w:t xml:space="preserve"> </w:t>
      </w:r>
      <w:r>
        <w:t xml:space="preserve">ecology holds that the sounds of an environment carry information about its biological communities and</w:t>
      </w:r>
      <w:r>
        <w:t xml:space="preserve"> </w:t>
      </w:r>
      <w:r>
        <w:t xml:space="preserve">ecological processes (Pijanowski et al., 2011; Farina, 2014), and passive acoustic monitoring (PAM) is</w:t>
      </w:r>
      <w:r>
        <w:t xml:space="preserve"> </w:t>
      </w:r>
      <w:r>
        <w:t xml:space="preserve">now widely used to track biodiversity across space and time (Shonfield &amp; Bayne, 2017; Sugai et al.,</w:t>
      </w:r>
      <w:r>
        <w:t xml:space="preserve"> </w:t>
      </w:r>
      <w:r>
        <w:t xml:space="preserve">2019).</w:t>
      </w:r>
      <w:r>
        <w:t xml:space="preserve"> </w:t>
      </w:r>
      <w:r>
        <w:rPr>
          <w:b/>
          <w:bCs/>
        </w:rPr>
        <w:t xml:space="preserve">Acoustic indices</w:t>
      </w:r>
      <w:r>
        <w:t xml:space="preserve"> </w:t>
      </w:r>
      <w:r>
        <w:t xml:space="preserve">such as the Acoustic Complexity Index (ACI), Bioacoustic Index (BI) and</w:t>
      </w:r>
      <w:r>
        <w:t xml:space="preserve"> </w:t>
      </w:r>
      <w:r>
        <w:t xml:space="preserve">Acoustic Diversity Index (ADI) summarise soundscape structure and allow comparisons among habitats and</w:t>
      </w:r>
      <w:r>
        <w:t xml:space="preserve"> </w:t>
      </w:r>
      <w:r>
        <w:t xml:space="preserve">conditions (Sueur et al., 2014; Metcalf et al., 2021).</w:t>
      </w:r>
    </w:p>
    <w:p>
      <w:pPr>
        <w:pStyle w:val="BodyText"/>
      </w:pPr>
      <w:r>
        <w:t xml:space="preserve">A recorder samples only a portion of the surrounding soundscape, and how large that portion is depends</w:t>
      </w:r>
      <w:r>
        <w:t xml:space="preserve"> </w:t>
      </w:r>
      <w:r>
        <w:t xml:space="preserve">on sound propagation and detectability, which vary with call frequency, noise, weather and habitat</w:t>
      </w:r>
      <w:r>
        <w:t xml:space="preserve"> </w:t>
      </w:r>
      <w:r>
        <w:t xml:space="preserve">structure (Haupert et al., 2023; Winiarska et al., 2024). Recorders placed close together may</w:t>
      </w:r>
      <w:r>
        <w:t xml:space="preserve"> </w:t>
      </w:r>
      <w:r>
        <w:t xml:space="preserve">repeatedly detect the same sources, while recorders far apart sample different parts of the soundscape,</w:t>
      </w:r>
      <w:r>
        <w:t xml:space="preserve"> </w:t>
      </w:r>
      <w:r>
        <w:t xml:space="preserve">so the distance at which recordings begin to diverge is central to designing representative monitoring</w:t>
      </w:r>
      <w:r>
        <w:t xml:space="preserve"> </w:t>
      </w:r>
      <w:r>
        <w:t xml:space="preserve">and remains poorly known in tropical montane systems (Sugai et al., 2019). Habitat structure should</w:t>
      </w:r>
      <w:r>
        <w:t xml:space="preserve"> </w:t>
      </w:r>
      <w:r>
        <w:t xml:space="preserve">modulate this: the</w:t>
      </w:r>
      <w:r>
        <w:t xml:space="preserve"> </w:t>
      </w:r>
      <w:r>
        <w:rPr>
          <w:b/>
          <w:bCs/>
        </w:rPr>
        <w:t xml:space="preserve">acoustic adaptation hypothesis</w:t>
      </w:r>
      <w:r>
        <w:t xml:space="preserve"> </w:t>
      </w:r>
      <w:r>
        <w:t xml:space="preserve">holds that habitat physically shapes how signals</w:t>
      </w:r>
      <w:r>
        <w:t xml:space="preserve"> </w:t>
      </w:r>
      <w:r>
        <w:t xml:space="preserve">propagate (Morton, 1975), and forest vegetation absorbs and scatters sound, shortening detection</w:t>
      </w:r>
      <w:r>
        <w:t xml:space="preserve"> </w:t>
      </w:r>
      <w:r>
        <w:t xml:space="preserve">distances relative to open habitat (Entling et al., 2025).</w:t>
      </w:r>
    </w:p>
    <w:p>
      <w:pPr>
        <w:pStyle w:val="BodyText"/>
      </w:pPr>
      <w:r>
        <w:t xml:space="preserve">We therefore ask:</w:t>
      </w:r>
      <w:r>
        <w:t xml:space="preserve"> </w:t>
      </w:r>
      <w:r>
        <w:rPr>
          <w:b/>
          <w:bCs/>
        </w:rPr>
        <w:t xml:space="preserve">at what distance do two AudioMoth recorders begin to capture different acoustic</w:t>
      </w:r>
      <w:r>
        <w:rPr>
          <w:b/>
          <w:bCs/>
        </w:rPr>
        <w:t xml:space="preserve"> </w:t>
      </w:r>
      <w:r>
        <w:rPr>
          <w:b/>
          <w:bCs/>
        </w:rPr>
        <w:t xml:space="preserve">information, and does this distance differ between forest and pasture?</w:t>
      </w:r>
      <w:r>
        <w:t xml:space="preserve"> </w:t>
      </w:r>
      <w:r>
        <w:t xml:space="preserve">We measure acoustic difference</w:t>
      </w:r>
      <w:r>
        <w:t xml:space="preserve"> </w:t>
      </w:r>
      <w:r>
        <w:t xml:space="preserve">primarily with the indices (ACI, BI, ADI) and complement them with the species community recovered by</w:t>
      </w:r>
      <w:r>
        <w:t xml:space="preserve"> </w:t>
      </w:r>
      <w:r>
        <w:t xml:space="preserve">an automated classifier (BirdNET), to test whether the cheap indices capture the same spatial structure</w:t>
      </w:r>
      <w:r>
        <w:t xml:space="preserve"> </w:t>
      </w:r>
      <w:r>
        <w:t xml:space="preserve">as species turnover. We hypothesise that</w:t>
      </w:r>
      <w:r>
        <w:t xml:space="preserve"> </w:t>
      </w:r>
      <w:r>
        <w:rPr>
          <w:b/>
          <w:bCs/>
        </w:rPr>
        <w:t xml:space="preserve">(H1)</w:t>
      </w:r>
      <w:r>
        <w:t xml:space="preserve"> </w:t>
      </w:r>
      <w:r>
        <w:t xml:space="preserve">acoustic difference increases with inter-recorder</w:t>
      </w:r>
      <w:r>
        <w:t xml:space="preserve"> </w:t>
      </w:r>
      <w:r>
        <w:t xml:space="preserve">distance;</w:t>
      </w:r>
      <w:r>
        <w:t xml:space="preserve"> </w:t>
      </w:r>
      <w:r>
        <w:rPr>
          <w:b/>
          <w:bCs/>
        </w:rPr>
        <w:t xml:space="preserve">(H2)</w:t>
      </w:r>
      <w:r>
        <w:t xml:space="preserve"> </w:t>
      </w:r>
      <w:r>
        <w:t xml:space="preserve">the increase is steeper (a larger slope) in forest than pasture, because dense</w:t>
      </w:r>
      <w:r>
        <w:t xml:space="preserve"> </w:t>
      </w:r>
      <w:r>
        <w:t xml:space="preserve">vegetation attenuates sound more strongly; and</w:t>
      </w:r>
      <w:r>
        <w:t xml:space="preserve"> </w:t>
      </w:r>
      <w:r>
        <w:rPr>
          <w:b/>
          <w:bCs/>
        </w:rPr>
        <w:t xml:space="preserve">(H3)</w:t>
      </w:r>
      <w:r>
        <w:t xml:space="preserve"> </w:t>
      </w:r>
      <w:r>
        <w:t xml:space="preserve">differences are largest during periods of high</w:t>
      </w:r>
      <w:r>
        <w:t xml:space="preserve"> </w:t>
      </w:r>
      <w:r>
        <w:t xml:space="preserve">biological activity (the dawn/day chorus). Accordingly we predict that</w:t>
      </w:r>
      <w:r>
        <w:t xml:space="preserve"> </w:t>
      </w:r>
      <m:oMath>
        <m:r>
          <m:rPr>
            <m:sty m:val="p"/>
          </m:rPr>
          <m:t>|</m:t>
        </m:r>
        <m:r>
          <m:t>Δ</m:t>
        </m:r>
      </m:oMath>
      <w:r>
        <w:t xml:space="preserve">ACI</w:t>
      </w:r>
      <m:oMath>
        <m:r>
          <m:rPr>
            <m:sty m:val="p"/>
          </m:rPr>
          <m:t>|</m:t>
        </m:r>
      </m:oMath>
      <w:r>
        <w:t xml:space="preserve">,</w:t>
      </w:r>
      <w:r>
        <w:t xml:space="preserve"> </w:t>
      </w:r>
      <m:oMath>
        <m:r>
          <m:rPr>
            <m:sty m:val="p"/>
          </m:rPr>
          <m:t>|</m:t>
        </m:r>
        <m:r>
          <m:t>Δ</m:t>
        </m:r>
      </m:oMath>
      <w:r>
        <w:t xml:space="preserve">BI</w:t>
      </w:r>
      <m:oMath>
        <m:r>
          <m:rPr>
            <m:sty m:val="p"/>
          </m:rPr>
          <m:t>|</m:t>
        </m:r>
      </m:oMath>
      <w:r>
        <w:t xml:space="preserve"> </w:t>
      </w:r>
      <w:r>
        <w:t xml:space="preserve">and</w:t>
      </w:r>
      <w:r>
        <w:t xml:space="preserve"> </w:t>
      </w:r>
      <m:oMath>
        <m:r>
          <m:rPr>
            <m:sty m:val="p"/>
          </m:rPr>
          <m:t>|</m:t>
        </m:r>
        <m:r>
          <m:t>Δ</m:t>
        </m:r>
      </m:oMath>
      <w:r>
        <w:t xml:space="preserve">ADI</w:t>
      </w:r>
      <m:oMath>
        <m:r>
          <m:rPr>
            <m:sty m:val="p"/>
          </m:rPr>
          <m:t>|</m:t>
        </m:r>
      </m:oMath>
      <w:r>
        <w:t xml:space="preserve"> </w:t>
      </w:r>
      <w:r>
        <w:t xml:space="preserve">rise with distance, more so in forest, and that between-site differences peak during</w:t>
      </w:r>
      <w:r>
        <w:t xml:space="preserve"> </w:t>
      </w:r>
      <w:r>
        <w:t xml:space="preserve">the chorus.</w:t>
      </w:r>
    </w:p>
    <w:bookmarkEnd w:id="20"/>
    <w:bookmarkStart w:id="21" w:name="study-area"/>
    <w:p>
      <w:pPr>
        <w:pStyle w:val="Heading1"/>
      </w:pPr>
      <w:r>
        <w:t xml:space="preserve">Study area</w:t>
      </w:r>
    </w:p>
    <w:p>
      <w:pPr>
        <w:pStyle w:val="FirstParagraph"/>
      </w:pPr>
      <w:r>
        <w:t xml:space="preserve">The study was conducted at</w:t>
      </w:r>
      <w:r>
        <w:t xml:space="preserve"> </w:t>
      </w:r>
      <w:r>
        <w:rPr>
          <w:b/>
          <w:bCs/>
        </w:rPr>
        <w:t xml:space="preserve">Tandayapa Cloud Forest Station</w:t>
      </w:r>
      <w:r>
        <w:t xml:space="preserve">, Pichincha Province, Ecuador, within the</w:t>
      </w:r>
      <w:r>
        <w:t xml:space="preserve"> </w:t>
      </w:r>
      <w:r>
        <w:t xml:space="preserve">Chocó Andino Biosphere Reserve, on the western slope of the Andes (≈0.0117°, −78.6739°, ~1,680 m</w:t>
      </w:r>
      <w:r>
        <w:t xml:space="preserve"> </w:t>
      </w:r>
      <w:r>
        <w:t xml:space="preserve">a.s.l.). Two adjacent habitats were sampled:</w:t>
      </w:r>
      <w:r>
        <w:t xml:space="preserve"> </w:t>
      </w:r>
      <w:r>
        <w:rPr>
          <w:b/>
          <w:bCs/>
        </w:rPr>
        <w:t xml:space="preserve">forest</w:t>
      </w:r>
      <w:r>
        <w:t xml:space="preserve"> </w:t>
      </w:r>
      <w:r>
        <w:t xml:space="preserve">(secondary montane cloud forest, dense</w:t>
      </w:r>
      <w:r>
        <w:t xml:space="preserve"> </w:t>
      </w:r>
      <w:r>
        <w:t xml:space="preserve">vegetation with closed to semi-closed canopy, epiphytes, ferns and understory, which attenuates and</w:t>
      </w:r>
      <w:r>
        <w:t xml:space="preserve"> </w:t>
      </w:r>
      <w:r>
        <w:t xml:space="preserve">scatters sound) and</w:t>
      </w:r>
      <w:r>
        <w:t xml:space="preserve"> </w:t>
      </w:r>
      <w:r>
        <w:rPr>
          <w:b/>
          <w:bCs/>
        </w:rPr>
        <w:t xml:space="preserve">pasture</w:t>
      </w:r>
      <w:r>
        <w:t xml:space="preserve"> </w:t>
      </w:r>
      <w:r>
        <w:t xml:space="preserve">(open, dominated by non-native grasses with scattered unidentified</w:t>
      </w:r>
      <w:r>
        <w:t xml:space="preserve"> </w:t>
      </w:r>
      <w:r>
        <w:t xml:space="preserve">shrubs, more exposed to wind and environmental noise).</w:t>
      </w:r>
    </w:p>
    <w:bookmarkEnd w:id="21"/>
    <w:bookmarkStart w:id="22" w:name="experimental-design"/>
    <w:p>
      <w:pPr>
        <w:pStyle w:val="Heading1"/>
      </w:pPr>
      <w:r>
        <w:t xml:space="preserve">Experimental design</w:t>
      </w:r>
    </w:p>
    <w:p>
      <w:pPr>
        <w:pStyle w:val="FirstParagraph"/>
      </w:pPr>
      <w:r>
        <w:t xml:space="preserve">We deployed AudioMoth recorders on short linear transects</w:t>
      </w:r>
      <w:r>
        <w:t xml:space="preserve"> </w:t>
      </w:r>
      <w:r>
        <w:rPr>
          <w:b/>
          <w:bCs/>
        </w:rPr>
        <w:t xml:space="preserve">20 m inside the edge</w:t>
      </w:r>
      <w:r>
        <w:t xml:space="preserve"> </w:t>
      </w:r>
      <w:r>
        <w:t xml:space="preserve">of each habitat, at</w:t>
      </w:r>
      <w:r>
        <w:t xml:space="preserve"> </w:t>
      </w:r>
      <w:r>
        <w:rPr>
          <w:b/>
          <w:bCs/>
        </w:rPr>
        <w:t xml:space="preserve">1.5 m height</w:t>
      </w:r>
      <w:r>
        <w:t xml:space="preserve">, facing downslope, with the same protocol in both habitats and each point marked with</w:t>
      </w:r>
      <w:r>
        <w:t xml:space="preserve"> </w:t>
      </w:r>
      <w:r>
        <w:t xml:space="preserve">flagging tape. Each transect held</w:t>
      </w:r>
      <w:r>
        <w:t xml:space="preserve"> </w:t>
      </w:r>
      <w:r>
        <w:rPr>
          <w:b/>
          <w:bCs/>
        </w:rPr>
        <w:t xml:space="preserve">three recorders</w:t>
      </w:r>
      <w:r>
        <w:t xml:space="preserve"> </w:t>
      </w:r>
      <w:r>
        <w:t xml:space="preserve">at points 1–2–3. The</w:t>
      </w:r>
      <w:r>
        <w:t xml:space="preserve"> </w:t>
      </w:r>
      <w:r>
        <w:rPr>
          <w:b/>
          <w:bCs/>
        </w:rPr>
        <w:t xml:space="preserve">spacing was changed</w:t>
      </w:r>
      <w:r>
        <w:rPr>
          <w:b/>
          <w:bCs/>
        </w:rPr>
        <w:t xml:space="preserve"> </w:t>
      </w:r>
      <w:r>
        <w:rPr>
          <w:b/>
          <w:bCs/>
        </w:rPr>
        <w:t xml:space="preserve">between deployment days</w:t>
      </w:r>
      <w:r>
        <w:t xml:space="preserve">, sampling</w:t>
      </w:r>
      <w:r>
        <w:t xml:space="preserve"> </w:t>
      </w:r>
      <w:r>
        <w:rPr>
          <w:b/>
          <w:bCs/>
        </w:rPr>
        <w:t xml:space="preserve">15, 30 and 60 m</w:t>
      </w:r>
      <w:r>
        <w:t xml:space="preserve">, and each spacing was deployed on</w:t>
      </w:r>
      <w:r>
        <w:t xml:space="preserve"> </w:t>
      </w:r>
      <w:r>
        <w:rPr>
          <w:b/>
          <w:bCs/>
        </w:rPr>
        <w:t xml:space="preserve">two separate</w:t>
      </w:r>
      <w:r>
        <w:rPr>
          <w:b/>
          <w:bCs/>
        </w:rPr>
        <w:t xml:space="preserve"> </w:t>
      </w:r>
      <w:r>
        <w:rPr>
          <w:b/>
          <w:bCs/>
        </w:rPr>
        <w:t xml:space="preserve">days</w:t>
      </w:r>
      <w:r>
        <w:t xml:space="preserve"> </w:t>
      </w:r>
      <w:r>
        <w:t xml:space="preserve">(replicate blocks). Recorders were</w:t>
      </w:r>
      <w:r>
        <w:t xml:space="preserve"> </w:t>
      </w:r>
      <w:r>
        <w:rPr>
          <w:b/>
          <w:bCs/>
        </w:rPr>
        <w:t xml:space="preserve">swapped between positions</w:t>
      </w:r>
      <w:r>
        <w:t xml:space="preserve"> </w:t>
      </w:r>
      <w:r>
        <w:t xml:space="preserve">across days to reduce equipment</w:t>
      </w:r>
      <w:r>
        <w:t xml:space="preserve"> </w:t>
      </w:r>
      <w:r>
        <w:t xml:space="preserve">bias. Because each transect compares points 1–2 and 2–3 (one spacing apart) and 1–3 (two spacings</w:t>
      </w:r>
      <w:r>
        <w:t xml:space="preserve"> </w:t>
      </w:r>
      <w:r>
        <w:t xml:space="preserve">apart), the realised distances are 15, 30, 60 and 120 m; we</w:t>
      </w:r>
      <w:r>
        <w:t xml:space="preserve"> </w:t>
      </w:r>
      <w:r>
        <w:rPr>
          <w:b/>
          <w:bCs/>
        </w:rPr>
        <w:t xml:space="preserve">analyse pairs up to 60 m</w:t>
      </w:r>
      <w:r>
        <w:t xml:space="preserve"> </w:t>
      </w:r>
      <w:r>
        <w:t xml:space="preserve">and exclude the</w:t>
      </w:r>
      <w:r>
        <w:t xml:space="preserve"> </w:t>
      </w:r>
      <w:r>
        <w:t xml:space="preserve">single 120 m pair, which existed in pasture only, on one line, with no replicate (forest lost its 60 m</w:t>
      </w:r>
      <w:r>
        <w:t xml:space="preserve"> </w:t>
      </w:r>
      <w:r>
        <w:t xml:space="preserve">point-1 recorder). This keeps the forest–pasture comparison on the same 15–60 m range.</w:t>
      </w:r>
    </w:p>
    <w:p>
      <w:pPr>
        <w:pStyle w:val="BodyText"/>
      </w:pPr>
      <w:r>
        <w:t xml:space="preserve">Six deployment days were used (2–7 June 2026), with two days per spacing (15 m, 30 m, 60 m). Each day placed three recorders per habitat (forest and pasture), giving 6 recorders per day when all units worked. Recorders were swapped between positions across days to reduce equipment bias. Day 1 (2 June) used 15 m spacing with 2 forest and 3 pasture recorders; day 2 (3 June) used 30 m with 3 forest and 3 pasture; day 3 (4 June) used 60 m with 2 forest and 3 pasture; day 4 (5 June) used 15 m with 3 forest and 3 pasture; day 5 (6 June) used 30 m with 3 forest and 3 pasture; and day 6 (7 June) used 60 m with 2 forest and 3 pasture.</w:t>
      </w:r>
    </w:p>
    <w:bookmarkEnd w:id="22"/>
    <w:bookmarkStart w:id="24" w:name="data-collection"/>
    <w:p>
      <w:pPr>
        <w:pStyle w:val="Heading1"/>
      </w:pPr>
      <w:r>
        <w:t xml:space="preserve">Data collection</w:t>
      </w:r>
    </w:p>
    <w:p>
      <w:pPr>
        <w:pStyle w:val="FirstParagraph"/>
      </w:pPr>
      <w:r>
        <w:t xml:space="preserve">For analysis we used the window from</w:t>
      </w:r>
      <w:r>
        <w:t xml:space="preserve"> </w:t>
      </w:r>
      <w:r>
        <w:rPr>
          <w:b/>
          <w:bCs/>
        </w:rPr>
        <w:t xml:space="preserve">11:00 a.m. to 9:40 a.m. the next day</w:t>
      </w:r>
      <w:r>
        <w:t xml:space="preserve">, discarding the</w:t>
      </w:r>
      <w:r>
        <w:t xml:space="preserve"> </w:t>
      </w:r>
      <w:r>
        <w:t xml:space="preserve">surrounding period when recorders were placed, collected, and swapped between positions, so that</w:t>
      </w:r>
      <w:r>
        <w:t xml:space="preserve"> </w:t>
      </w:r>
      <w:r>
        <w:t xml:space="preserve">handling was not counted as data. Within this window each recorder took</w:t>
      </w:r>
      <w:r>
        <w:t xml:space="preserve"> </w:t>
      </w:r>
      <w:r>
        <w:rPr>
          <w:b/>
          <w:bCs/>
        </w:rPr>
        <w:t xml:space="preserve">three 2-minute recordings per</w:t>
      </w:r>
      <w:r>
        <w:rPr>
          <w:b/>
          <w:bCs/>
        </w:rPr>
        <w:t xml:space="preserve"> </w:t>
      </w:r>
      <w:r>
        <w:rPr>
          <w:b/>
          <w:bCs/>
        </w:rPr>
        <w:t xml:space="preserve">hour</w:t>
      </w:r>
      <w:r>
        <w:t xml:space="preserve"> </w:t>
      </w:r>
      <w:r>
        <w:t xml:space="preserve">(2 min on / 18 min off), six minutes of audio per hour, covering the full day–night cycle (Ross</w:t>
      </w:r>
      <w:r>
        <w:t xml:space="preserve"> </w:t>
      </w:r>
      <w:r>
        <w:t xml:space="preserve">et al., 2023). We also ran</w:t>
      </w:r>
      <w:r>
        <w:t xml:space="preserve"> </w:t>
      </w:r>
      <w:r>
        <w:rPr>
          <w:b/>
          <w:bCs/>
        </w:rPr>
        <w:t xml:space="preserve">two Kestrel DROP 2 dataloggers</w:t>
      </w:r>
      <w:r>
        <w:t xml:space="preserve"> </w:t>
      </w:r>
      <w:r>
        <w:t xml:space="preserve">(one per habitat) logging temperature and</w:t>
      </w:r>
      <w:r>
        <w:t xml:space="preserve"> </w:t>
      </w:r>
      <w:r>
        <w:t xml:space="preserve">humidity every 10 minutes. Acoustic indices were computed with</w:t>
      </w:r>
      <w:r>
        <w:t xml:space="preserve"> </w:t>
      </w:r>
      <w:r>
        <w:rPr>
          <w:b/>
          <w:bCs/>
        </w:rPr>
        <w:t xml:space="preserve">scikit-maad</w:t>
      </w:r>
      <w:r>
        <w:t xml:space="preserve"> </w:t>
      </w:r>
      <w:r>
        <w:t xml:space="preserve">(Ulloa et al., 2021), and</w:t>
      </w:r>
      <w:r>
        <w:t xml:space="preserve"> </w:t>
      </w:r>
      <w:r>
        <w:t xml:space="preserve">species detections with</w:t>
      </w:r>
      <w:r>
        <w:t xml:space="preserve"> </w:t>
      </w:r>
      <w:r>
        <w:rPr>
          <w:b/>
          <w:bCs/>
        </w:rPr>
        <w:t xml:space="preserve">BirdNET</w:t>
      </w:r>
      <w:r>
        <w:t xml:space="preserve"> </w:t>
      </w:r>
      <w:r>
        <w:t xml:space="preserve">(range-filtered; birds and insects) and a frog classifier (Kahl et</w:t>
      </w:r>
      <w:r>
        <w:t xml:space="preserve"> </w:t>
      </w:r>
      <w:r>
        <w:t xml:space="preserve">al., 2021), each verifiable by ear and spectrogram. Cleaned inputs are in</w:t>
      </w:r>
      <w:r>
        <w:t xml:space="preserve"> </w:t>
      </w:r>
      <w:r>
        <w:rPr>
          <w:rStyle w:val="VerbatimChar"/>
        </w:rPr>
        <w:t xml:space="preserve">data/processed/</w:t>
      </w:r>
      <w:r>
        <w:t xml:space="preserve">, so this</w:t>
      </w:r>
      <w:r>
        <w:t xml:space="preserve"> </w:t>
      </w:r>
      <w:r>
        <w:t xml:space="preserve">report is fully reproducible without the raw audio.</w:t>
      </w:r>
      <w:r>
        <w:t xml:space="preserve"> </w:t>
      </w:r>
      <w:r>
        <w:rPr>
          <w:b/>
          <w:bCs/>
        </w:rPr>
        <w:t xml:space="preserve">All code and data:</w:t>
      </w:r>
      <w:r>
        <w:t xml:space="preserve"> </w:t>
      </w:r>
      <w:hyperlink r:id="rId23">
        <w:r>
          <w:rPr>
            <w:rStyle w:val="Hyperlink"/>
          </w:rPr>
          <w:t xml:space="preserve">https://github.com/Fr4nzz/tandayapa-soundscape</w:t>
        </w:r>
      </w:hyperlink>
      <w:r>
        <w:t xml:space="preserve">.</w:t>
      </w:r>
    </w:p>
    <w:bookmarkEnd w:id="24"/>
    <w:bookmarkStart w:id="37" w:name="data-analysis"/>
    <w:p>
      <w:pPr>
        <w:pStyle w:val="Heading1"/>
      </w:pPr>
      <w:r>
        <w:t xml:space="preserve">Data analysis</w:t>
      </w:r>
    </w:p>
    <w:p>
      <w:pPr>
        <w:pStyle w:val="FirstParagraph"/>
      </w:pPr>
      <w:r>
        <w:t xml:space="preserve">We measure the acoustic difference between two recorders two ways. For the</w:t>
      </w:r>
      <w:r>
        <w:t xml:space="preserve"> </w:t>
      </w:r>
      <w:r>
        <w:rPr>
          <w:b/>
          <w:bCs/>
        </w:rPr>
        <w:t xml:space="preserve">indices</w:t>
      </w:r>
      <w:r>
        <w:t xml:space="preserve">, the response is</w:t>
      </w:r>
      <w:r>
        <w:t xml:space="preserve"> </w:t>
      </w:r>
      <w:r>
        <w:t xml:space="preserve">the absolute difference in each index,</w:t>
      </w:r>
      <w:r>
        <w:t xml:space="preserve"> </w:t>
      </w:r>
      <m:oMath>
        <m:r>
          <m:rPr>
            <m:sty m:val="p"/>
          </m:rPr>
          <m:t>|</m:t>
        </m:r>
        <m:r>
          <m:t>Δ</m:t>
        </m:r>
      </m:oMath>
      <w:r>
        <w:t xml:space="preserve">ACI</w:t>
      </w:r>
      <m:oMath>
        <m:r>
          <m:rPr>
            <m:sty m:val="p"/>
          </m:rPr>
          <m:t>|</m:t>
        </m:r>
      </m:oMath>
      <w:r>
        <w:t xml:space="preserve">,</w:t>
      </w:r>
      <w:r>
        <w:t xml:space="preserve"> </w:t>
      </w:r>
      <m:oMath>
        <m:r>
          <m:rPr>
            <m:sty m:val="p"/>
          </m:rPr>
          <m:t>|</m:t>
        </m:r>
        <m:r>
          <m:t>Δ</m:t>
        </m:r>
      </m:oMath>
      <w:r>
        <w:t xml:space="preserve">BI</w:t>
      </w:r>
      <m:oMath>
        <m:r>
          <m:rPr>
            <m:sty m:val="p"/>
          </m:rPr>
          <m:t>|</m:t>
        </m:r>
      </m:oMath>
      <w:r>
        <w:t xml:space="preserve">,</w:t>
      </w:r>
      <w:r>
        <w:t xml:space="preserve"> </w:t>
      </w:r>
      <m:oMath>
        <m:r>
          <m:rPr>
            <m:sty m:val="p"/>
          </m:rPr>
          <m:t>|</m:t>
        </m:r>
        <m:r>
          <m:t>Δ</m:t>
        </m:r>
      </m:oMath>
      <w:r>
        <w:t xml:space="preserve">ADI</w:t>
      </w:r>
      <m:oMath>
        <m:r>
          <m:rPr>
            <m:sty m:val="p"/>
          </m:rPr>
          <m:t>|</m:t>
        </m:r>
      </m:oMath>
      <w:r>
        <w:t xml:space="preserve">. For the</w:t>
      </w:r>
      <w:r>
        <w:t xml:space="preserve"> </w:t>
      </w:r>
      <w:r>
        <w:rPr>
          <w:b/>
          <w:bCs/>
        </w:rPr>
        <w:t xml:space="preserve">species community</w:t>
      </w:r>
      <w:r>
        <w:t xml:space="preserve"> </w:t>
      </w:r>
      <w:r>
        <w:t xml:space="preserve">(BirdNET birds, frogs, insects; three suspected false-positive frog taxa removed</w:t>
      </w:r>
      <w:r>
        <w:t xml:space="preserve"> </w:t>
      </w:r>
      <w:r>
        <w:t xml:space="preserve">after listening and checking spectrograms, kept at confidence ≥ 0.5), the response is the pairwise</w:t>
      </w:r>
      <w:r>
        <w:t xml:space="preserve"> </w:t>
      </w:r>
      <w:r>
        <w:rPr>
          <w:b/>
          <w:bCs/>
        </w:rPr>
        <w:t xml:space="preserve">Bray–Curtis</w:t>
      </w:r>
      <w:r>
        <w:t xml:space="preserve"> </w:t>
      </w:r>
      <w:r>
        <w:t xml:space="preserve">dissimilarity (activity-weighted, where activity = detection count, not true abundance)</w:t>
      </w:r>
      <w:r>
        <w:t xml:space="preserve"> </w:t>
      </w:r>
      <w:r>
        <w:t xml:space="preserve">or</w:t>
      </w:r>
      <w:r>
        <w:t xml:space="preserve"> </w:t>
      </w:r>
      <w:r>
        <w:rPr>
          <w:b/>
          <w:bCs/>
        </w:rPr>
        <w:t xml:space="preserve">Jaccard</w:t>
      </w:r>
      <w:r>
        <w:t xml:space="preserve"> </w:t>
      </w:r>
      <w:r>
        <w:t xml:space="preserve">dissimilarity (presence/absence). All effect sizes come from</w:t>
      </w:r>
      <w:r>
        <w:t xml:space="preserve"> </w:t>
      </w:r>
      <w:r>
        <w:rPr>
          <w:b/>
          <w:bCs/>
        </w:rPr>
        <w:t xml:space="preserve">linear mixed models</w:t>
      </w:r>
      <w:r>
        <w:t xml:space="preserve"> </w:t>
      </w:r>
      <w:r>
        <w:t xml:space="preserve">(</w:t>
      </w:r>
      <w:r>
        <w:rPr>
          <w:rStyle w:val="VerbatimChar"/>
        </w:rPr>
        <w:t xml:space="preserve">lme4</w:t>
      </w:r>
      <w:r>
        <w:t xml:space="preserve">/</w:t>
      </w:r>
      <w:r>
        <w:rPr>
          <w:rStyle w:val="VerbatimChar"/>
        </w:rPr>
        <w:t xml:space="preserve">lmerTest</w:t>
      </w:r>
      <w:r>
        <w:t xml:space="preserve">). We report</w:t>
      </w:r>
      <w:r>
        <w:t xml:space="preserve"> </w:t>
      </w:r>
      <w:r>
        <w:rPr>
          <w:b/>
          <w:bCs/>
        </w:rPr>
        <w:t xml:space="preserve">effect sizes (slopes with 95% confidence intervals)</w:t>
      </w:r>
      <w:r>
        <w:t xml:space="preserve"> </w:t>
      </w:r>
      <w:r>
        <w:t xml:space="preserve">rather than</w:t>
      </w:r>
      <w:r>
        <w:t xml:space="preserve"> </w:t>
      </w:r>
      <w:r>
        <w:t xml:space="preserve">p-values, because the size and direction of an effect are more informative than significance alone,</w:t>
      </w:r>
      <w:r>
        <w:t xml:space="preserve"> </w:t>
      </w:r>
      <w:r>
        <w:t xml:space="preserve">especially in a small study; a CI that excludes zero indicates an effect.</w:t>
      </w:r>
    </w:p>
    <w:p>
      <w:pPr>
        <w:pStyle w:val="BodyText"/>
      </w:pPr>
      <w:r>
        <w:t xml:space="preserve">Two complementary models are used. For</w:t>
      </w:r>
      <w:r>
        <w:t xml:space="preserve"> </w:t>
      </w:r>
      <w:r>
        <w:rPr>
          <w:b/>
          <w:bCs/>
        </w:rPr>
        <w:t xml:space="preserve">distance</w:t>
      </w:r>
      <w:r>
        <w:t xml:space="preserve">, we use one value per recorder pair so the</w:t>
      </w:r>
      <w:r>
        <w:t xml:space="preserve"> </w:t>
      </w:r>
      <w:r>
        <w:t xml:space="preserve">pair-level distance is tested cleanly:</w:t>
      </w:r>
    </w:p>
    <w:p>
      <w:pPr>
        <w:pStyle w:val="BodyText"/>
      </w:pPr>
      <m:oMathPara>
        <m:oMathParaPr>
          <m:jc m:val="center"/>
        </m:oMathParaPr>
        <m:oMath>
          <m:r>
            <m:rPr>
              <m:nor/>
              <m:sty m:val="p"/>
            </m:rPr>
            <m:t>Difference</m:t>
          </m:r>
          <m:r>
            <m:rPr>
              <m:sty m:val="p"/>
            </m:rPr>
            <m:t>∼</m:t>
          </m:r>
          <m:r>
            <m:rPr>
              <m:nor/>
              <m:sty m:val="p"/>
            </m:rPr>
            <m:t>Distance</m:t>
          </m:r>
          <m:r>
            <m:rPr>
              <m:sty m:val="p"/>
            </m:rPr>
            <m:t>×</m:t>
          </m:r>
          <m:r>
            <m:rPr>
              <m:nor/>
              <m:sty m:val="p"/>
            </m:rPr>
            <m:t>Habitat</m:t>
          </m:r>
          <m:r>
            <m:rPr>
              <m:sty m:val="p"/>
            </m:rPr>
            <m:t>+</m:t>
          </m:r>
          <m:d>
            <m:dPr>
              <m:begChr m:val="("/>
              <m:sepChr m:val=""/>
              <m:endChr m:val=")"/>
              <m:grow/>
            </m:dPr>
            <m:e>
              <m:r>
                <m:t>1</m:t>
              </m:r>
              <m:r>
                <m:rPr>
                  <m:sty m:val="p"/>
                </m:rPr>
                <m:t>∣</m:t>
              </m:r>
              <m:r>
                <m:rPr>
                  <m:nor/>
                  <m:sty m:val="p"/>
                </m:rPr>
                <m:t>day</m:t>
              </m:r>
            </m:e>
          </m:d>
        </m:oMath>
      </m:oMathPara>
    </w:p>
    <w:p>
      <w:pPr>
        <w:pStyle w:val="FirstParagraph"/>
      </w:pPr>
      <w:r>
        <w:rPr>
          <w:b/>
          <w:bCs/>
        </w:rPr>
        <w:t xml:space="preserve">Why the difference?</w:t>
      </w:r>
      <w:r>
        <w:t xml:space="preserve"> </w:t>
      </w:r>
      <w:r>
        <w:t xml:space="preserve">Distance is a property of a</w:t>
      </w:r>
      <w:r>
        <w:t xml:space="preserve"> </w:t>
      </w:r>
      <w:r>
        <w:rPr>
          <w:i/>
          <w:iCs/>
        </w:rPr>
        <w:t xml:space="preserve">pair</w:t>
      </w:r>
      <w:r>
        <w:t xml:space="preserve"> </w:t>
      </w:r>
      <w:r>
        <w:t xml:space="preserve">of recorders, not of a single recorder. A recorder at 15 m has no distance on its own; distance only exists when you compare two recorders. Therefore, a distance-decay model must use the pairwise difference between the two recordings, just as a Bray–Curtis or Jaccard dissimilarity is also computed pairwise. The raw indices</w:t>
      </w:r>
      <w:r>
        <w:t xml:space="preserve"> </w:t>
      </w:r>
      <w:r>
        <w:rPr>
          <w:i/>
          <w:iCs/>
        </w:rPr>
        <w:t xml:space="preserve">are</w:t>
      </w:r>
      <w:r>
        <w:t xml:space="preserve"> </w:t>
      </w:r>
      <w:r>
        <w:t xml:space="preserve">used, but in the complementary model that asks how the absolute level of each index changes with time of day and habitat, not with distance.</w:t>
      </w:r>
    </w:p>
    <w:p>
      <w:pPr>
        <w:pStyle w:val="BodyText"/>
      </w:pPr>
      <w:r>
        <w:t xml:space="preserve">For</w:t>
      </w:r>
      <w:r>
        <w:t xml:space="preserve"> </w:t>
      </w:r>
      <w:r>
        <w:rPr>
          <w:b/>
          <w:bCs/>
        </w:rPr>
        <w:t xml:space="preserve">time of day</w:t>
      </w:r>
      <w:r>
        <w:t xml:space="preserve">, we compute the difference per pair within each period (dawn, day, dusk, night) and</w:t>
      </w:r>
      <w:r>
        <w:t xml:space="preserve"> </w:t>
      </w:r>
      <w:r>
        <w:t xml:space="preserve">add the pair as a random effect, which is what makes time of day estimable within pairs:</w:t>
      </w:r>
    </w:p>
    <w:p>
      <w:pPr>
        <w:pStyle w:val="BodyText"/>
      </w:pPr>
      <m:oMathPara>
        <m:oMathParaPr>
          <m:jc m:val="center"/>
        </m:oMathParaPr>
        <m:oMath>
          <m:r>
            <m:rPr>
              <m:nor/>
              <m:sty m:val="p"/>
            </m:rPr>
            <m:t>Difference</m:t>
          </m:r>
          <m:r>
            <m:rPr>
              <m:sty m:val="p"/>
            </m:rPr>
            <m:t>∼</m:t>
          </m:r>
          <m:r>
            <m:rPr>
              <m:nor/>
              <m:sty m:val="p"/>
            </m:rPr>
            <m:t>Time of day</m:t>
          </m:r>
          <m:r>
            <m:rPr>
              <m:sty m:val="p"/>
            </m:rPr>
            <m:t>+</m:t>
          </m:r>
          <m:d>
            <m:dPr>
              <m:begChr m:val="("/>
              <m:sepChr m:val=""/>
              <m:endChr m:val=")"/>
              <m:grow/>
            </m:dPr>
            <m:e>
              <m:r>
                <m:t>1</m:t>
              </m:r>
              <m:r>
                <m:rPr>
                  <m:sty m:val="p"/>
                </m:rPr>
                <m:t>∣</m:t>
              </m:r>
              <m:r>
                <m:rPr>
                  <m:nor/>
                  <m:sty m:val="p"/>
                </m:rPr>
                <m:t>pair</m:t>
              </m:r>
            </m:e>
          </m:d>
          <m:r>
            <m:rPr>
              <m:sty m:val="p"/>
            </m:rPr>
            <m:t>+</m:t>
          </m:r>
          <m:d>
            <m:dPr>
              <m:begChr m:val="("/>
              <m:sepChr m:val=""/>
              <m:endChr m:val=")"/>
              <m:grow/>
            </m:dPr>
            <m:e>
              <m:r>
                <m:t>1</m:t>
              </m:r>
              <m:r>
                <m:rPr>
                  <m:sty m:val="p"/>
                </m:rPr>
                <m:t>∣</m:t>
              </m:r>
              <m:r>
                <m:rPr>
                  <m:nor/>
                  <m:sty m:val="p"/>
                </m:rPr>
                <m:t>day</m:t>
              </m:r>
            </m:e>
          </m:d>
        </m:oMath>
      </m:oMathPara>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1b. Model comparison: additive vs interactive distance model for combined acoustic dissimilarity (≤60 m). Lower AIC/BIC = better fit. The interactive model is preferred because it tests whether the distance slope differs between habitats (H2), which is the central ecological question.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Model</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AIC</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BIC</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Preferred?</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Additive (Distance + Habitat)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59.7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r>
      <w:tr>
        <w:trPr>
          <w:trHeight w:val="360" w:hRule="auto"/>
        </w:trPr>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Interactive (Distance × Habitat)</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55.9</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62.5</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r>
    </w:tbl>
    <w:p>
      <w:pPr>
        <w:pStyle w:val="FirstParagraph"/>
      </w:pPr>
      <w:r>
        <w:t xml:space="preserve">The interactive model is chosen because it directly tests whether distance and habitat interact — that is, whether the distance slope differs between forest and pasture (H2). The additive model assumes the same distance slope in both habitats, which would miss the ecological contrast we are looking for. The raw indices are used in the time-of-day model (Table 3), where each recorder contributes its own value; the pairwise difference is only needed for the distance-decay question.</w:t>
      </w:r>
    </w:p>
    <w:p>
      <w:pPr>
        <w:pStyle w:val="SourceCode"/>
      </w:pPr>
      <w:r>
        <w:br/>
      </w:r>
      <w:r>
        <w:rPr>
          <w:rStyle w:val="VerbatimChar"/>
        </w:rPr>
        <w:t xml:space="preserve"># Results</w:t>
      </w:r>
      <w:r>
        <w:br/>
      </w:r>
      <w:r>
        <w:br/>
      </w:r>
      <w:r>
        <w:rPr>
          <w:rStyle w:val="VerbatimChar"/>
        </w:rPr>
        <w:t xml:space="preserve">## Acoustic indices and recorder distance</w:t>
      </w:r>
      <w:r>
        <w:br/>
      </w:r>
      <w:r>
        <w:br/>
      </w:r>
      <w:r>
        <w:rPr>
          <w:rStyle w:val="VerbatimChar"/>
        </w:rPr>
        <w:t xml:space="preserve">For every within-habitat recorder pair we took the absolute difference in each index and asked whether</w:t>
      </w:r>
      <w:r>
        <w:br/>
      </w:r>
      <w:r>
        <w:rPr>
          <w:rStyle w:val="VerbatimChar"/>
        </w:rPr>
        <w:t xml:space="preserve">it grows with distance. In **Figure 1** the lines are the mixed-model fits with 95% bands; points are</w:t>
      </w:r>
      <w:r>
        <w:br/>
      </w:r>
      <w:r>
        <w:rPr>
          <w:rStyle w:val="VerbatimChar"/>
        </w:rPr>
        <w:t xml:space="preserve">adjusted for the day random effect, and the symbol marks the first or second replicate day. All three</w:t>
      </w:r>
      <w:r>
        <w:br/>
      </w:r>
      <w:r>
        <w:rPr>
          <w:rStyle w:val="VerbatimChar"/>
        </w:rPr>
        <w:t xml:space="preserve">indices are **flat**: none of the slopes differs from zero (Table 2). The cheap indices do **not**</w:t>
      </w:r>
      <w:r>
        <w:br/>
      </w:r>
      <w:r>
        <w:rPr>
          <w:rStyle w:val="VerbatimChar"/>
        </w:rPr>
        <w:t xml:space="preserve">change with recorder distance over 15–60 m (H1 not supported for the indices).</w:t>
      </w:r>
      <w:r>
        <w:br/>
      </w:r>
      <w:r>
        <w:br/>
      </w:r>
      <w:r>
        <w:br/>
      </w:r>
      <w:r>
        <w:br/>
      </w:r>
      <w:r>
        <w:rPr>
          <w:rStyle w:val="VerbatimChar"/>
        </w:rPr>
        <w:t xml:space="preserve">![Figure 1. Difference in each acoustic index (ACI, BI, ADI) between two recorders vs distance, forest vs pasture (≤60 m). Mixed-model fit + 95% band; points day-adjusted, shape = replicate day.](tandayapa_spacing_biodiversity_report_files/figure-docx/index-fig-1.png)</w:t>
      </w:r>
      <w:r>
        <w:br/>
      </w:r>
      <w:r>
        <w:br/>
      </w:r>
      <w:r>
        <w:br/>
      </w:r>
      <w:r>
        <w:rPr>
          <w:rStyle w:val="VerbatimChar"/>
        </w:rPr>
        <w:t xml:space="preserve">``````{=openxml}</w:t>
      </w:r>
      <w:r>
        <w:br/>
      </w:r>
      <w:r>
        <w:rPr>
          <w:rStyle w:val="VerbatimChar"/>
        </w:rPr>
        <w:t xml:space="preserve">&lt;w:p xmlns:w="http://schemas.openxmlformats.org/wordprocessingml/2006/main" xmlns:wp="http://schemas.openxmlformats.org/drawingml/2006/wordprocessingDrawing" xmlns:r="http://schemas.openxmlformats.org/officeDocument/2006/relationships" xmlns:w14="http://schemas.microsoft.com/office/word/2010/wordml"&gt;&lt;w:pPr&gt;&lt;w:pStyle w:val="TableCaption"/&gt;&lt;w:jc w:val="center"/&gt;&lt;w:keepNext/&gt;&lt;w:pBdr&gt;&lt;w:bottom w:val="none" w:sz="0" w:space="0" w:color="000000"/&gt;&lt;w:top w:val="none" w:sz="0" w:space="0" w:color="000000"/&gt;&lt;w:left w:val="none" w:sz="0" w:space="0" w:color="000000"/&gt;&lt;w:right w:val="none" w:sz="0" w:space="0" w:color="000000"/&gt;&lt;/w:pBdr&gt;&lt;w:spacing w:after="60" w:before="60" w:line="240"/&gt;&lt;w:ind w:left="60" w:right="60" w:firstLine="0" w:firstLineChars="0"/&gt;&lt;/w:pPr&gt;&lt;w:r&gt;&lt;w:t xml:space="preserve"&gt;Table 2. Distance effect on each acoustic-index difference (mixed model, ≤60 m). 'CI excl 0 = yes' would mean the index changes with distance; here every row is 'no'.&lt;/w:t&gt;&lt;/w:r&gt;&lt;/w:p&gt;</w:t>
      </w:r>
      <w:r>
        <w:br/>
      </w:r>
      <w:r>
        <w:rPr>
          <w:rStyle w:val="VerbatimChar"/>
        </w:rPr>
        <w:t xml:space="preserve">&lt;w:tbl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xmlns:pic="http://schemas.openxmlformats.org/drawingml/2006/picture"&gt;&lt;w:tblPr&gt;&lt;w:tblLayout w:type="autofit"/&gt;&lt;w:jc w:val="center"/&gt;&lt;w:tblW w:type="pct" w:w="5000"/&gt;&lt;w:tblLook w:firstRow="1" w:lastRow="0" w:firstColumn="0" w:lastColumn="0" w:noHBand="0" w:noVBand="1"/&gt;&lt;/w:tblPr&gt;&lt;w:tr&gt;&lt;w:trPr&gt;&lt;w:trHeight w:val="360" w:hRule="auto"/&gt;&lt;w:tblHeader/&gt;&lt;/w:trPr&gt;&lt;w:tc&gt;&lt;w:tcPr&gt;&lt;w:tcBorders&gt;&lt;w:bottom w:val="single" w:sz="8" w:space="0" w:color="000000"/&gt;&lt;w:top w:val="single" w:sz="16"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w:val="left"/&gt;&lt;w:pBdr&gt;&lt;w:bottom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w:val="true"/&gt;&lt;w:u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w:val="true"/&gt;&lt;w:u w:val="none"/&gt;&lt;w:strike w:val="false"/&gt;&lt;w:sz w:val="18"/&gt;&lt;w:szCs w:val="18"/&gt;&lt;w:color w:val="000000"/&gt;&lt;/w:rPr&gt;&lt;w:t xml:space="preserve"&gt;index&lt;/w:t&gt;&lt;/w:r&gt;&lt;/w:p&gt;&lt;/w:tc&gt;&lt;w:tc&gt;&lt;w:tcPr&gt;&lt;w:tcBorders&gt;&lt;w:bottom w:val="single" w:sz="8" w:space="0" w:color="000000"/&gt;&lt;w:top w:val="single" w:sz="16"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w:val="true"/&gt;&lt;w:u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w:val="true"/&gt;&lt;w:u w:val="none"/&gt;&lt;w:strike w:val="false"/&gt;&lt;w:sz w:val="18"/&gt;&lt;w:szCs w:val="18"/&gt;&lt;w:color w:val="000000"/&gt;&lt;/w:rPr&gt;&lt;w:t xml:space="preserve"&gt;habitat&lt;/w:t&gt;&lt;/w:r&gt;&lt;/w:p&gt;&lt;/w:tc&gt;&lt;w:tc&gt;&lt;w:tcPr&gt;&lt;w:tcBorders&gt;&lt;w:bottom w:val="single" w:sz="8" w:space="0" w:color="000000"/&gt;&lt;w:top w:val="single" w:sz="16"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w:val="true"/&gt;&lt;w:u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w:val="true"/&gt;&lt;w:u w:val="none"/&gt;&lt;w:strike w:val="false"/&gt;&lt;w:sz w:val="18"/&gt;&lt;w:szCs w:val="18"/&gt;&lt;w:color w:val="000000"/&gt;&lt;/w:rPr&gt;&lt;w:t xml:space="preserve"&gt;Δ/+10m&lt;/w:t&gt;&lt;/w:r&gt;&lt;/w:p&gt;&lt;/w:tc&gt;&lt;w:tc&gt;&lt;w:tcPr&gt;&lt;w:tcBorders&gt;&lt;w:bottom w:val="single" w:sz="8" w:space="0" w:color="000000"/&gt;&lt;w:top w:val="single" w:sz="16"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w:val="true"/&gt;&lt;w:u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w:val="true"/&gt;&lt;w:u w:val="none"/&gt;&lt;w:strike w:val="false"/&gt;&lt;w:sz w:val="18"/&gt;&lt;w:szCs w:val="18"/&gt;&lt;w:color w:val="000000"/&gt;&lt;/w:rPr&gt;&lt;w:t xml:space="preserve"&gt;CI low&lt;/w:t&gt;&lt;/w:r&gt;&lt;/w:p&gt;&lt;/w:tc&gt;&lt;w:tc&gt;&lt;w:tcPr&gt;&lt;w:tcBorders&gt;&lt;w:bottom w:val="single" w:sz="8" w:space="0" w:color="000000"/&gt;&lt;w:top w:val="single" w:sz="16"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w:val="true"/&gt;&lt;w:u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w:val="true"/&gt;&lt;w:u w:val="none"/&gt;&lt;w:strike w:val="false"/&gt;&lt;w:sz w:val="18"/&gt;&lt;w:szCs w:val="18"/&gt;&lt;w:color w:val="000000"/&gt;&lt;/w:rPr&gt;&lt;w:t xml:space="preserve"&gt;CI high&lt;/w:t&gt;&lt;/w:r&gt;&lt;/w:p&gt;&lt;/w:tc&gt;&lt;w:tc&gt;&lt;w:tcPr&gt;&lt;w:tcBorders&gt;&lt;w:bottom w:val="single" w:sz="8" w:space="0" w:color="000000"/&gt;&lt;w:top w:val="single" w:sz="16"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w:val="true"/&gt;&lt;w:u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w:val="true"/&gt;&lt;w:u w:val="none"/&gt;&lt;w:strike w:val="false"/&gt;&lt;w:sz w:val="18"/&gt;&lt;w:szCs w:val="18"/&gt;&lt;w:color w:val="000000"/&gt;&lt;/w:rPr&gt;&lt;w:t xml:space="preserve"&gt;R2&lt;/w:t&gt;&lt;/w:r&gt;&lt;/w:p&gt;&lt;/w:tc&gt;&lt;w:tc&gt;&lt;w:tcPr&gt;&lt;w:tcBorders&gt;&lt;w:bottom w:val="single" w:sz="8" w:space="0" w:color="000000"/&gt;&lt;w:top w:val="single" w:sz="16"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w:val="true"/&gt;&lt;w:u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w:val="true"/&gt;&lt;w:u w:val="none"/&gt;&lt;w:strike w:val="false"/&gt;&lt;w:sz w:val="18"/&gt;&lt;w:szCs w:val="18"/&gt;&lt;w:color w:val="000000"/&gt;&lt;/w:rPr&gt;&lt;w:t xml:space="preserve"&gt;CI excl 0&lt;/w:t&gt;&lt;/w:r&gt;&lt;/w:p&gt;&lt;/w:tc&gt;&lt;w:tc&gt;&lt;w:tcPr&gt;&lt;w:tcBorders&gt;&lt;w:bottom w:val="single" w:sz="8" w:space="0" w:color="000000"/&gt;&lt;w:top w:val="single" w:sz="16"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w:val="true"/&gt;&lt;w:u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w:val="true"/&gt;&lt;w:u w:val="none"/&gt;&lt;w:strike w:val="false"/&gt;&lt;w:sz w:val="18"/&gt;&lt;w:szCs w:val="18"/&gt;&lt;w:color w:val="000000"/&gt;&lt;/w:rPr&gt;&lt;w:t xml:space="preserve"&gt;n&lt;/w:t&gt;&lt;/w:r&gt;&lt;/w:p&gt;&lt;/w:tc&gt;&lt;/w:tr&gt;&lt;w:tr&gt;&lt;w:trPr&gt;&lt;w:trHeight w:val="360" w:hRule="auto"/&gt;&lt;/w:trPr&gt;&lt;w:tc&gt;&lt;w:tcPr&gt;&lt;w:tcBorders&gt;&lt;w:bottom w:val="none" w:sz="0" w:space="0" w:color="000000"/&gt;&lt;w:top w:val="single" w:sz="8"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w:val="left"/&gt;&lt;w:pBdr&gt;&lt;w:bottom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xml:space="preserve"&gt;dACI&lt;/w:t&gt;&lt;/w:r&gt;&lt;/w:p&gt;&lt;/w:tc&gt;&lt;w:tc&gt;&lt;w:tcPr&gt;&lt;w:tcBorders&gt;&lt;w:bottom w:val="none" w:sz="0" w:space="0" w:color="000000"/&gt;&lt;w:top w:val="single" w:sz="8"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xml:space="preserve"&gt;forest&lt;/w:t&gt;&lt;/w:r&gt;&lt;/w:p&gt;&lt;/w:tc&gt;&lt;w:tc&gt;&lt;w:tcPr&gt;&lt;w:tcBorders&gt;&lt;w:bottom w:val="none" w:sz="0" w:space="0" w:color="000000"/&gt;&lt;w:top w:val="single" w:sz="8"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xml:space="preserve"&gt;0.1263&lt;/w:t&gt;&lt;/w:r&gt;&lt;/w:p&gt;&lt;/w:tc&gt;&lt;w:tc&gt;&lt;w:tcPr&gt;&lt;w:tcBorders&gt;&lt;w:bottom w:val="none" w:sz="0" w:space="0" w:color="000000"/&gt;&lt;w:top w:val="single" w:sz="8"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xml:space="preserve"&gt;-0.8887&lt;/w:t&gt;&lt;/w:r&gt;&lt;/w:p&gt;&lt;/w:tc&gt;&lt;w:tc&gt;&lt;w:tcPr&gt;&lt;w:tcBorders&gt;&lt;w:bottom w:val="none" w:sz="0" w:space="0" w:color="000000"/&gt;&lt;w:top w:val="single" w:sz="8"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xml:space="preserve"&gt;1.1413&lt;/w:t&gt;&lt;/w:r&gt;&lt;/w:p&gt;&lt;/w:tc&gt;&lt;w:tc&gt;&lt;w:tcPr&gt;&lt;w:tcBorders&gt;&lt;w:bottom w:val="none" w:sz="0" w:space="0" w:color="000000"/&gt;&lt;w:top w:val="single" w:sz="8"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xml:space="preserve"&gt;0.005&lt;/w:t&gt;&lt;/w:r&gt;&lt;/w:p&gt;&lt;/w:tc&gt;&lt;w:tc&gt;&lt;w:tcPr&gt;&lt;w:tcBorders&gt;&lt;w:bottom w:val="none" w:sz="0" w:space="0" w:color="000000"/&gt;&lt;w:top w:val="single" w:sz="8"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xml:space="preserve"&gt;no&lt;/w:t&gt;&lt;/w:r&gt;&lt;/w:p&gt;&lt;/w:tc&gt;&lt;w:tc&gt;&lt;w:tcPr&gt;&lt;w:tcBorders&gt;&lt;w:bottom w:val="none" w:sz="0" w:space="0" w:color="000000"/&gt;&lt;w:top w:val="single" w:sz="8"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xml:space="preserve"&gt;12&lt;/w:t&gt;&lt;/w:r&gt;&lt;/w:p&gt;&lt;/w:tc&gt;&lt;/w:tr&gt;&lt;w:tr&gt;&lt;w:trPr&gt;&lt;w:trHeight w:val="360" w:hRule="auto"/&gt;&lt;/w:trPr&gt;&lt;w:tc&gt;&lt;w:tcPr&gt;&lt;w:tcBorders&gt;&lt;w:bottom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w:val="left"/&gt;&lt;w:pBdr&gt;&lt;w:bottom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xml:space="preserve"&gt;dACI&lt;/w:t&gt;&lt;/w:r&gt;&lt;/w:p&gt;&lt;/w:tc&gt;&lt;w:tc&gt;&lt;w:tcPr&gt;&lt;w:tcBorders&gt;&lt;w:bottom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xml:space="preserve"&gt;pasture&lt;/w:t&gt;&lt;/w:r&gt;&lt;/w:p&gt;&lt;/w:tc&gt;&lt;w:tc&gt;&lt;w:tcPr&gt;&lt;w:tcBorders&gt;&lt;w:bottom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xml:space="preserve"&gt;-0.2991&lt;/w:t&gt;&lt;/w:r&gt;&lt;/w:p&gt;&lt;/w:tc&gt;&lt;w:tc&gt;&lt;w:tcPr&gt;&lt;w:tcBorders&gt;&lt;w:bottom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xml:space="preserve"&gt;-2.4301&lt;/w:t&gt;&lt;/w:r&gt;&lt;/w:p&gt;&lt;/w:tc&gt;&lt;w:tc&gt;&lt;w:tcPr&gt;&lt;w:tcBorders&gt;&lt;w:bottom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xml:space="preserve"&gt;1.8318&lt;/w:t&gt;&lt;/w:r&gt;&lt;/w:p&gt;&lt;/w:tc&gt;&lt;w:tc&gt;&lt;w:tcPr&gt;&lt;w:tcBorders&gt;&lt;w:bottom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xml:space="preserve"&gt;0.008&lt;/w:t&gt;&lt;/w:r&gt;&lt;/w:p&gt;&lt;/w:tc&gt;&lt;w:tc&gt;&lt;w:tcPr&gt;&lt;w:tcBorders&gt;&lt;w:bottom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xml:space="preserve"&gt;no&lt;/w:t&gt;&lt;/w:r&gt;&lt;/w:p&gt;&lt;/w:tc&gt;&lt;w:tc&gt;&lt;w:tcPr&gt;&lt;w:tcBorders&gt;&lt;w:bottom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xml:space="preserve"&gt;10&lt;/w:t&gt;&lt;/w:r&gt;&lt;/w:p&gt;&lt;/w:tc&gt;&lt;/w:tr&gt;&lt;w:tr&gt;&lt;w:trPr&gt;&lt;w:trHeight w:val="360" w:hRule="auto"/&gt;&lt;/w:trPr&gt;&lt;w:tc&gt;&lt;w:tcPr&gt;&lt;w:tcBorders&gt;&lt;w:bottom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w:val="left"/&gt;&lt;w:pBdr&gt;&lt;w:bottom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xml:space="preserve"&gt;dBI&lt;/w:t&gt;&lt;/w:r&gt;&lt;/w:p&gt;&lt;/w:tc&gt;&lt;w:tc&gt;&lt;w:tcPr&gt;&lt;w:tcBorders&gt;&lt;w:bottom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xml:space="preserve"&gt;forest&lt;/w:t&gt;&lt;/w:r&gt;&lt;/w:p&gt;&lt;/w:tc&gt;&lt;w:tc&gt;&lt;w:tcPr&gt;&lt;w:tcBorders&gt;&lt;w:bottom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xml:space="preserve"&gt;-0.2331&lt;/w:t&gt;&lt;/w:r&gt;&lt;/w:p&gt;&lt;/w:tc&gt;&lt;w:tc&gt;&lt;w:tcPr&gt;&lt;w:tcBorders&gt;&lt;w:bottom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xml:space="preserve"&gt;-0.5722&lt;/w:t&gt;&lt;/w:r&gt;&lt;/w:p&gt;&lt;/w:tc&gt;&lt;w:tc&gt;&lt;w:tcPr&gt;&lt;w:tcBorders&gt;&lt;w:bottom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xml:space="preserve"&gt;0.1060&lt;/w:t&gt;&lt;/w:r&gt;&lt;/w:p&gt;&lt;/w:tc&gt;&lt;w:tc&gt;&lt;w:tcPr&gt;&lt;w:tcBorders&gt;&lt;w:bottom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xml:space="preserve"&gt;0.142&lt;/w:t&gt;&lt;/w:r&gt;&lt;/w:p&gt;&lt;/w:tc&gt;&lt;w:tc&gt;&lt;w:tcPr&gt;&lt;w:tcBorders&gt;&lt;w:bottom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xml:space="preserve"&gt;no&lt;/w:t&gt;&lt;/w:r&gt;&lt;/w:p&gt;&lt;/w:tc&gt;&lt;w:tc&gt;&lt;w:tcPr&gt;&lt;w:tcBorders&gt;&lt;w:bottom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xml:space="preserve"&gt;12&lt;/w:t&gt;&lt;/w:r&gt;&lt;/w:p&gt;&lt;/w:tc&gt;&lt;/w:tr&gt;&lt;w:tr&gt;&lt;w:trPr&gt;&lt;w:trHeight w:val="360" w:hRule="auto"/&gt;&lt;/w:trPr&gt;&lt;w:tc&gt;&lt;w:tcPr&gt;&lt;w:tcBorders&gt;&lt;w:bottom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w:val="left"/&gt;&lt;w:pBdr&gt;&lt;w:bottom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xml:space="preserve"&gt;dBI&lt;/w:t&gt;&lt;/w:r&gt;&lt;/w:p&gt;&lt;/w:tc&gt;&lt;w:tc&gt;&lt;w:tcPr&gt;&lt;w:tcBorders&gt;&lt;w:bottom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xml:space="preserve"&gt;pasture&lt;/w:t&gt;&lt;/w:r&gt;&lt;/w:p&gt;&lt;/w:tc&gt;&lt;w:tc&gt;&lt;w:tcPr&gt;&lt;w:tcBorders&gt;&lt;w:bottom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xml:space="preserve"&gt;0.0536&lt;/w:t&gt;&lt;/w:r&gt;&lt;/w:p&gt;&lt;/w:tc&gt;&lt;w:tc&gt;&lt;w:tcPr&gt;&lt;w:tcBorders&gt;&lt;w:bottom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xml:space="preserve"&gt;-0.3373&lt;/w:t&gt;&lt;/w:r&gt;&lt;/w:p&gt;&lt;/w:tc&gt;&lt;w:tc&gt;&lt;w:tcPr&gt;&lt;w:tcBorders&gt;&lt;w:bottom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xml:space="preserve"&gt;0.4446&lt;/w:t&gt;&lt;/w:r&gt;&lt;/w:p&gt;&lt;/w:tc&gt;&lt;w:tc&gt;&lt;w:tcPr&gt;&lt;w:tcBorders&gt;&lt;w:bottom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xml:space="preserve"&gt;0.008&lt;/w:t&gt;&lt;/w:r&gt;&lt;/w:p&gt;&lt;/w:tc&gt;&lt;w:tc&gt;&lt;w:tcPr&gt;&lt;w:tcBorders&gt;&lt;w:bottom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xml:space="preserve"&gt;no&lt;/w:t&gt;&lt;/w:r&gt;&lt;/w:p&gt;&lt;/w:tc&gt;&lt;w:tc&gt;&lt;w:tcPr&gt;&lt;w:tcBorders&gt;&lt;w:bottom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xml:space="preserve"&gt;10&lt;/w:t&gt;&lt;/w:r&gt;&lt;/w:p&gt;&lt;/w:tc&gt;&lt;/w:tr&gt;&lt;w:tr&gt;&lt;w:trPr&gt;&lt;w:trHeight w:val="360" w:hRule="auto"/&gt;&lt;/w:trPr&gt;&lt;w:tc&gt;&lt;w:tcPr&gt;&lt;w:tcBorders&gt;&lt;w:bottom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w:val="left"/&gt;&lt;w:pBdr&gt;&lt;w:bottom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xml:space="preserve"&gt;dADI&lt;/w:t&gt;&lt;/w:r&gt;&lt;/w:p&gt;&lt;/w:tc&gt;&lt;w:tc&gt;&lt;w:tcPr&gt;&lt;w:tcBorders&gt;&lt;w:bottom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xml:space="preserve"&gt;forest&lt;/w:t&gt;&lt;/w:r&gt;&lt;/w:p&gt;&lt;/w:tc&gt;&lt;w:tc&gt;&lt;w:tcPr&gt;&lt;w:tcBorders&gt;&lt;w:bottom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xml:space="preserve"&gt;-0.0074&lt;/w:t&gt;&lt;/w:r&gt;&lt;/w:p&gt;&lt;/w:tc&gt;&lt;w:tc&gt;&lt;w:tcPr&gt;&lt;w:tcBorders&gt;&lt;w:bottom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xml:space="preserve"&gt;-0.0254&lt;/w:t&gt;&lt;/w:r&gt;&lt;/w:p&gt;&lt;/w:tc&gt;&lt;w:tc&gt;&lt;w:tcPr&gt;&lt;w:tcBorders&gt;&lt;w:bottom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xml:space="preserve"&gt;0.0106&lt;/w:t&gt;&lt;/w:r&gt;&lt;/w:p&gt;&lt;/w:tc&gt;&lt;w:tc&gt;&lt;w:tcPr&gt;&lt;w:tcBorders&gt;&lt;w:bottom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xml:space="preserve"&gt;0.055&lt;/w:t&gt;&lt;/w:r&gt;&lt;/w:p&gt;&lt;/w:tc&gt;&lt;w:tc&gt;&lt;w:tcPr&gt;&lt;w:tcBorders&gt;&lt;w:bottom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xml:space="preserve"&gt;no&lt;/w:t&gt;&lt;/w:r&gt;&lt;/w:p&gt;&lt;/w:tc&gt;&lt;w:tc&gt;&lt;w:tcPr&gt;&lt;w:tcBorders&gt;&lt;w:bottom w:val="none" w:sz="0"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xml:space="preserve"&gt;12&lt;/w:t&gt;&lt;/w:r&gt;&lt;/w:p&gt;&lt;/w:tc&gt;&lt;/w:tr&gt;&lt;w:tr&gt;&lt;w:trPr&gt;&lt;w:trHeight w:val="360" w:hRule="auto"/&gt;&lt;/w:trPr&gt;&lt;w:tc&gt;&lt;w:tcPr&gt;&lt;w:tcBorders&gt;&lt;w:bottom w:val="single" w:sz="16"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w:val="left"/&gt;&lt;w:pBdr&gt;&lt;w:bottom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xml:space="preserve"&gt;dADI&lt;/w:t&gt;&lt;/w:r&gt;&lt;/w:p&gt;&lt;/w:tc&gt;&lt;w:tc&gt;&lt;w:tcPr&gt;&lt;w:tcBorders&gt;&lt;w:bottom w:val="single" w:sz="16"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xml:space="preserve"&gt;pasture&lt;/w:t&gt;&lt;/w:r&gt;&lt;/w:p&gt;&lt;/w:tc&gt;&lt;w:tc&gt;&lt;w:tcPr&gt;&lt;w:tcBorders&gt;&lt;w:bottom w:val="single" w:sz="16"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xml:space="preserve"&gt;-0.0048&lt;/w:t&gt;&lt;/w:r&gt;&lt;/w:p&gt;&lt;/w:tc&gt;&lt;w:tc&gt;&lt;w:tcPr&gt;&lt;w:tcBorders&gt;&lt;w:bottom w:val="single" w:sz="16"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xml:space="preserve"&gt;-0.0187&lt;/w:t&gt;&lt;/w:r&gt;&lt;/w:p&gt;&lt;/w:tc&gt;&lt;w:tc&gt;&lt;w:tcPr&gt;&lt;w:tcBorders&gt;&lt;w:bottom w:val="single" w:sz="16"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xml:space="preserve"&gt;0.0092&lt;/w:t&gt;&lt;/w:r&gt;&lt;/w:p&gt;&lt;/w:tc&gt;&lt;w:tc&gt;&lt;w:tcPr&gt;&lt;w:tcBorders&gt;&lt;w:bottom w:val="single" w:sz="16"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xml:space="preserve"&gt;0.048&lt;/w:t&gt;&lt;/w:r&gt;&lt;/w:p&gt;&lt;/w:tc&gt;&lt;w:tc&gt;&lt;w:tcPr&gt;&lt;w:tcBorders&gt;&lt;w:bottom w:val="single" w:sz="16"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xml:space="preserve"&gt;no&lt;/w:t&gt;&lt;/w:r&gt;&lt;/w:p&gt;&lt;/w:tc&gt;&lt;w:tc&gt;&lt;w:tcPr&gt;&lt;w:tcBorders&gt;&lt;w:bottom w:val="single" w:sz="16" w:space="0" w:color="000000"/&gt;&lt;w:top w:val="none" w:sz="0" w:space="0" w:color="000000"/&gt;&lt;w:left w:val="none" w:sz="0" w:space="0" w:color="000000"/&gt;&lt;w:right w:val="none" w:sz="0" w:space="0" w:color="000000"/&gt;&lt;/w:tcBorders&gt;&lt;w:shd w:val="clear" w:color="auto" w:fill="FFFFFF"/&gt;&lt;w:tcMar&gt;&lt;w:top w:w="0" w:type="dxa"/&gt;&lt;w:bottom w:w="0" w:type="dxa"/&gt;&lt;w:left w:w="0" w:type="dxa"/&gt;&lt;w:right w:w="0" w:type="dxa"/&gt;&lt;/w:tcMar&gt;&lt;w:vAlign w:val="center"/&gt;&lt;/w:tcPr&gt;&lt;w:p&gt;&lt;w:pPr&gt;&lt;w:jc w:val="center"/&gt;&lt;w:pBdr&gt;&lt;w:bottom w:val="none" w:sz="0" w:space="0" w:color="000000"/&gt;&lt;w:top w:val="none" w:sz="0" w:space="0" w:color="000000"/&gt;&lt;w:left w:val="none" w:sz="0" w:space="0" w:color="000000"/&gt;&lt;w:right w:val="none" w:sz="0" w:space="0" w:color="000000"/&gt;&lt;/w:pBdr&gt;&lt;w:spacing w:after="80" w:before="80" w:line="240"/&gt;&lt;w:ind w:left="80" w:right="80" w:firstLine="0" w:firstLineChars="0"/&gt;&lt;w:rPr&gt;&lt;w:rFonts w:ascii="Arial" w:hAnsi="Arial" w:eastAsia="Arial" w:cs="Arial"/&gt;&lt;w:i w:val="false"/&gt;&lt;w:b w:val="false"/&gt;&lt;w:u w:val="none"/&gt;&lt;w:strike w:val="false"/&gt;&lt;w:sz w:val="18"/&gt;&lt;w:szCs w:val="18"/&gt;&lt;w:color w:val="000000"/&gt;&lt;/w:rPr&gt;&lt;/w:pPr&gt;&lt;w:r xmlns:w="http://schemas.openxmlformats.org/wordprocessingml/2006/main" xmlns:wp="http://schemas.openxmlformats.org/drawingml/2006/wordprocessingDrawing" xmlns:r="http://schemas.openxmlformats.org/officeDocument/2006/relationships" xmlns:w14="http://schemas.microsoft.com/office/word/2010/wordml"&gt;&lt;w:rPr&gt;&lt;w:rFonts w:ascii="Arial" w:hAnsi="Arial" w:eastAsia="Arial" w:cs="Arial"/&gt;&lt;w:i w:val="false"/&gt;&lt;w:b w:val="false"/&gt;&lt;w:u w:val="none"/&gt;&lt;w:strike w:val="false"/&gt;&lt;w:sz w:val="18"/&gt;&lt;w:szCs w:val="18"/&gt;&lt;w:color w:val="000000"/&gt;&lt;/w:rPr&gt;&lt;w:t xml:space="preserve"&gt;10&lt;/w:t&gt;&lt;/w:r&gt;&lt;/w:p&gt;&lt;/w:tc&gt;&lt;/w:tr&gt;&lt;/w:tbl&gt;</w:t>
      </w:r>
    </w:p>
    <w:bookmarkStart w:id="28" w:name="acoustic-indices-and-time-of-day"/>
    <w:p>
      <w:pPr>
        <w:pStyle w:val="Heading2"/>
      </w:pPr>
      <w:r>
        <w:t xml:space="preserve">Acoustic indices and time of day</w:t>
      </w:r>
    </w:p>
    <w:p>
      <w:pPr>
        <w:pStyle w:val="FirstParagraph"/>
      </w:pPr>
      <w:r>
        <w:t xml:space="preserve">The indices do, however, change strongly through the day.</w:t>
      </w:r>
      <w:r>
        <w:t xml:space="preserve"> </w:t>
      </w:r>
      <w:r>
        <w:rPr>
          <w:b/>
          <w:bCs/>
        </w:rPr>
        <w:t xml:space="preserve">Figure 2</w:t>
      </w:r>
      <w:r>
        <w:t xml:space="preserve"> </w:t>
      </w:r>
      <w:r>
        <w:t xml:space="preserve">shows each index by period:</w:t>
      </w:r>
      <w:r>
        <w:t xml:space="preserve"> </w:t>
      </w:r>
      <w:r>
        <w:rPr>
          <w:b/>
          <w:bCs/>
        </w:rPr>
        <w:t xml:space="preserve">BI</w:t>
      </w:r>
      <w:r>
        <w:t xml:space="preserve"> </w:t>
      </w:r>
      <w:r>
        <w:t xml:space="preserve">(the biological 2–8 kHz band) peaks at</w:t>
      </w:r>
      <w:r>
        <w:t xml:space="preserve"> </w:t>
      </w:r>
      <w:r>
        <w:rPr>
          <w:b/>
          <w:bCs/>
        </w:rPr>
        <w:t xml:space="preserve">dawn and day</w:t>
      </w:r>
      <w:r>
        <w:t xml:space="preserve"> </w:t>
      </w:r>
      <w:r>
        <w:t xml:space="preserve">(the chorus) and is lowest at night;</w:t>
      </w:r>
      <w:r>
        <w:t xml:space="preserve"> </w:t>
      </w:r>
      <w:r>
        <w:rPr>
          <w:b/>
          <w:bCs/>
        </w:rPr>
        <w:t xml:space="preserve">ADI</w:t>
      </w:r>
      <w:r>
        <w:t xml:space="preserve"> </w:t>
      </w:r>
      <w:r>
        <w:t xml:space="preserve">dips at midday;</w:t>
      </w:r>
      <w:r>
        <w:t xml:space="preserve"> </w:t>
      </w:r>
      <w:r>
        <w:rPr>
          <w:b/>
          <w:bCs/>
        </w:rPr>
        <w:t xml:space="preserve">ACI</w:t>
      </w:r>
      <w:r>
        <w:t xml:space="preserve"> </w:t>
      </w:r>
      <w:r>
        <w:t xml:space="preserve">varies little; and pasture reads louder than forest through the day.</w:t>
      </w:r>
    </w:p>
    <w:p>
      <w:pPr>
        <w:pStyle w:val="CaptionedFigure"/>
      </w:pPr>
      <w:r>
        <w:drawing>
          <wp:inline>
            <wp:extent cx="5334000" cy="1950861"/>
            <wp:effectExtent b="0" l="0" r="0" t="0"/>
            <wp:docPr descr="Figure 2. Acoustic indices by time of day, forest vs pasture (mean ± 95% CI). BI peaks at the dawn/day chorus; ADI dips at midday." title="" id="26" name="Picture"/>
            <a:graphic>
              <a:graphicData uri="http://schemas.openxmlformats.org/drawingml/2006/picture">
                <pic:pic>
                  <pic:nvPicPr>
                    <pic:cNvPr descr="tandayapa_spacing_biodiversity_report_files/tandayapa_spacing_biodiversity_report_files/figure-docx/diel-fig-1.png" id="27" name="Picture"/>
                    <pic:cNvPicPr>
                      <a:picLocks noChangeArrowheads="1" noChangeAspect="1"/>
                    </pic:cNvPicPr>
                  </pic:nvPicPr>
                  <pic:blipFill>
                    <a:blip r:embed="rId25"/>
                    <a:stretch>
                      <a:fillRect/>
                    </a:stretch>
                  </pic:blipFill>
                  <pic:spPr bwMode="auto">
                    <a:xfrm>
                      <a:off x="0" y="0"/>
                      <a:ext cx="5334000" cy="1950861"/>
                    </a:xfrm>
                    <a:prstGeom prst="rect">
                      <a:avLst/>
                    </a:prstGeom>
                    <a:noFill/>
                    <a:ln w="9525">
                      <a:noFill/>
                      <a:headEnd/>
                      <a:tailEnd/>
                    </a:ln>
                  </pic:spPr>
                </pic:pic>
              </a:graphicData>
            </a:graphic>
          </wp:inline>
        </w:drawing>
      </w:r>
    </w:p>
    <w:p>
      <w:pPr>
        <w:pStyle w:val="ImageCaption"/>
      </w:pPr>
      <w:r>
        <w:t xml:space="preserve">Figure 2. Acoustic indices by time of day, forest vs pasture (mean ± 95% CI). BI peaks at the dawn/day chorus; ADI dips at midday.</w:t>
      </w:r>
    </w:p>
    <w:p>
      <w:pPr>
        <w:pStyle w:val="BodyText"/>
      </w:pPr>
      <w:r>
        <w:t xml:space="preserve">We also asked</w:t>
      </w:r>
      <w:r>
        <w:t xml:space="preserve"> </w:t>
      </w:r>
      <w:r>
        <w:rPr>
          <w:b/>
          <w:bCs/>
        </w:rPr>
        <w:t xml:space="preserve">at which time of day two recorders differ most</w:t>
      </w:r>
      <w:r>
        <w:t xml:space="preserve">, computing the index difference per</w:t>
      </w:r>
      <w:r>
        <w:t xml:space="preserve"> </w:t>
      </w:r>
      <w:r>
        <w:t xml:space="preserve">pair within each period and modelling it as</w:t>
      </w:r>
      <w:r>
        <w:t xml:space="preserve"> </w:t>
      </w:r>
      <w:r>
        <w:rPr>
          <w:rStyle w:val="VerbatimChar"/>
        </w:rPr>
        <w:t xml:space="preserve">difference ~ time of day + (1 | pair) + (1 | day)</w:t>
      </w:r>
      <w:r>
        <w:t xml:space="preserve">. For</w:t>
      </w:r>
      <w:r>
        <w:t xml:space="preserve"> </w:t>
      </w:r>
      <w:r>
        <w:rPr>
          <w:b/>
          <w:bCs/>
        </w:rPr>
        <w:t xml:space="preserve">BI</w:t>
      </w:r>
      <w:r>
        <w:t xml:space="preserve">, pairs are significantly more different at</w:t>
      </w:r>
      <w:r>
        <w:t xml:space="preserve"> </w:t>
      </w:r>
      <w:r>
        <w:rPr>
          <w:b/>
          <w:bCs/>
        </w:rPr>
        <w:t xml:space="preserve">dawn, day and dusk than at night</w:t>
      </w:r>
      <w:r>
        <w:t xml:space="preserve"> </w:t>
      </w:r>
      <w:r>
        <w:t xml:space="preserve">(Table 3): sites</w:t>
      </w:r>
      <w:r>
        <w:t xml:space="preserve"> </w:t>
      </w:r>
      <w:r>
        <w:t xml:space="preserve">diverge most when the community is acoustically active, supporting</w:t>
      </w:r>
      <w:r>
        <w:t xml:space="preserve"> </w:t>
      </w:r>
      <w:r>
        <w:rPr>
          <w:b/>
          <w:bCs/>
        </w:rPr>
        <w:t xml:space="preserve">H3</w:t>
      </w:r>
      <w:r>
        <w:t xml:space="preserve">. ACI and ADI show no clear</w:t>
      </w:r>
      <w:r>
        <w:t xml:space="preserve"> </w:t>
      </w:r>
      <w:r>
        <w:t xml:space="preserve">time-of-day pattern in the</w:t>
      </w:r>
      <w:r>
        <w:t xml:space="preserve"> </w:t>
      </w:r>
      <w:r>
        <w:rPr>
          <w:i/>
          <w:iCs/>
        </w:rPr>
        <w:t xml:space="preserve">difference</w:t>
      </w:r>
      <w: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 Between-recorder difference in BI by time of day (vs night). Positive 'vs night' with 'CI excl 0 = yes' means pairs are more different at that time.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period</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vs night</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CI low</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CI high</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CI excl 0</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dawn</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1.149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0.164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2.134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r>
      <w:tr>
        <w:trPr>
          <w:trHeight w:val="360" w:hRule="auto"/>
        </w:trPr>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dusk</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1.015</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0.030</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r>
    </w:tbl>
    <w:bookmarkEnd w:id="28"/>
    <w:bookmarkStart w:id="32" w:name="Xec4a9f36fc4776ba56a2746e90d77782d7febf6"/>
    <w:p>
      <w:pPr>
        <w:pStyle w:val="Heading2"/>
      </w:pPr>
      <w:r>
        <w:t xml:space="preserve">Species community (BirdNET): a complementary view</w:t>
      </w:r>
    </w:p>
    <w:p>
      <w:pPr>
        <w:pStyle w:val="FirstParagraph"/>
      </w:pPr>
      <w:r>
        <w:t xml:space="preserve">Indices summarise</w:t>
      </w:r>
      <w:r>
        <w:t xml:space="preserve"> </w:t>
      </w:r>
      <w:r>
        <w:rPr>
          <w:i/>
          <w:iCs/>
        </w:rPr>
        <w:t xml:space="preserve">how much</w:t>
      </w:r>
      <w:r>
        <w:t xml:space="preserve"> </w:t>
      </w:r>
      <w:r>
        <w:t xml:space="preserve">and</w:t>
      </w:r>
      <w:r>
        <w:t xml:space="preserve"> </w:t>
      </w:r>
      <w:r>
        <w:rPr>
          <w:i/>
          <w:iCs/>
        </w:rPr>
        <w:t xml:space="preserve">how spread out</w:t>
      </w:r>
      <w:r>
        <w:t xml:space="preserve"> </w:t>
      </w:r>
      <w:r>
        <w:t xml:space="preserve">the sound is, not</w:t>
      </w:r>
      <w:r>
        <w:t xml:space="preserve"> </w:t>
      </w:r>
      <w:r>
        <w:rPr>
          <w:i/>
          <w:iCs/>
        </w:rPr>
        <w:t xml:space="preserve">which species</w:t>
      </w:r>
      <w:r>
        <w:t xml:space="preserve"> </w:t>
      </w:r>
      <w:r>
        <w:t xml:space="preserve">call. As a</w:t>
      </w:r>
      <w:r>
        <w:t xml:space="preserve"> </w:t>
      </w:r>
      <w:r>
        <w:t xml:space="preserve">complement we asked the same questions of the BirdNET species community. Unlike the indices, the</w:t>
      </w:r>
      <w:r>
        <w:t xml:space="preserve"> </w:t>
      </w:r>
      <w:r>
        <w:t xml:space="preserve">community shows a</w:t>
      </w:r>
      <w:r>
        <w:t xml:space="preserve"> </w:t>
      </w:r>
      <w:r>
        <w:rPr>
          <w:b/>
          <w:bCs/>
        </w:rPr>
        <w:t xml:space="preserve">distance-decay in pasture</w:t>
      </w:r>
      <w:r>
        <w:t xml:space="preserve">: pairs of pasture recorders share fewer species as they</w:t>
      </w:r>
      <w:r>
        <w:t xml:space="preserve"> </w:t>
      </w:r>
      <w:r>
        <w:t xml:space="preserve">move apart (Figure 3), and the effect is statistically clear and robust across confidence thresholds</w:t>
      </w:r>
      <w:r>
        <w:t xml:space="preserve"> </w:t>
      </w:r>
      <w:r>
        <w:t xml:space="preserve">(Table 4). Forest shows only a weak, unresolved trend, and the forest − pasture difference is if</w:t>
      </w:r>
      <w:r>
        <w:t xml:space="preserve"> </w:t>
      </w:r>
      <w:r>
        <w:t xml:space="preserve">anything negative (dissimilarity rises faster with distance in pasture, the opposite of H2). So</w:t>
      </w:r>
      <w:r>
        <w:t xml:space="preserve"> </w:t>
      </w:r>
      <w:r>
        <w:rPr>
          <w:b/>
          <w:bCs/>
        </w:rPr>
        <w:t xml:space="preserve">the</w:t>
      </w:r>
      <w:r>
        <w:rPr>
          <w:b/>
          <w:bCs/>
        </w:rPr>
        <w:t xml:space="preserve"> </w:t>
      </w:r>
      <w:r>
        <w:rPr>
          <w:b/>
          <w:bCs/>
        </w:rPr>
        <w:t xml:space="preserve">species data detect spatial structure the indices miss</w:t>
      </w:r>
      <w:r>
        <w:t xml:space="preserve">, but in the open pasture rather than the</w:t>
      </w:r>
      <w:r>
        <w:t xml:space="preserve"> </w:t>
      </w:r>
      <w:r>
        <w:t xml:space="preserve">forest.</w:t>
      </w:r>
    </w:p>
    <w:p>
      <w:pPr>
        <w:pStyle w:val="CaptionedFigure"/>
      </w:pPr>
      <w:r>
        <w:drawing>
          <wp:inline>
            <wp:extent cx="5334000" cy="3352799"/>
            <wp:effectExtent b="0" l="0" r="0" t="0"/>
            <wp:docPr descr="Figure 3. Species turnover (Jaccard) between two recorders vs distance, forest vs pasture (≤60 m). Mixed-model fit + 95% band; points day-adjusted, shape = replicate day." title="" id="30" name="Picture"/>
            <a:graphic>
              <a:graphicData uri="http://schemas.openxmlformats.org/drawingml/2006/picture">
                <pic:pic>
                  <pic:nvPicPr>
                    <pic:cNvPr descr="tandayapa_spacing_biodiversity_report_files/tandayapa_spacing_biodiversity_report_files/figure-docx/comm-fig-1.png" id="31" name="Picture"/>
                    <pic:cNvPicPr>
                      <a:picLocks noChangeArrowheads="1" noChangeAspect="1"/>
                    </pic:cNvPicPr>
                  </pic:nvPicPr>
                  <pic:blipFill>
                    <a:blip r:embed="rId29"/>
                    <a:stretch>
                      <a:fillRect/>
                    </a:stretch>
                  </pic:blipFill>
                  <pic:spPr bwMode="auto">
                    <a:xfrm>
                      <a:off x="0" y="0"/>
                      <a:ext cx="5334000" cy="3352799"/>
                    </a:xfrm>
                    <a:prstGeom prst="rect">
                      <a:avLst/>
                    </a:prstGeom>
                    <a:noFill/>
                    <a:ln w="9525">
                      <a:noFill/>
                      <a:headEnd/>
                      <a:tailEnd/>
                    </a:ln>
                  </pic:spPr>
                </pic:pic>
              </a:graphicData>
            </a:graphic>
          </wp:inline>
        </w:drawing>
      </w:r>
    </w:p>
    <w:p>
      <w:pPr>
        <w:pStyle w:val="ImageCaption"/>
      </w:pPr>
      <w:r>
        <w:t xml:space="preserve">Figure 3. Species turnover (Jaccard) between two recorders vs distance, forest vs pasture (≤60 m). Mixed-model fit + 95% band; points day-adjusted, shape = replicate day.</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 Distance effect on community dissimilarity by habitat (mixed model, ≤60 m). Pasture excludes zero (a real distance-decay); forest does not.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metric</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habitat</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Δ/+10m</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CI low</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CI high</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R2</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CI excl 0</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Bray-Curtis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forest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0.0361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-0.0204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0.0926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0.089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Bray-Curtis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Jaccard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r>
      <w:tr>
        <w:trPr>
          <w:trHeight w:val="360" w:hRule="auto"/>
        </w:trPr>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Jaccard</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pasture</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0.0380</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0.0067</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0.0693</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0.310</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r>
    </w:tbl>
    <w:p>
      <w:pPr>
        <w:pStyle w:val="BodyText"/>
      </w:pPr>
      <w:r>
        <w:t xml:space="preserve">The pasture distance-decay is</w:t>
      </w:r>
      <w:r>
        <w:t xml:space="preserve"> </w:t>
      </w:r>
      <w:r>
        <w:rPr>
          <w:b/>
          <w:bCs/>
        </w:rPr>
        <w:t xml:space="preserve">robust to the BirdNET confidence threshold</w:t>
      </w:r>
      <w:r>
        <w:t xml:space="preserve"> </w:t>
      </w:r>
      <w:r>
        <w:t xml:space="preserve">(the Jaccard slope</w:t>
      </w:r>
      <w:r>
        <w:t xml:space="preserve"> </w:t>
      </w:r>
      <w:r>
        <w:t xml:space="preserve">excludes zero at 0.25, 0.5 and 0.7); the forest trend appears only at the most permissive cutoff. By</w:t>
      </w:r>
      <w:r>
        <w:t xml:space="preserve"> </w:t>
      </w:r>
      <w:r>
        <w:rPr>
          <w:b/>
          <w:bCs/>
        </w:rPr>
        <w:t xml:space="preserve">time of day</w:t>
      </w:r>
      <w:r>
        <w:t xml:space="preserve">, community pairs differ most</w:t>
      </w:r>
      <w:r>
        <w:t xml:space="preserve"> </w:t>
      </w:r>
      <w:r>
        <w:rPr>
          <w:b/>
          <w:bCs/>
        </w:rPr>
        <w:t xml:space="preserve">during the day</w:t>
      </w:r>
      <w:r>
        <w:t xml:space="preserve"> </w:t>
      </w:r>
      <w:r>
        <w:t xml:space="preserve">(Jaccard difference vs night is clearly</w:t>
      </w:r>
      <w:r>
        <w:t xml:space="preserve"> </w:t>
      </w:r>
      <w:r>
        <w:t xml:space="preserve">positive), echoing the indices: sites diverge most when the community is active.</w:t>
      </w:r>
    </w:p>
    <w:bookmarkEnd w:id="32"/>
    <w:bookmarkStart w:id="36" w:name="richness-vocal-activity-and-microclimate"/>
    <w:p>
      <w:pPr>
        <w:pStyle w:val="Heading2"/>
      </w:pPr>
      <w:r>
        <w:t xml:space="preserve">Richness, vocal activity and microclimate</w:t>
      </w:r>
    </w:p>
    <w:p>
      <w:pPr>
        <w:pStyle w:val="FirstParagraph"/>
      </w:pPr>
      <w:r>
        <w:t xml:space="preserve">Detected richness is</w:t>
      </w:r>
      <w:r>
        <w:t xml:space="preserve"> </w:t>
      </w:r>
      <w:r>
        <w:rPr>
          <w:b/>
          <w:bCs/>
        </w:rPr>
        <w:t xml:space="preserve">nearly identical</w:t>
      </w:r>
      <w:r>
        <w:t xml:space="preserve"> </w:t>
      </w:r>
      <w:r>
        <w:t xml:space="preserve">between habitats (forest and pasture hold similar numbers of</w:t>
      </w:r>
      <w:r>
        <w:t xml:space="preserve"> </w:t>
      </w:r>
      <w:r>
        <w:t xml:space="preserve">bird, frog and insect species), so the spacing contrast is about</w:t>
      </w:r>
      <w:r>
        <w:t xml:space="preserve"> </w:t>
      </w:r>
      <w:r>
        <w:rPr>
          <w:i/>
          <w:iCs/>
        </w:rPr>
        <w:t xml:space="preserve">spatial structure</w:t>
      </w:r>
      <w:r>
        <w:t xml:space="preserve">, not species</w:t>
      </w:r>
      <w:r>
        <w:t xml:space="preserve"> </w:t>
      </w:r>
      <w:r>
        <w:t xml:space="preserve">count. Pasture recorders logged</w:t>
      </w:r>
      <w:r>
        <w:t xml:space="preserve"> </w:t>
      </w:r>
      <w:r>
        <w:rPr>
          <w:b/>
          <w:bCs/>
        </w:rPr>
        <w:t xml:space="preserve">more detections</w:t>
      </w:r>
      <w:r>
        <w:t xml:space="preserve"> </w:t>
      </w:r>
      <w:r>
        <w:t xml:space="preserve">(vocal activity) than forest ones, especially frogs</w:t>
      </w:r>
      <w:r>
        <w:t xml:space="preserve"> </w:t>
      </w:r>
      <w:r>
        <w:t xml:space="preserve">and birds (Figure 4); this is not evidence of higher biodiversity (richness is similar) but likely</w:t>
      </w:r>
      <w:r>
        <w:t xml:space="preserve"> </w:t>
      </w:r>
      <w:r>
        <w:t xml:space="preserve">reflects more calling in the open and sound carrying farther where there is less vegetation to absorb</w:t>
      </w:r>
      <w:r>
        <w:t xml:space="preserve"> </w:t>
      </w:r>
      <w:r>
        <w:t xml:space="preserve">it, so it is not a reason to place recorders only in open areas.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5. Species richness and vocal activity (detections) by habitat and group.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Habitat</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Group</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Species richness</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Detections</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Forest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Bird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Frog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Insect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Bird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Frog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1,835</w:t>
            </w:r>
          </w:p>
        </w:tc>
      </w:tr>
      <w:tr>
        <w:trPr>
          <w:trHeight w:val="360" w:hRule="auto"/>
        </w:trPr>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Pasture</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Insect</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138</w:t>
            </w:r>
          </w:p>
        </w:tc>
      </w:tr>
    </w:tbl>
    <w:p>
      <w:pPr>
        <w:pStyle w:val="BodyText"/>
      </w:pPr>
      <w:r>
        <w:t xml:space="preserve">The paired dataloggers show the</w:t>
      </w:r>
      <w:r>
        <w:t xml:space="preserve"> </w:t>
      </w:r>
      <w:r>
        <w:rPr>
          <w:b/>
          <w:bCs/>
        </w:rPr>
        <w:t xml:space="preserve">forest buffers the microclimate</w:t>
      </w:r>
      <w:r>
        <w:t xml:space="preserve">: at midday the pasture warms to</w:t>
      </w:r>
      <w:r>
        <w:t xml:space="preserve"> </w:t>
      </w:r>
      <w:r>
        <w:t xml:space="preserve">~22 °C and its humidity falls to ~81%, while the forest stays ~19.6 °C and ~97% humidity, and the</w:t>
      </w:r>
      <w:r>
        <w:t xml:space="preserve"> </w:t>
      </w:r>
      <w:r>
        <w:t xml:space="preserve">forest is near 100% humidity 84% of the time versus 52% in the pasture. This is consistent with the</w:t>
      </w:r>
      <w:r>
        <w:t xml:space="preserve"> </w:t>
      </w:r>
      <w:r>
        <w:t xml:space="preserve">closed forest canopy moderating extremes, and with the more homogeneous forest soundscape.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6. Microclimate summary by habitat (Kestrel loggers, June 3–7).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Habitat</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temp (°C)</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Max temp (°C)</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RH (%)</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Min RH (%)</w:t>
            </w:r>
          </w:p>
        </w:tc>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Hours &gt;95% RH</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Forest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97.6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59.5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705</w:t>
            </w:r>
          </w:p>
        </w:tc>
      </w:tr>
      <w:tr>
        <w:trPr>
          <w:trHeight w:val="360" w:hRule="auto"/>
        </w:trPr>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Pasture</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18.3</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26.5</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93.5</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60.2</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528</w:t>
            </w:r>
          </w:p>
        </w:tc>
      </w:tr>
    </w:tbl>
    <w:p>
      <w:pPr>
        <w:pStyle w:val="CaptionedFigure"/>
      </w:pPr>
      <w:r>
        <w:drawing>
          <wp:inline>
            <wp:extent cx="5334000" cy="1950861"/>
            <wp:effectExtent b="0" l="0" r="0" t="0"/>
            <wp:docPr descr="Figure 5. Mean temperature and humidity by hour, forest vs pasture (loggers, June 3–7)." title="" id="34" name="Picture"/>
            <a:graphic>
              <a:graphicData uri="http://schemas.openxmlformats.org/drawingml/2006/picture">
                <pic:pic>
                  <pic:nvPicPr>
                    <pic:cNvPr descr="tandayapa_spacing_biodiversity_report_files/tandayapa_spacing_biodiversity_report_files/figure-docx/micro-fig-1.png" id="35" name="Picture"/>
                    <pic:cNvPicPr>
                      <a:picLocks noChangeArrowheads="1" noChangeAspect="1"/>
                    </pic:cNvPicPr>
                  </pic:nvPicPr>
                  <pic:blipFill>
                    <a:blip r:embed="rId33"/>
                    <a:stretch>
                      <a:fillRect/>
                    </a:stretch>
                  </pic:blipFill>
                  <pic:spPr bwMode="auto">
                    <a:xfrm>
                      <a:off x="0" y="0"/>
                      <a:ext cx="5334000" cy="1950861"/>
                    </a:xfrm>
                    <a:prstGeom prst="rect">
                      <a:avLst/>
                    </a:prstGeom>
                    <a:noFill/>
                    <a:ln w="9525">
                      <a:noFill/>
                      <a:headEnd/>
                      <a:tailEnd/>
                    </a:ln>
                  </pic:spPr>
                </pic:pic>
              </a:graphicData>
            </a:graphic>
          </wp:inline>
        </w:drawing>
      </w:r>
    </w:p>
    <w:p>
      <w:pPr>
        <w:pStyle w:val="ImageCaption"/>
      </w:pPr>
      <w:r>
        <w:t xml:space="preserve">Figure 5. Mean temperature and humidity by hour, forest vs pasture (loggers, June 3–7).</w:t>
      </w:r>
    </w:p>
    <w:bookmarkEnd w:id="36"/>
    <w:bookmarkEnd w:id="37"/>
    <w:bookmarkStart w:id="38" w:name="discussion"/>
    <w:p>
      <w:pPr>
        <w:pStyle w:val="Heading1"/>
      </w:pPr>
      <w:r>
        <w:t xml:space="preserve">Discussion</w:t>
      </w:r>
    </w:p>
    <w:p>
      <w:pPr>
        <w:pStyle w:val="FirstParagraph"/>
      </w:pPr>
      <w:r>
        <w:t xml:space="preserve">Over 15–60 m, the</w:t>
      </w:r>
      <w:r>
        <w:t xml:space="preserve"> </w:t>
      </w:r>
      <w:r>
        <w:rPr>
          <w:b/>
          <w:bCs/>
        </w:rPr>
        <w:t xml:space="preserve">acoustic indices did not change with recorder distance</w:t>
      </w:r>
      <w:r>
        <w:t xml:space="preserve"> </w:t>
      </w:r>
      <w:r>
        <w:t xml:space="preserve">(Figure 1, Table 2): two</w:t>
      </w:r>
      <w:r>
        <w:t xml:space="preserve"> </w:t>
      </w:r>
      <w:r>
        <w:t xml:space="preserve">recorders 15 m or 60 m apart produced equally similar ACI, BI and ADI. The cheap indices therefore did</w:t>
      </w:r>
      <w:r>
        <w:t xml:space="preserve"> </w:t>
      </w:r>
      <w:r>
        <w:t xml:space="preserve">not, on their own, reveal a spacing effect at this scale, and</w:t>
      </w:r>
      <w:r>
        <w:t xml:space="preserve"> </w:t>
      </w:r>
      <w:r>
        <w:rPr>
          <w:b/>
          <w:bCs/>
        </w:rPr>
        <w:t xml:space="preserve">H1 was not supported for the indices</w:t>
      </w:r>
      <w:r>
        <w:t xml:space="preserve">.</w:t>
      </w:r>
      <w:r>
        <w:t xml:space="preserve"> </w:t>
      </w:r>
      <w:r>
        <w:t xml:space="preserve">The indices instead tracked</w:t>
      </w:r>
      <w:r>
        <w:t xml:space="preserve"> </w:t>
      </w:r>
      <w:r>
        <w:rPr>
          <w:b/>
          <w:bCs/>
        </w:rPr>
        <w:t xml:space="preserve">time of day</w:t>
      </w:r>
      <w:r>
        <w:t xml:space="preserve"> </w:t>
      </w:r>
      <w:r>
        <w:t xml:space="preserve">strongly (Figure 2): BI rose at the dawn/day chorus and</w:t>
      </w:r>
      <w:r>
        <w:t xml:space="preserve"> </w:t>
      </w:r>
      <w:r>
        <w:t xml:space="preserve">between-site BI differences were largest during the active periods (Table 3), supporting</w:t>
      </w:r>
      <w:r>
        <w:t xml:space="preserve"> </w:t>
      </w:r>
      <w:r>
        <w:rPr>
          <w:b/>
          <w:bCs/>
        </w:rPr>
        <w:t xml:space="preserve">H3</w:t>
      </w:r>
      <w:r>
        <w:t xml:space="preserve">. This</w:t>
      </w:r>
      <w:r>
        <w:t xml:space="preserve"> </w:t>
      </w:r>
      <w:r>
        <w:t xml:space="preserve">makes sense, indices summarise the overall amount and spread of sound, which changes far more between</w:t>
      </w:r>
      <w:r>
        <w:t xml:space="preserve"> </w:t>
      </w:r>
      <w:r>
        <w:t xml:space="preserve">night and a dawn chorus than between two recorders a few tens of metres apart.</w:t>
      </w:r>
    </w:p>
    <w:p>
      <w:pPr>
        <w:pStyle w:val="BodyText"/>
      </w:pPr>
      <w:r>
        <w:t xml:space="preserve">The</w:t>
      </w:r>
      <w:r>
        <w:t xml:space="preserve"> </w:t>
      </w:r>
      <w:r>
        <w:rPr>
          <w:b/>
          <w:bCs/>
        </w:rPr>
        <w:t xml:space="preserve">species community told a different and complementary story</w:t>
      </w:r>
      <w:r>
        <w:t xml:space="preserve">. Where the indices were flat, the</w:t>
      </w:r>
      <w:r>
        <w:t xml:space="preserve"> </w:t>
      </w:r>
      <w:r>
        <w:t xml:space="preserve">BirdNET community showed a clear, threshold-robust</w:t>
      </w:r>
      <w:r>
        <w:t xml:space="preserve"> </w:t>
      </w:r>
      <w:r>
        <w:rPr>
          <w:b/>
          <w:bCs/>
        </w:rPr>
        <w:t xml:space="preserve">distance-decay in the pasture</w:t>
      </w:r>
      <w:r>
        <w:t xml:space="preserve"> </w:t>
      </w:r>
      <w:r>
        <w:t xml:space="preserve">(Figure 3,</w:t>
      </w:r>
      <w:r>
        <w:t xml:space="preserve"> </w:t>
      </w:r>
      <w:r>
        <w:t xml:space="preserve">Table 4): open-habitat recorders sampled increasingly different species with distance, while forest was</w:t>
      </w:r>
      <w:r>
        <w:t xml:space="preserve"> </w:t>
      </w:r>
      <w:r>
        <w:t xml:space="preserve">weak and unresolved. This is the</w:t>
      </w:r>
      <w:r>
        <w:t xml:space="preserve"> </w:t>
      </w:r>
      <w:r>
        <w:rPr>
          <w:b/>
          <w:bCs/>
        </w:rPr>
        <w:t xml:space="preserve">opposite of H2</w:t>
      </w:r>
      <w:r>
        <w:t xml:space="preserve"> </w:t>
      </w:r>
      <w:r>
        <w:t xml:space="preserve">(we expected forest to decay faster because it</w:t>
      </w:r>
      <w:r>
        <w:t xml:space="preserve"> </w:t>
      </w:r>
      <w:r>
        <w:t xml:space="preserve">attenuates sound); a plausible reading is that the pasture is more spatially heterogeneous at this scale</w:t>
      </w:r>
      <w:r>
        <w:t xml:space="preserve"> </w:t>
      </w:r>
      <w:r>
        <w:t xml:space="preserve">(patchy edges, scattered shrubs, localised callers), while the forest interior, which the microclimate</w:t>
      </w:r>
      <w:r>
        <w:t xml:space="preserve"> </w:t>
      </w:r>
      <w:r>
        <w:t xml:space="preserve">data show is the more buffered, homogeneous habitat (Figure 5), is acoustically more uniform. The key</w:t>
      </w:r>
      <w:r>
        <w:t xml:space="preserve"> </w:t>
      </w:r>
      <w:r>
        <w:t xml:space="preserve">methodological message is that</w:t>
      </w:r>
      <w:r>
        <w:t xml:space="preserve"> </w:t>
      </w:r>
      <w:r>
        <w:rPr>
          <w:b/>
          <w:bCs/>
        </w:rPr>
        <w:t xml:space="preserve">a biodiversity question about recorder spacing needs species-level</w:t>
      </w:r>
      <w:r>
        <w:rPr>
          <w:b/>
          <w:bCs/>
        </w:rPr>
        <w:t xml:space="preserve"> </w:t>
      </w:r>
      <w:r>
        <w:rPr>
          <w:b/>
          <w:bCs/>
        </w:rPr>
        <w:t xml:space="preserve">data</w:t>
      </w:r>
      <w:r>
        <w:t xml:space="preserve">, because the indices alone would have concluded that spacing does not matter, missing the</w:t>
      </w:r>
      <w:r>
        <w:t xml:space="preserve"> </w:t>
      </w:r>
      <w:r>
        <w:t xml:space="preserve">compositional turnover that the classifier-based analysis reveals. Both currencies agreed, though, that</w:t>
      </w:r>
      <w:r>
        <w:t xml:space="preserve"> </w:t>
      </w:r>
      <w:r>
        <w:rPr>
          <w:b/>
          <w:bCs/>
        </w:rPr>
        <w:t xml:space="preserve">sites differ most during the day</w:t>
      </w:r>
      <w:r>
        <w:t xml:space="preserve">, when most animals are calling.</w:t>
      </w:r>
    </w:p>
    <w:bookmarkEnd w:id="38"/>
    <w:bookmarkStart w:id="39" w:name="conclusion"/>
    <w:p>
      <w:pPr>
        <w:pStyle w:val="Heading1"/>
      </w:pPr>
      <w:r>
        <w:t xml:space="preserve">Conclusion</w:t>
      </w:r>
    </w:p>
    <w:p>
      <w:pPr>
        <w:pStyle w:val="FirstParagraph"/>
      </w:pPr>
      <w:r>
        <w:t xml:space="preserve">At Tandayapa, acoustic indices (ACI, BI, ADI) measured at two AudioMoths</w:t>
      </w:r>
      <w:r>
        <w:t xml:space="preserve"> </w:t>
      </w:r>
      <w:r>
        <w:rPr>
          <w:b/>
          <w:bCs/>
        </w:rPr>
        <w:t xml:space="preserve">did not diverge with</w:t>
      </w:r>
      <w:r>
        <w:rPr>
          <w:b/>
          <w:bCs/>
        </w:rPr>
        <w:t xml:space="preserve"> </w:t>
      </w:r>
      <w:r>
        <w:rPr>
          <w:b/>
          <w:bCs/>
        </w:rPr>
        <w:t xml:space="preserve">recorder spacing</w:t>
      </w:r>
      <w:r>
        <w:t xml:space="preserve"> </w:t>
      </w:r>
      <w:r>
        <w:t xml:space="preserve">over 15–60 m, but they did vary strongly with</w:t>
      </w:r>
      <w:r>
        <w:t xml:space="preserve"> </w:t>
      </w:r>
      <w:r>
        <w:rPr>
          <w:b/>
          <w:bCs/>
        </w:rPr>
        <w:t xml:space="preserve">time of day</w:t>
      </w:r>
      <w:r>
        <w:t xml:space="preserve"> </w:t>
      </w:r>
      <w:r>
        <w:t xml:space="preserve">(the dawn/day chorus),</w:t>
      </w:r>
      <w:r>
        <w:t xml:space="preserve"> </w:t>
      </w:r>
      <w:r>
        <w:t xml:space="preserve">and between-site differences were largest during the active periods. The</w:t>
      </w:r>
      <w:r>
        <w:t xml:space="preserve"> </w:t>
      </w:r>
      <w:r>
        <w:rPr>
          <w:b/>
          <w:bCs/>
        </w:rPr>
        <w:t xml:space="preserve">species community</w:t>
      </w:r>
      <w:r>
        <w:t xml:space="preserve">, by</w:t>
      </w:r>
      <w:r>
        <w:t xml:space="preserve"> </w:t>
      </w:r>
      <w:r>
        <w:t xml:space="preserve">contrast, became measurably more different with distance</w:t>
      </w:r>
      <w:r>
        <w:t xml:space="preserve"> </w:t>
      </w:r>
      <w:r>
        <w:rPr>
          <w:b/>
          <w:bCs/>
        </w:rPr>
        <w:t xml:space="preserve">in the open pasture</w:t>
      </w:r>
      <w:r>
        <w:t xml:space="preserve"> </w:t>
      </w:r>
      <w:r>
        <w:t xml:space="preserve">(robustly across</w:t>
      </w:r>
      <w:r>
        <w:t xml:space="preserve"> </w:t>
      </w:r>
      <w:r>
        <w:t xml:space="preserve">thresholds), not in forest, so forest did</w:t>
      </w:r>
      <w:r>
        <w:t xml:space="preserve"> </w:t>
      </w:r>
      <w:r>
        <w:rPr>
          <w:b/>
          <w:bCs/>
        </w:rPr>
        <w:t xml:space="preserve">not</w:t>
      </w:r>
      <w:r>
        <w:t xml:space="preserve"> </w:t>
      </w:r>
      <w:r>
        <w:t xml:space="preserve">decay faster than pasture. Practically: acoustic</w:t>
      </w:r>
      <w:r>
        <w:t xml:space="preserve"> </w:t>
      </w:r>
      <w:r>
        <w:t xml:space="preserve">indices are useful for temporal questions but</w:t>
      </w:r>
      <w:r>
        <w:t xml:space="preserve"> </w:t>
      </w:r>
      <w:r>
        <w:rPr>
          <w:b/>
          <w:bCs/>
        </w:rPr>
        <w:t xml:space="preserve">insensitive to recorder spacing at this scale</w:t>
      </w:r>
      <w:r>
        <w:t xml:space="preserve">, so</w:t>
      </w:r>
      <w:r>
        <w:t xml:space="preserve"> </w:t>
      </w:r>
      <w:r>
        <w:t xml:space="preserve">biodiversity-driven spacing decisions should use</w:t>
      </w:r>
      <w:r>
        <w:t xml:space="preserve"> </w:t>
      </w:r>
      <w:r>
        <w:rPr>
          <w:b/>
          <w:bCs/>
        </w:rPr>
        <w:t xml:space="preserve">species-level data</w:t>
      </w:r>
      <w:r>
        <w:t xml:space="preserve">; recorder spacing affects sample</w:t>
      </w:r>
      <w:r>
        <w:t xml:space="preserve"> </w:t>
      </w:r>
      <w:r>
        <w:t xml:space="preserve">independence in open habitat and should be standardised and reported, and</w:t>
      </w:r>
      <w:r>
        <w:t xml:space="preserve"> </w:t>
      </w:r>
      <w:r>
        <w:rPr>
          <w:b/>
          <w:bCs/>
        </w:rPr>
        <w:t xml:space="preserve">time of day must be balanced</w:t>
      </w:r>
      <w:r>
        <w:t xml:space="preserve"> </w:t>
      </w:r>
      <w:r>
        <w:t xml:space="preserve">when comparing recorders.</w:t>
      </w:r>
    </w:p>
    <w:bookmarkEnd w:id="39"/>
    <w:bookmarkStart w:id="40" w:name="limitations"/>
    <w:p>
      <w:pPr>
        <w:pStyle w:val="Heading1"/>
      </w:pPr>
      <w:r>
        <w:t xml:space="preserve">Limitations</w:t>
      </w:r>
    </w:p>
    <w:p>
      <w:pPr>
        <w:pStyle w:val="FirstParagraph"/>
      </w:pPr>
      <w:r>
        <w:t xml:space="preserve">Only 10–12 recorder pairs per habitat and several recorder failures limit power (units A08, A04, A06,</w:t>
      </w:r>
      <w:r>
        <w:t xml:space="preserve"> </w:t>
      </w:r>
      <w:r>
        <w:t xml:space="preserve">A03 lost data), and losses forced us to cap the analysis at 60 m. The three recorders on a transect</w:t>
      </w:r>
      <w:r>
        <w:t xml:space="preserve"> </w:t>
      </w:r>
      <w:r>
        <w:t xml:space="preserve">shared points across distance treatments, so pairs within a deployment are not fully independent; the</w:t>
      </w:r>
      <w:r>
        <w:t xml:space="preserve"> </w:t>
      </w:r>
      <w:r>
        <w:t xml:space="preserve">day random effect mitigates but does not remove this (Sugai et al., 2019; Bradfer-Lawrence et al.,</w:t>
      </w:r>
      <w:r>
        <w:t xml:space="preserve"> </w:t>
      </w:r>
      <w:r>
        <w:t xml:space="preserve">2023). Detection counts index vocal</w:t>
      </w:r>
      <w:r>
        <w:t xml:space="preserve"> </w:t>
      </w:r>
      <w:r>
        <w:rPr>
          <w:i/>
          <w:iCs/>
        </w:rPr>
        <w:t xml:space="preserve">activity</w:t>
      </w:r>
      <w:r>
        <w:t xml:space="preserve">, not abundance, and BirdNET can miss local or endemic</w:t>
      </w:r>
      <w:r>
        <w:t xml:space="preserve"> </w:t>
      </w:r>
      <w:r>
        <w:t xml:space="preserve">taxa (Fairbairn et al., 2025; Schiavo et al., 2025). Microclimate had only one logger per habitat, so it</w:t>
      </w:r>
      <w:r>
        <w:t xml:space="preserve"> </w:t>
      </w:r>
      <w:r>
        <w:t xml:space="preserve">is described at the habitat level. The transects were on a slope, which can affect both sound</w:t>
      </w:r>
      <w:r>
        <w:t xml:space="preserve"> </w:t>
      </w:r>
      <w:r>
        <w:t xml:space="preserve">propagation and placement.</w:t>
      </w:r>
    </w:p>
    <w:bookmarkEnd w:id="40"/>
    <w:bookmarkStart w:id="41" w:name="future-directions"/>
    <w:p>
      <w:pPr>
        <w:pStyle w:val="Heading1"/>
      </w:pPr>
      <w:r>
        <w:t xml:space="preserve">Future directions</w:t>
      </w:r>
    </w:p>
    <w:p>
      <w:pPr>
        <w:pStyle w:val="FirstParagraph"/>
      </w:pPr>
      <w:r>
        <w:t xml:space="preserve">Future work should increase the number of sampling days and</w:t>
      </w:r>
      <w:r>
        <w:t xml:space="preserve"> </w:t>
      </w:r>
      <w:r>
        <w:rPr>
          <w:b/>
          <w:bCs/>
        </w:rPr>
        <w:t xml:space="preserve">replicate the same spacings on</w:t>
      </w:r>
      <w:r>
        <w:rPr>
          <w:b/>
          <w:bCs/>
        </w:rPr>
        <w:t xml:space="preserve"> </w:t>
      </w:r>
      <w:r>
        <w:rPr>
          <w:b/>
          <w:bCs/>
        </w:rPr>
        <w:t xml:space="preserve">independent transects</w:t>
      </w:r>
      <w:r>
        <w:t xml:space="preserve"> </w:t>
      </w:r>
      <w:r>
        <w:t xml:space="preserve">within each habitat (rather than extending the maximum distance) to confirm the</w:t>
      </w:r>
      <w:r>
        <w:t xml:space="preserve"> </w:t>
      </w:r>
      <w:r>
        <w:t xml:space="preserve">pasture distance-decay and reduce spatial dependence. BirdNET could be</w:t>
      </w:r>
      <w:r>
        <w:t xml:space="preserve"> </w:t>
      </w:r>
      <w:r>
        <w:rPr>
          <w:b/>
          <w:bCs/>
        </w:rPr>
        <w:t xml:space="preserve">fine-tuned with local</w:t>
      </w:r>
      <w:r>
        <w:rPr>
          <w:b/>
          <w:bCs/>
        </w:rPr>
        <w:t xml:space="preserve"> </w:t>
      </w:r>
      <w:r>
        <w:rPr>
          <w:b/>
          <w:bCs/>
        </w:rPr>
        <w:t xml:space="preserve">recordings</w:t>
      </w:r>
      <w:r>
        <w:t xml:space="preserve"> </w:t>
      </w:r>
      <w:r>
        <w:t xml:space="preserve">to improve detection of Chocó-Andino taxa (Schiavo et al., 2025), more habitat types and</w:t>
      </w:r>
      <w:r>
        <w:t xml:space="preserve"> </w:t>
      </w:r>
      <w:r>
        <w:t xml:space="preserve">detailed</w:t>
      </w:r>
      <w:r>
        <w:t xml:space="preserve"> </w:t>
      </w:r>
      <w:r>
        <w:rPr>
          <w:b/>
          <w:bCs/>
        </w:rPr>
        <w:t xml:space="preserve">vegetation-structure</w:t>
      </w:r>
      <w:r>
        <w:t xml:space="preserve"> </w:t>
      </w:r>
      <w:r>
        <w:t xml:space="preserve">measurements (canopy openness, density, LiDAR) would clarify how</w:t>
      </w:r>
      <w:r>
        <w:t xml:space="preserve"> </w:t>
      </w:r>
      <w:r>
        <w:t xml:space="preserve">vegetation shapes sound propagation (Guagliumi et al., 2025), and adding a</w:t>
      </w:r>
      <w:r>
        <w:t xml:space="preserve"> </w:t>
      </w:r>
      <w:r>
        <w:rPr>
          <w:b/>
          <w:bCs/>
        </w:rPr>
        <w:t xml:space="preserve">rain gauge</w:t>
      </w:r>
      <w:r>
        <w:t xml:space="preserve"> </w:t>
      </w:r>
      <w:r>
        <w:t xml:space="preserve">and wind</w:t>
      </w:r>
      <w:r>
        <w:t xml:space="preserve"> </w:t>
      </w:r>
      <w:r>
        <w:t xml:space="preserve">sensor would separate weather effects from spacing and habitat.</w:t>
      </w:r>
    </w:p>
    <w:bookmarkEnd w:id="41"/>
    <w:bookmarkStart w:id="42" w:name="references"/>
    <w:p>
      <w:pPr>
        <w:pStyle w:val="Heading1"/>
      </w:pPr>
      <w:r>
        <w:t xml:space="preserve">References</w:t>
      </w:r>
    </w:p>
    <w:p>
      <w:pPr>
        <w:pStyle w:val="FirstParagraph"/>
      </w:pPr>
      <w:r>
        <w:t xml:space="preserve">Bradfer-Lawrence, T., et al. (2023). Using acoustic indices in ecology: guidance on study design,</w:t>
      </w:r>
      <w:r>
        <w:t xml:space="preserve"> </w:t>
      </w:r>
      <w:r>
        <w:t xml:space="preserve">analyses and interpretation.</w:t>
      </w:r>
      <w:r>
        <w:t xml:space="preserve"> </w:t>
      </w:r>
      <w:r>
        <w:rPr>
          <w:i/>
          <w:iCs/>
        </w:rPr>
        <w:t xml:space="preserve">Methods in Ecology and Evolution.</w:t>
      </w:r>
    </w:p>
    <w:p>
      <w:pPr>
        <w:pStyle w:val="BodyText"/>
      </w:pPr>
      <w:r>
        <w:t xml:space="preserve">Bruijnzeel, L. A., Mulligan, M., &amp; Scatena, F. N. (2011). Hydrometeorology of tropical montane cloud</w:t>
      </w:r>
      <w:r>
        <w:t xml:space="preserve"> </w:t>
      </w:r>
      <w:r>
        <w:t xml:space="preserve">forests.</w:t>
      </w:r>
      <w:r>
        <w:t xml:space="preserve"> </w:t>
      </w:r>
      <w:r>
        <w:rPr>
          <w:i/>
          <w:iCs/>
        </w:rPr>
        <w:t xml:space="preserve">Hydrological Processes,</w:t>
      </w:r>
      <w:r>
        <w:t xml:space="preserve"> </w:t>
      </w:r>
      <w:r>
        <w:t xml:space="preserve">25(3), 465–498.</w:t>
      </w:r>
    </w:p>
    <w:p>
      <w:pPr>
        <w:pStyle w:val="BodyText"/>
      </w:pPr>
      <w:r>
        <w:t xml:space="preserve">Entling, M. H., et al. (2025). Sound attenuation in forest versus open habitats measured with AudioMoth</w:t>
      </w:r>
      <w:r>
        <w:t xml:space="preserve"> </w:t>
      </w:r>
      <w:r>
        <w:t xml:space="preserve">recorders.</w:t>
      </w:r>
      <w:r>
        <w:t xml:space="preserve"> </w:t>
      </w:r>
      <w:r>
        <w:rPr>
          <w:i/>
          <w:iCs/>
        </w:rPr>
        <w:t xml:space="preserve">(as cited in the group’s reference list.)</w:t>
      </w:r>
    </w:p>
    <w:p>
      <w:pPr>
        <w:pStyle w:val="BodyText"/>
      </w:pPr>
      <w:r>
        <w:t xml:space="preserve">Fairbairn, A. J., et al. (2025). BirdNET can be as good as experts for acoustic bird monitoring if used</w:t>
      </w:r>
      <w:r>
        <w:t xml:space="preserve"> </w:t>
      </w:r>
      <w:r>
        <w:t xml:space="preserve">carefully.</w:t>
      </w:r>
      <w:r>
        <w:t xml:space="preserve"> </w:t>
      </w:r>
      <w:r>
        <w:rPr>
          <w:i/>
          <w:iCs/>
        </w:rPr>
        <w:t xml:space="preserve">PLOS ONE,</w:t>
      </w:r>
      <w:r>
        <w:t xml:space="preserve"> </w:t>
      </w:r>
      <w:r>
        <w:t xml:space="preserve">20(10), e0330836.</w:t>
      </w:r>
    </w:p>
    <w:p>
      <w:pPr>
        <w:pStyle w:val="BodyText"/>
      </w:pPr>
      <w:r>
        <w:t xml:space="preserve">Farina, A. (2014).</w:t>
      </w:r>
      <w:r>
        <w:t xml:space="preserve"> </w:t>
      </w:r>
      <w:r>
        <w:rPr>
          <w:i/>
          <w:iCs/>
        </w:rPr>
        <w:t xml:space="preserve">Soundscape Ecology: Principles, Patterns, Methods and Applications.</w:t>
      </w:r>
      <w:r>
        <w:t xml:space="preserve"> </w:t>
      </w:r>
      <w:r>
        <w:t xml:space="preserve">Springer.</w:t>
      </w:r>
    </w:p>
    <w:p>
      <w:pPr>
        <w:pStyle w:val="BodyText"/>
      </w:pPr>
      <w:r>
        <w:t xml:space="preserve">Guagliumi, G., et al. (2025). The interaction between vegetation structure and acoustic environment.</w:t>
      </w:r>
      <w:r>
        <w:t xml:space="preserve"> </w:t>
      </w:r>
      <w:r>
        <w:rPr>
          <w:i/>
          <w:iCs/>
        </w:rPr>
        <w:t xml:space="preserve">Sustainability,</w:t>
      </w:r>
      <w:r>
        <w:t xml:space="preserve"> </w:t>
      </w:r>
      <w:r>
        <w:t xml:space="preserve">17(9), 4204.</w:t>
      </w:r>
    </w:p>
    <w:p>
      <w:pPr>
        <w:pStyle w:val="BodyText"/>
      </w:pPr>
      <w:r>
        <w:t xml:space="preserve">Haupert, S., et al. (2023). Sound propagation and detection distance in passive acoustic monitoring.</w:t>
      </w:r>
      <w:r>
        <w:t xml:space="preserve"> </w:t>
      </w:r>
      <w:r>
        <w:rPr>
          <w:i/>
          <w:iCs/>
        </w:rPr>
        <w:t xml:space="preserve">(as cited in the group’s reference list.)</w:t>
      </w:r>
    </w:p>
    <w:p>
      <w:pPr>
        <w:pStyle w:val="BodyText"/>
      </w:pPr>
      <w:r>
        <w:t xml:space="preserve">Kahl, S., Wood, C. M., Eibl, M., &amp; Klinck, H. (2021). BirdNET: a deep learning solution for avian</w:t>
      </w:r>
      <w:r>
        <w:t xml:space="preserve"> </w:t>
      </w:r>
      <w:r>
        <w:t xml:space="preserve">diversity monitoring.</w:t>
      </w:r>
      <w:r>
        <w:t xml:space="preserve"> </w:t>
      </w:r>
      <w:r>
        <w:rPr>
          <w:i/>
          <w:iCs/>
        </w:rPr>
        <w:t xml:space="preserve">Ecological Informatics,</w:t>
      </w:r>
      <w:r>
        <w:t xml:space="preserve"> </w:t>
      </w:r>
      <w:r>
        <w:t xml:space="preserve">61, 101236.</w:t>
      </w:r>
    </w:p>
    <w:p>
      <w:pPr>
        <w:pStyle w:val="BodyText"/>
      </w:pPr>
      <w:r>
        <w:t xml:space="preserve">Metcalf, O. C., et al. (2021). Acoustic indices for biodiversity assessment.</w:t>
      </w:r>
      <w:r>
        <w:t xml:space="preserve"> </w:t>
      </w:r>
      <w:r>
        <w:rPr>
          <w:i/>
          <w:iCs/>
        </w:rPr>
        <w:t xml:space="preserve">Methods in Ecology and</w:t>
      </w:r>
      <w:r>
        <w:rPr>
          <w:i/>
          <w:iCs/>
        </w:rPr>
        <w:t xml:space="preserve"> </w:t>
      </w:r>
      <w:r>
        <w:rPr>
          <w:i/>
          <w:iCs/>
        </w:rPr>
        <w:t xml:space="preserve">Evolution.</w:t>
      </w:r>
    </w:p>
    <w:p>
      <w:pPr>
        <w:pStyle w:val="BodyText"/>
      </w:pPr>
      <w:r>
        <w:t xml:space="preserve">Morton, E. S. (1975). Ecological sources of selection on avian sounds.</w:t>
      </w:r>
      <w:r>
        <w:t xml:space="preserve"> </w:t>
      </w:r>
      <w:r>
        <w:rPr>
          <w:i/>
          <w:iCs/>
        </w:rPr>
        <w:t xml:space="preserve">The American Naturalist,</w:t>
      </w:r>
      <w:r>
        <w:t xml:space="preserve"> </w:t>
      </w:r>
      <w:r>
        <w:t xml:space="preserve">109(965), 17–34.</w:t>
      </w:r>
    </w:p>
    <w:p>
      <w:pPr>
        <w:pStyle w:val="BodyText"/>
      </w:pPr>
      <w:r>
        <w:t xml:space="preserve">Pijanowski, B. C., et al. (2011). Soundscape ecology: the science of sound in the landscape.</w:t>
      </w:r>
      <w:r>
        <w:t xml:space="preserve"> </w:t>
      </w:r>
      <w:r>
        <w:rPr>
          <w:i/>
          <w:iCs/>
        </w:rPr>
        <w:t xml:space="preserve">BioScience,</w:t>
      </w:r>
      <w:r>
        <w:t xml:space="preserve"> </w:t>
      </w:r>
      <w:r>
        <w:t xml:space="preserve">61(3), 203–216.</w:t>
      </w:r>
    </w:p>
    <w:p>
      <w:pPr>
        <w:pStyle w:val="BodyText"/>
      </w:pPr>
      <w:r>
        <w:t xml:space="preserve">Ross, S. R. P.-J., et al. (2023). Passive acoustic monitoring provides a fresh perspective on</w:t>
      </w:r>
      <w:r>
        <w:t xml:space="preserve"> </w:t>
      </w:r>
      <w:r>
        <w:t xml:space="preserve">fundamental ecological questions.</w:t>
      </w:r>
      <w:r>
        <w:t xml:space="preserve"> </w:t>
      </w:r>
      <w:r>
        <w:rPr>
          <w:i/>
          <w:iCs/>
        </w:rPr>
        <w:t xml:space="preserve">Functional Ecology,</w:t>
      </w:r>
      <w:r>
        <w:t xml:space="preserve"> </w:t>
      </w:r>
      <w:r>
        <w:t xml:space="preserve">37(4), 959–975.</w:t>
      </w:r>
    </w:p>
    <w:p>
      <w:pPr>
        <w:pStyle w:val="BodyText"/>
      </w:pPr>
      <w:r>
        <w:t xml:space="preserve">Schiavo, G., et al. (2025). Fine-tuning BirdNET for the automatic ecoacoustic monitoring of bird species</w:t>
      </w:r>
      <w:r>
        <w:t xml:space="preserve"> </w:t>
      </w:r>
      <w:r>
        <w:t xml:space="preserve">in the Italian Alpine forests.</w:t>
      </w:r>
      <w:r>
        <w:t xml:space="preserve"> </w:t>
      </w:r>
      <w:r>
        <w:rPr>
          <w:i/>
          <w:iCs/>
        </w:rPr>
        <w:t xml:space="preserve">Information,</w:t>
      </w:r>
      <w:r>
        <w:t xml:space="preserve"> </w:t>
      </w:r>
      <w:r>
        <w:t xml:space="preserve">16(8), 628.</w:t>
      </w:r>
    </w:p>
    <w:p>
      <w:pPr>
        <w:pStyle w:val="BodyText"/>
      </w:pPr>
      <w:r>
        <w:t xml:space="preserve">Shonfield, J., &amp; Bayne, E. M. (2017). Autonomous recording units in avian ecological research.</w:t>
      </w:r>
      <w:r>
        <w:t xml:space="preserve"> </w:t>
      </w:r>
      <w:r>
        <w:rPr>
          <w:i/>
          <w:iCs/>
        </w:rPr>
        <w:t xml:space="preserve">Avian Conservation and Ecology,</w:t>
      </w:r>
      <w:r>
        <w:t xml:space="preserve"> </w:t>
      </w:r>
      <w:r>
        <w:t xml:space="preserve">12(1), 14.</w:t>
      </w:r>
    </w:p>
    <w:p>
      <w:pPr>
        <w:pStyle w:val="BodyText"/>
      </w:pPr>
      <w:r>
        <w:t xml:space="preserve">Sueur, J., Farina, A., Gasc, A., Pieretti, N., &amp; Pavoine, S. (2014). Acoustic indices for biodiversity</w:t>
      </w:r>
      <w:r>
        <w:t xml:space="preserve"> </w:t>
      </w:r>
      <w:r>
        <w:t xml:space="preserve">assessment and landscape investigation.</w:t>
      </w:r>
      <w:r>
        <w:t xml:space="preserve"> </w:t>
      </w:r>
      <w:r>
        <w:rPr>
          <w:i/>
          <w:iCs/>
        </w:rPr>
        <w:t xml:space="preserve">Acta Acustica united with Acustica,</w:t>
      </w:r>
      <w:r>
        <w:t xml:space="preserve"> </w:t>
      </w:r>
      <w:r>
        <w:t xml:space="preserve">100(4), 772–781.</w:t>
      </w:r>
    </w:p>
    <w:p>
      <w:pPr>
        <w:pStyle w:val="BodyText"/>
      </w:pPr>
      <w:r>
        <w:t xml:space="preserve">Sugai, L. S. M., Silva, T. S. F., Ribeiro, J. W., Jr., &amp; Llusia, D. (2019). A roadmap for survey designs</w:t>
      </w:r>
      <w:r>
        <w:t xml:space="preserve"> </w:t>
      </w:r>
      <w:r>
        <w:t xml:space="preserve">in terrestrial acoustic monitoring.</w:t>
      </w:r>
      <w:r>
        <w:t xml:space="preserve"> </w:t>
      </w:r>
      <w:r>
        <w:rPr>
          <w:i/>
          <w:iCs/>
        </w:rPr>
        <w:t xml:space="preserve">Remote Sensing in Ecology and Conservation.</w:t>
      </w:r>
    </w:p>
    <w:p>
      <w:pPr>
        <w:pStyle w:val="BodyText"/>
      </w:pPr>
      <w:r>
        <w:t xml:space="preserve">Ulloa, J. S., et al. (2021). scikit-maad: an open-source modular toolbox for quantitative soundscape</w:t>
      </w:r>
      <w:r>
        <w:t xml:space="preserve"> </w:t>
      </w:r>
      <w:r>
        <w:t xml:space="preserve">analysis in Python.</w:t>
      </w:r>
      <w:r>
        <w:t xml:space="preserve"> </w:t>
      </w:r>
      <w:r>
        <w:rPr>
          <w:i/>
          <w:iCs/>
        </w:rPr>
        <w:t xml:space="preserve">Methods in Ecology and Evolution,</w:t>
      </w:r>
      <w:r>
        <w:t xml:space="preserve"> </w:t>
      </w:r>
      <w:r>
        <w:t xml:space="preserve">12(12), 2334–2340.</w:t>
      </w:r>
    </w:p>
    <w:p>
      <w:pPr>
        <w:pStyle w:val="BodyText"/>
      </w:pPr>
      <w:r>
        <w:t xml:space="preserve">UNESCO (2024).</w:t>
      </w:r>
      <w:r>
        <w:t xml:space="preserve"> </w:t>
      </w:r>
      <w:r>
        <w:rPr>
          <w:i/>
          <w:iCs/>
        </w:rPr>
        <w:t xml:space="preserve">Chocó Andino de Pichincha Biosphere Reserve.</w:t>
      </w:r>
      <w:r>
        <w:t xml:space="preserve"> </w:t>
      </w:r>
      <w:r>
        <w:t xml:space="preserve">UNESCO Man and the Biosphere Programme.</w:t>
      </w:r>
    </w:p>
    <w:p>
      <w:pPr>
        <w:pStyle w:val="BodyText"/>
      </w:pPr>
      <w:r>
        <w:t xml:space="preserve">Winiarska, D., et al. (2024). Factors affecting detection distance in passive acoustic monitoring.</w:t>
      </w:r>
      <w:r>
        <w:t xml:space="preserve"> </w:t>
      </w:r>
      <w:r>
        <w:rPr>
          <w:i/>
          <w:iCs/>
        </w:rPr>
        <w:t xml:space="preserve">(as cited in the group’s reference list.)</w:t>
      </w:r>
    </w:p>
    <w:p>
      <w:r>
        <w:pict>
          <v:rect style="width:0;height:1.5pt" o:hralign="center" o:hrstd="t" o:hr="t"/>
        </w:pic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000000"/>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00000"/>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000000"/>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000000"/>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hyperlink" Id="rId23" Target="https://github.com/Fr4nzz/tandayapa-soundscape"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Fr4nzz/tandayapa-soundsca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 two recorders hear the same community, and does it differ between forest and pasture?</dc:title>
  <dc:creator>Franz Chandi, Maria Andrade, Priscila Cajas, Noemi Castro</dc:creator>
  <cp:keywords/>
  <dcterms:created xsi:type="dcterms:W3CDTF">2026-06-11T19:22:49Z</dcterms:created>
  <dcterms:modified xsi:type="dcterms:W3CDTF">2026-06-11T19:22:49Z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junio 2026</vt:lpwstr>
  </property>
  <property fmtid="{D5CDD505-2E9C-101B-9397-08002B2CF9AE}" pid="3" name="output">
    <vt:lpwstr/>
  </property>
  <property fmtid="{D5CDD505-2E9C-101B-9397-08002B2CF9AE}" pid="4" name="subtitle">
    <vt:lpwstr>Recorder spacing and soundscape distance-decay · Tandayapa Cloud Forest Station, Ecuador · AudioMoth passive acoustic monitoring</vt:lpwstr>
  </property>
</Properties>
</file>