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Anticipated Counters &amp; Suggested Responses</w:t>
      </w:r>
    </w:p>
    <w:p>
      <w:r>
        <w:t>Prepared for meeting with Katie - How to handle potential pushback during negotiation.</w:t>
        <w:br/>
      </w:r>
    </w:p>
    <w:p>
      <w:pPr>
        <w:pStyle w:val="Heading2"/>
      </w:pPr>
      <w:r>
        <w:t>1. Intellectual Property &amp; Confidentiality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Pursuit may say the IP clause is needed to protect their interests and simplify distribution.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Acknowledge the need to protect shared work. Reaffirm you're only asking that independently created ideas not directly tied to team projects remain yours, with mutual respect for confidentiality.</w:t>
      </w:r>
    </w:p>
    <w:p/>
    <w:p>
      <w:pPr>
        <w:pStyle w:val="Heading2"/>
      </w:pPr>
      <w:r>
        <w:t>2. Payment Terms (Good Job Agreement)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They might say the 15% rate and $85K threshold are standard and essential to their funding model.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Acknowledge the model’s value. Emphasize your unique financial situation (e.g. student loans) and propose a slight adjustment (10% or $95K threshold) to maintain success and stability.</w:t>
      </w:r>
    </w:p>
    <w:p/>
    <w:p>
      <w:pPr>
        <w:pStyle w:val="Heading2"/>
      </w:pPr>
      <w:r>
        <w:t>3. Hardship Pause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They might argue the hardship period is already generous and the $20 fee keeps participants accountable.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Express gratitude for the existing clause. Share that a longer hardship period and fee waiver would allow for flexibility and recovery, not avoidance, especially during periods of instability.</w:t>
      </w:r>
    </w:p>
    <w:p/>
    <w:p>
      <w:pPr>
        <w:pStyle w:val="Heading2"/>
      </w:pPr>
      <w:r>
        <w:t>4. Employer Payment Collection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They may say direct payments ensure consistent collections and reduce administrative complexity.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You understand the need for consistency, but express concern about privacy and professional boundaries. Suggest that employer payment collection should only occur with your explicit consent.</w:t>
      </w:r>
    </w:p>
    <w:p/>
    <w:p>
      <w:pPr>
        <w:pStyle w:val="Heading2"/>
      </w:pPr>
      <w:r>
        <w:t>5. Reporting &amp; Default Salary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They may say semi-annual reports and strict penalties are necessary for compliance.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Agree on the importance of accurate reporting, but suggest that annual reporting with a 30-day grace period and a realistic default (e.g. $85K) still encourages compliance without being overly punitive.</w:t>
      </w:r>
    </w:p>
    <w:p/>
    <w:p>
      <w:pPr>
        <w:pStyle w:val="Heading2"/>
      </w:pPr>
      <w:r>
        <w:t>6. Similar Agreements Restriction</w:t>
      </w:r>
    </w:p>
    <w:p>
      <w:pPr>
        <w:pStyle w:val="ListBullet"/>
      </w:pPr>
      <w:r>
        <w:t>❗ Possible Counter:</w:t>
      </w:r>
    </w:p>
    <w:p>
      <w:pPr>
        <w:pStyle w:val="ListBullet2"/>
      </w:pPr>
      <w:r>
        <w:t>They might say this prevents conflicting financial obligations that threaten repayment.</w:t>
      </w:r>
    </w:p>
    <w:p>
      <w:pPr>
        <w:pStyle w:val="ListBullet"/>
      </w:pPr>
      <w:r>
        <w:t>💬 Your Response:</w:t>
      </w:r>
    </w:p>
    <w:p>
      <w:pPr>
        <w:pStyle w:val="ListBullet2"/>
      </w:pPr>
      <w:r>
        <w:t>Clarify that you're not trying to avoid obligations but want the freedom to explore future opportunities. Propose adding a clause ensuring other agreements must not interfere with Pursuit payments.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