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project[fnom](FOURNISSEURS);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temp0(FNOM:VARCHAR)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tuples =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kiventout: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Big Red Tool and Die: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Perfunctory Parts: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Alien Aircaft Inc.: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Autolux: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select[fad='Paris'](FOURNISSEURS);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temp0(FID:INTEGER,FNOM:VARCHAR,FAD:VARCHAR)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tuples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1:kiventout:Paris: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project[fnom](select[fad='Paris'](FOURNISSEURS));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temp1(FNOM:VARCHAR)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tuples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kiventout: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temp1(ANOM:VARCHAR)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tuples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Segment Display: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Microsd Card USB Reader: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project[aid](select[prix&lt;20](CATALOGUE));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temp1(AID:INTEGER)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tuples =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project[fid](select[prix&lt;20](CATALOGUE));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temp1(FID:INTEGER)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tuples 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