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El comercio electrónico en el Perú</w:t>
      </w:r>
    </w:p>
    <w:p>
      <w:pPr>
        <w:spacing w:after="200"/>
      </w:pPr>
      <w:r>
        <w:t xml:space="preserve">El comercio electrónico ha transformado la manera en que millones de peruanos compran y venden productos. Lo que hace una década era una actividad marginal, hoy representa una parte cada vez más relevante del consumo nacional, impulsada por la masificación de los teléfonos inteligentes y la mejora progresiva de la conectividad a internet en ciudades intermedias y zonas rurales. Plataformas locales y regionales compiten hoy con marketplaces internacionales por captar la atención de un consumidor cada vez más acostumbrado a comparar precios y leer reseñas antes de decidir una compra.</w:t>
      </w:r>
    </w:p>
    <w:p>
      <w:pPr>
        <w:spacing w:after="200"/>
      </w:pPr>
      <w:r>
        <w:t xml:space="preserve">Entre los factores que explican este crecimiento destaca la pandemia de COVID-19, que obligó a comercios de todo tamaño a digitalizar sus canales de venta casi de la noche a la mañana. A ello se suma la expansión de billeteras digitales y pasarelas de pago que redujeron la dependencia del efectivo, así como la llegada de nuevos operadores logísticos especializados en última milla, capaces de entregar pedidos en plazos cada vez más cortos incluso fuera de Lima.</w:t>
      </w:r>
    </w:p>
    <w:p>
      <w:pPr>
        <w:spacing w:after="200"/>
      </w:pPr>
      <w:r>
        <w:t xml:space="preserve">Sin embargo, persisten desafíos importantes. La desconfianza hacia las compras en línea sigue siendo alta entre adultos mayores y en localidades donde han proliferado casos de estafa. La informalidad de muchos vendedores dificulta los reclamos y devoluciones, y la infraestructura logística fuera de la capital todavía encarece y retrasa los envíos, lo que limita el potencial de crecimiento en varias regiones del país.</w:t>
      </w:r>
    </w:p>
    <w:p>
      <w:pPr>
        <w:spacing w:after="200"/>
      </w:pPr>
      <w:r>
        <w:t xml:space="preserve">De cara al futuro, se espera que la adopción de inteligencia artificial para personalizar recomendaciones, junto con marcos regulatorios más claros sobre protección al consumidor digital, consoliden al comercio electrónico como un canal central de la economía peruana, no como una alternativa secundaria al comercio físico tradicional.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2026-07-13T09:07:11.516Z</dcterms:created>
  <dcterms:modified xsi:type="dcterms:W3CDTF">2026-07-13T09:07:11.529Z</dcterms:modified>
</cp:coreProperties>
</file>

<file path=docProps/custom.xml><?xml version="1.0" encoding="utf-8"?>
<Properties xmlns="http://schemas.openxmlformats.org/officeDocument/2006/custom-properties" xmlns:vt="http://schemas.openxmlformats.org/officeDocument/2006/docPropsVTypes"/>
</file>