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El cambio climático y sus efectos en la agricultura andina</w:t>
      </w:r>
    </w:p>
    <w:p>
      <w:pPr>
        <w:spacing w:after="200"/>
      </w:pPr>
      <w:r>
        <w:t xml:space="preserve">El cambio climático ya no es una amenaza futura para los Andes peruanos: sus efectos se sienten hoy en la variabilidad de las lluvias, el retroceso acelerado de los glaciares y la alteración de los ciclos agrícolas que por generaciones guiaron el trabajo de las comunidades altoandinas. Estos cambios afectan directamente la seguridad alimentaria de miles de familias que dependen de cultivos de secano para su subsistencia.</w:t>
      </w:r>
    </w:p>
    <w:p>
      <w:pPr>
        <w:spacing w:after="200"/>
      </w:pPr>
      <w:r>
        <w:t xml:space="preserve">Cultivos emblemáticos como la papa y la quinua están particularmente expuestos. Las heladas fuera de temporada y la escasez de agua durante las etapas críticas de crecimiento reducen los rendimientos y aumentan la susceptibilidad de las plantas a plagas que antes eran controladas por el propio clima frío de altura. La disponibilidad de agua de riego, que en muchas zonas depende directamente del deshielo glaciar, se ha vuelto cada vez más impredecible de un año a otro.</w:t>
      </w:r>
    </w:p>
    <w:p>
      <w:pPr>
        <w:spacing w:after="200"/>
      </w:pPr>
      <w:r>
        <w:t xml:space="preserve">Frente a este panorama, muchas comunidades han recuperado prácticas ancestrales de manejo del agua y del suelo, como los andenes y las cochas, combinándolas con pronósticos meteorológicos más precisos y variedades de semillas resistentes a la sequía desarrolladas por centros de investigación agrícola. Estas estrategias de adaptación, aunque valiosas, requieren financiamiento y acompañamiento técnico sostenido para escalar más allá de proyectos piloto aislados.</w:t>
      </w:r>
    </w:p>
    <w:p>
      <w:pPr>
        <w:spacing w:after="200"/>
      </w:pPr>
      <w:r>
        <w:t xml:space="preserve">Las políticas públicas orientadas a la adaptación climática en la sierra deberían priorizar la inversión en infraestructura de riego tecnificado y en sistemas de alerta temprana, reconociendo que la agricultura andina no solo alimenta a las ciudades sino que sostiene una forma de vida y un patrimonio cultural que el cambio climático pone en riesgo directo.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2026-07-13T09:07:11.678Z</dcterms:created>
  <dcterms:modified xsi:type="dcterms:W3CDTF">2026-07-13T09:07:11.678Z</dcterms:modified>
</cp:coreProperties>
</file>

<file path=docProps/custom.xml><?xml version="1.0" encoding="utf-8"?>
<Properties xmlns="http://schemas.openxmlformats.org/officeDocument/2006/custom-properties" xmlns:vt="http://schemas.openxmlformats.org/officeDocument/2006/docPropsVTypes"/>
</file>