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La economía informal en Lima Metropolitana</w:t>
      </w:r>
    </w:p>
    <w:p>
      <w:pPr>
        <w:spacing w:after="200"/>
      </w:pPr>
      <w:r>
        <w:t xml:space="preserve">La economía informal ocupa un lugar central en la vida productiva de Lima Metropolitana. Desde vendedores ambulantes hasta talleres de confección sin registro tributario, una porción considerable de la fuerza laboral limeña trabaja al margen de la regulación formal, generando ingresos que sostienen a miles de hogares pero que rara vez se traducen en acceso a seguridad social o estabilidad laboral de largo plazo.</w:t>
      </w:r>
    </w:p>
    <w:p>
      <w:pPr>
        <w:spacing w:after="200"/>
      </w:pPr>
      <w:r>
        <w:t xml:space="preserve">Entre las causas de este fenómeno destacan el desempleo estructural, la migración constante desde otras regiones del país hacia la capital en busca de oportunidades, y una carga burocrática que desalienta a los pequeños emprendedores a formalizar sus negocios. Los trámites de constitución de empresa, aunque han mejorado en los últimos años, siguen representando costos de tiempo y dinero que muchos microempresarios prefieren evitar.</w:t>
      </w:r>
    </w:p>
    <w:p>
      <w:pPr>
        <w:spacing w:after="200"/>
      </w:pPr>
      <w:r>
        <w:t xml:space="preserve">Las consecuencias de esta informalidad van más allá de la recaudación fiscal perdida: los trabajadores informales carecen de pensión, seguro de salud vinculado al empleo y protección frente a despidos arbitrarios, lo que los deja en una situación de vulnerabilidad especialmente visible durante crisis económicas o sanitarias, cuando no cuentan con ningún colchón institucional al cual recurrir.</w:t>
      </w:r>
    </w:p>
    <w:p>
      <w:pPr>
        <w:spacing w:after="200"/>
      </w:pPr>
      <w:r>
        <w:t xml:space="preserve">Las políticas de formalización más efectivas no son las que simplemente fiscalizan y sancionan, sino las que reducen los costos reales de operar de forma legal y ofrecen beneficios tangibles e inmediatos a cambio de la formalización, como acceso a crédito formal, capacitación técnica y mecanismos simplificados de tributación para negocios pequeños.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2026-07-13T09:07:11.747Z</dcterms:created>
  <dcterms:modified xsi:type="dcterms:W3CDTF">2026-07-13T09:07:11.747Z</dcterms:modified>
</cp:coreProperties>
</file>

<file path=docProps/custom.xml><?xml version="1.0" encoding="utf-8"?>
<Properties xmlns="http://schemas.openxmlformats.org/officeDocument/2006/custom-properties" xmlns:vt="http://schemas.openxmlformats.org/officeDocument/2006/docPropsVTypes"/>
</file>