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left"/>
      </w:pPr>
      <w:r>
        <w:rPr/>
        <w:t xml:space="preserve">FLOCK COMMERCIAL VIABILITY ANALYSIS</w:t>
      </w:r>
    </w:p>
    <w:p>
      <w:pPr>
        <w:pStyle w:val="Subtitle"/>
        <w:jc w:val="left"/>
      </w:pPr>
      <w:r>
        <w:rPr/>
        <w:t xml:space="preserve">WITH WHATSAPP AUTOMATION</w:t>
      </w:r>
    </w:p>
    <w:p>
      <w:pPr>
        <w:pStyle w:val="Subtitle"/>
        <w:jc w:val="left"/>
      </w:pPr>
      <w:r>
        <w:rPr/>
        <w:t xml:space="preserve">Scalability, commercialization, cost and break-even model for a metered messaging product</w:t>
      </w:r>
    </w:p>
    <w:p>
      <w:pPr>
        <w:pStyle w:val="BodyText"/>
        <w:jc w:val="center"/>
      </w:pPr>
      <w:r>
        <w:rPr/>
        <w:t xml:space="preserve">Prepared 22 July 2026 | Planning currency: Nigerian naira (₦) | Reference currency: US dollar (USD)</w:t>
      </w:r>
    </w:p>
    <w:p>
      <w:pPr>
        <w:pStyle w:val="Callout"/>
        <w:jc w:val="left"/>
      </w:pPr>
      <w:r>
        <w:rPr/>
        <w:t xml:space="preserve">Decision document - figures are planning estimates, not supplier quotations or financial advice.</w:t>
      </w:r>
    </w:p>
    <w:p>
      <w:pPr>
        <w:pStyle w:val="Heading1"/>
        <w:jc w:val="left"/>
      </w:pPr>
      <w:r>
        <w:rPr/>
        <w:t xml:space="preserve">Executive decision summary</w:t>
      </w:r>
    </w:p>
    <w:p>
      <w:pPr>
        <w:pStyle w:val="BodyText"/>
        <w:jc w:val="left"/>
      </w:pPr>
      <w:r>
        <w:rPr/>
        <w:t xml:space="preserve">Recommended commercial offer: ₦120,000 per church per month for the Standard plan, including 1,000 outbound WhatsApp messages, plus a ₦200,000 implementation fee. Charge ₦60 for every message above the allowance. At the planning assumptions in this document, the Standard plan contributes approximately ₦50,000 per church per month before fixed company overhead.</w:t>
      </w:r>
    </w:p>
    <w:p>
      <w:pPr>
        <w:pStyle w:val="Callout"/>
        <w:jc w:val="left"/>
      </w:pPr>
      <w:r>
        <w:rPr/>
        <w:t xml:space="preserve">Estimated monthly operating break-even: about 16 Standard churches. A safer cash target is 20 paying churches, which provides approximately ₦200,000 monthly operating surplus before tax and recovery of commercialization investment.</w:t>
      </w:r>
    </w:p>
    <w:p>
      <w:pPr>
        <w:pStyle w:val="BodyText"/>
        <w:jc w:val="left"/>
      </w:pPr>
      <w:r>
        <w:rPr/>
        <w:t xml:space="preserve">• Do not advertise unlimited WhatsApp. Twilio charges per message and passes through Meta template charges.</w:t>
      </w:r>
    </w:p>
    <w:p>
      <w:pPr>
        <w:pStyle w:val="BodyText"/>
        <w:jc w:val="left"/>
      </w:pPr>
      <w:r>
        <w:rPr/>
        <w:t xml:space="preserve">• Maintain explicit opt-in, opt-out, template approval, delivery monitoring, and a prepaid message reserve.</w:t>
      </w:r>
    </w:p>
    <w:p>
      <w:pPr>
        <w:pStyle w:val="BodyText"/>
        <w:jc w:val="left"/>
      </w:pPr>
      <w:r>
        <w:rPr/>
        <w:t xml:space="preserve">• WhatsApp increases customer value and revenue, but also adds variable-cost, compliance, delivery, and foreign-exchange risk.</w:t>
      </w:r>
    </w:p>
    <w:p>
      <w:pPr>
        <w:pStyle w:val="Heading1"/>
        <w:jc w:val="left"/>
      </w:pPr>
      <w:r>
        <w:rPr/>
        <w:t xml:space="preserve">1. Scope and financial assumptions</w:t>
      </w:r>
    </w:p>
    <w:p>
      <w:pPr>
        <w:pStyle w:val="BodyText"/>
        <w:jc w:val="left"/>
      </w:pPr>
      <w:r>
        <w:rPr/>
        <w:t xml:space="preserve">This model covers production infrastructure, commercialization hardening, customer onboarding, support, pricing, unit economics, and break-even. It does not assign a historical cost to the software already built. A replacement build of similar scope could be materially more expensive, but sunk development effort is not treated as new cash required.</w:t>
      </w:r>
    </w:p>
    <w:p>
      <w:pPr>
        <w:pStyle w:val="BodyText"/>
        <w:jc w:val="left"/>
      </w:pPr>
      <w:r>
        <w:rPr/>
        <w:t xml:space="preserve">Planning exchange rate: ₦1,600 per USD. This is deliberately rounded and should be updated monthly using the Central Bank of Nigeria NFEM reference and the actual card settlement rate. A 10% foreign-exchange reserve is included in operating estimates where appropriate.</w:t>
      </w:r>
    </w:p>
    <w:p>
      <w:pPr>
        <w:pStyle w:val="BodyText"/>
        <w:jc w:val="left"/>
      </w:pPr>
      <w:r>
        <w:rPr/>
        <w:t xml:space="preserve">Payment-processing allowance: 2.5% of subscription revenue. Taxes, withholding, VAT treatment, incorporation costs, and payroll obligations must be confirmed with a Nigerian accountant before launch.</w:t>
      </w:r>
    </w:p>
    <w:p>
      <w:pPr>
        <w:pStyle w:val="BodyText"/>
        <w:jc w:val="left"/>
      </w:pPr>
      <w:r>
        <w:rPr/>
        <w:t xml:space="preserve">Commercial model: managed business-to-business subscription sold to one church or branch workspace. Prices are recommendations based on cost coverage and risk; customer interviews must still validate willingness to pay.</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900"/>
        <w:gridCol w:w="2100"/>
        <w:gridCol w:w="5300"/>
      </w:tblGrid>
      <w:tr>
        <w:tc>
          <w:tcPr>
            <w:tcW w:w="1900" w:type="dxa"/>
            <w:shd w:val="clear" w:fill="EAF0FF"/>
            <w:tcMar>
              <w:top w:w="90" w:type="dxa"/>
              <w:left w:w="100" w:type="dxa"/>
              <w:bottom w:w="90" w:type="dxa"/>
              <w:right w:w="100" w:type="dxa"/>
            </w:tcMar>
          </w:tcPr>
          <w:p>
            <w:r>
              <w:rPr>
                <w:b/>
                <w:sz w:val="18"/>
              </w:rPr>
              <w:t xml:space="preserve">Assumption</w:t>
            </w:r>
          </w:p>
        </w:tc>
        <w:tc>
          <w:tcPr>
            <w:tcW w:w="2100" w:type="dxa"/>
            <w:shd w:val="clear" w:fill="EAF0FF"/>
            <w:tcMar>
              <w:top w:w="90" w:type="dxa"/>
              <w:left w:w="100" w:type="dxa"/>
              <w:bottom w:w="90" w:type="dxa"/>
              <w:right w:w="100" w:type="dxa"/>
            </w:tcMar>
          </w:tcPr>
          <w:p>
            <w:r>
              <w:rPr>
                <w:b/>
                <w:sz w:val="18"/>
              </w:rPr>
              <w:t xml:space="preserve">Planning value</w:t>
            </w:r>
          </w:p>
        </w:tc>
        <w:tc>
          <w:tcPr>
            <w:tcW w:w="5300" w:type="dxa"/>
            <w:shd w:val="clear" w:fill="EAF0FF"/>
            <w:tcMar>
              <w:top w:w="90" w:type="dxa"/>
              <w:left w:w="100" w:type="dxa"/>
              <w:bottom w:w="90" w:type="dxa"/>
              <w:right w:w="100" w:type="dxa"/>
            </w:tcMar>
          </w:tcPr>
          <w:p>
            <w:r>
              <w:rPr>
                <w:b/>
                <w:sz w:val="18"/>
              </w:rPr>
              <w:t xml:space="preserve">Why it matters</w:t>
            </w:r>
          </w:p>
        </w:tc>
      </w:tr>
      <w:tr>
        <w:tc>
          <w:tcPr>
            <w:tcW w:w="1900" w:type="dxa"/>
            <w:tcMar>
              <w:top w:w="90" w:type="dxa"/>
              <w:left w:w="100" w:type="dxa"/>
              <w:bottom w:w="90" w:type="dxa"/>
              <w:right w:w="100" w:type="dxa"/>
            </w:tcMar>
          </w:tcPr>
          <w:p>
            <w:r>
              <w:rPr>
                <w:sz w:val="18"/>
              </w:rPr>
              <w:t xml:space="preserve">USD/NGN</w:t>
            </w:r>
          </w:p>
        </w:tc>
        <w:tc>
          <w:tcPr>
            <w:tcW w:w="2100" w:type="dxa"/>
            <w:tcMar>
              <w:top w:w="90" w:type="dxa"/>
              <w:left w:w="100" w:type="dxa"/>
              <w:bottom w:w="90" w:type="dxa"/>
              <w:right w:w="100" w:type="dxa"/>
            </w:tcMar>
          </w:tcPr>
          <w:p>
            <w:r>
              <w:rPr>
                <w:sz w:val="18"/>
              </w:rPr>
              <w:t xml:space="preserve">₦1,600 = US</w:t>
            </w:r>
          </w:p>
        </w:tc>
        <w:tc>
          <w:tcPr>
            <w:tcW w:w="5300" w:type="dxa"/>
            <w:tcMar>
              <w:top w:w="90" w:type="dxa"/>
              <w:left w:w="100" w:type="dxa"/>
              <w:bottom w:w="90" w:type="dxa"/>
              <w:right w:w="100" w:type="dxa"/>
            </w:tcMar>
          </w:tcPr>
          <w:p>
            <w:r>
              <w:rPr>
                <w:sz w:val="18"/>
              </w:rPr>
              <w:t xml:space="preserve">Cloud and messaging invoices are USD-denominated</w:t>
            </w:r>
          </w:p>
        </w:tc>
      </w:tr>
      <w:tr>
        <w:tc>
          <w:tcPr>
            <w:tcW w:w="1900" w:type="dxa"/>
            <w:tcMar>
              <w:top w:w="90" w:type="dxa"/>
              <w:left w:w="100" w:type="dxa"/>
              <w:bottom w:w="90" w:type="dxa"/>
              <w:right w:w="100" w:type="dxa"/>
            </w:tcMar>
          </w:tcPr>
          <w:p>
            <w:r>
              <w:rPr>
                <w:sz w:val="18"/>
              </w:rPr>
              <w:t xml:space="preserve">Annual prepayment</w:t>
            </w:r>
          </w:p>
        </w:tc>
        <w:tc>
          <w:tcPr>
            <w:tcW w:w="2100" w:type="dxa"/>
            <w:tcMar>
              <w:top w:w="90" w:type="dxa"/>
              <w:left w:w="100" w:type="dxa"/>
              <w:bottom w:w="90" w:type="dxa"/>
              <w:right w:w="100" w:type="dxa"/>
            </w:tcMar>
          </w:tcPr>
          <w:p>
            <w:r>
              <w:rPr>
                <w:sz w:val="18"/>
              </w:rPr>
              <w:t xml:space="preserve">10 months for 12 months</w:t>
            </w:r>
          </w:p>
        </w:tc>
        <w:tc>
          <w:tcPr>
            <w:tcW w:w="5300" w:type="dxa"/>
            <w:tcMar>
              <w:top w:w="90" w:type="dxa"/>
              <w:left w:w="100" w:type="dxa"/>
              <w:bottom w:w="90" w:type="dxa"/>
              <w:right w:w="100" w:type="dxa"/>
            </w:tcMar>
          </w:tcPr>
          <w:p>
            <w:r>
              <w:rPr>
                <w:sz w:val="18"/>
              </w:rPr>
              <w:t xml:space="preserve">Improves cash flow while giving a 16.7% discount</w:t>
            </w:r>
          </w:p>
        </w:tc>
      </w:tr>
      <w:tr>
        <w:tc>
          <w:tcPr>
            <w:tcW w:w="1900" w:type="dxa"/>
            <w:tcMar>
              <w:top w:w="90" w:type="dxa"/>
              <w:left w:w="100" w:type="dxa"/>
              <w:bottom w:w="90" w:type="dxa"/>
              <w:right w:w="100" w:type="dxa"/>
            </w:tcMar>
          </w:tcPr>
          <w:p>
            <w:r>
              <w:rPr>
                <w:sz w:val="18"/>
              </w:rPr>
              <w:t xml:space="preserve">Payment fee</w:t>
            </w:r>
          </w:p>
        </w:tc>
        <w:tc>
          <w:tcPr>
            <w:tcW w:w="2100" w:type="dxa"/>
            <w:tcMar>
              <w:top w:w="90" w:type="dxa"/>
              <w:left w:w="100" w:type="dxa"/>
              <w:bottom w:w="90" w:type="dxa"/>
              <w:right w:w="100" w:type="dxa"/>
            </w:tcMar>
          </w:tcPr>
          <w:p>
            <w:r>
              <w:rPr>
                <w:sz w:val="18"/>
              </w:rPr>
              <w:t xml:space="preserve">2.5%</w:t>
            </w:r>
          </w:p>
        </w:tc>
        <w:tc>
          <w:tcPr>
            <w:tcW w:w="5300" w:type="dxa"/>
            <w:tcMar>
              <w:top w:w="90" w:type="dxa"/>
              <w:left w:w="100" w:type="dxa"/>
              <w:bottom w:w="90" w:type="dxa"/>
              <w:right w:w="100" w:type="dxa"/>
            </w:tcMar>
          </w:tcPr>
          <w:p>
            <w:r>
              <w:rPr>
                <w:sz w:val="18"/>
              </w:rPr>
              <w:t xml:space="preserve">Conservative blended allowance; replace with actual provider rate</w:t>
            </w:r>
          </w:p>
        </w:tc>
      </w:tr>
      <w:tr>
        <w:tc>
          <w:tcPr>
            <w:tcW w:w="1900" w:type="dxa"/>
            <w:tcMar>
              <w:top w:w="90" w:type="dxa"/>
              <w:left w:w="100" w:type="dxa"/>
              <w:bottom w:w="90" w:type="dxa"/>
              <w:right w:w="100" w:type="dxa"/>
            </w:tcMar>
          </w:tcPr>
          <w:p>
            <w:r>
              <w:rPr>
                <w:sz w:val="18"/>
              </w:rPr>
              <w:t xml:space="preserve">Commercialization horizon</w:t>
            </w:r>
          </w:p>
        </w:tc>
        <w:tc>
          <w:tcPr>
            <w:tcW w:w="2100" w:type="dxa"/>
            <w:tcMar>
              <w:top w:w="90" w:type="dxa"/>
              <w:left w:w="100" w:type="dxa"/>
              <w:bottom w:w="90" w:type="dxa"/>
              <w:right w:w="100" w:type="dxa"/>
            </w:tcMar>
          </w:tcPr>
          <w:p>
            <w:r>
              <w:rPr>
                <w:sz w:val="18"/>
              </w:rPr>
              <w:t xml:space="preserve">12 months</w:t>
            </w:r>
          </w:p>
        </w:tc>
        <w:tc>
          <w:tcPr>
            <w:tcW w:w="5300" w:type="dxa"/>
            <w:tcMar>
              <w:top w:w="90" w:type="dxa"/>
              <w:left w:w="100" w:type="dxa"/>
              <w:bottom w:w="90" w:type="dxa"/>
              <w:right w:w="100" w:type="dxa"/>
            </w:tcMar>
          </w:tcPr>
          <w:p>
            <w:r>
              <w:rPr>
                <w:sz w:val="18"/>
              </w:rPr>
              <w:t xml:space="preserve">Used for operating and payback scenarios</w:t>
            </w:r>
          </w:p>
        </w:tc>
      </w:tr>
      <w:tr>
        <w:tc>
          <w:tcPr>
            <w:tcW w:w="1900" w:type="dxa"/>
            <w:tcMar>
              <w:top w:w="90" w:type="dxa"/>
              <w:left w:w="100" w:type="dxa"/>
              <w:bottom w:w="90" w:type="dxa"/>
              <w:right w:w="100" w:type="dxa"/>
            </w:tcMar>
          </w:tcPr>
          <w:p>
            <w:r>
              <w:rPr>
                <w:sz w:val="18"/>
              </w:rPr>
              <w:t xml:space="preserve">Support level</w:t>
            </w:r>
          </w:p>
        </w:tc>
        <w:tc>
          <w:tcPr>
            <w:tcW w:w="2100" w:type="dxa"/>
            <w:tcMar>
              <w:top w:w="90" w:type="dxa"/>
              <w:left w:w="100" w:type="dxa"/>
              <w:bottom w:w="90" w:type="dxa"/>
              <w:right w:w="100" w:type="dxa"/>
            </w:tcMar>
          </w:tcPr>
          <w:p>
            <w:r>
              <w:rPr>
                <w:sz w:val="18"/>
              </w:rPr>
              <w:t xml:space="preserve">Business-hours managed support</w:t>
            </w:r>
          </w:p>
        </w:tc>
        <w:tc>
          <w:tcPr>
            <w:tcW w:w="5300" w:type="dxa"/>
            <w:tcMar>
              <w:top w:w="90" w:type="dxa"/>
              <w:left w:w="100" w:type="dxa"/>
              <w:bottom w:w="90" w:type="dxa"/>
              <w:right w:w="100" w:type="dxa"/>
            </w:tcMar>
          </w:tcPr>
          <w:p>
            <w:r>
              <w:rPr>
                <w:sz w:val="18"/>
              </w:rPr>
              <w:t xml:space="preserve">No 24/7 SLA is included in listed prices</w:t>
            </w:r>
          </w:p>
        </w:tc>
      </w:tr>
    </w:tbl>
    <w:p/>
    <w:p>
      <w:pPr>
        <w:pStyle w:val="Heading1"/>
        <w:jc w:val="left"/>
      </w:pPr>
      <w:r>
        <w:rPr/>
        <w:t xml:space="preserve">2. Current architecture and safe scalability</w:t>
      </w:r>
    </w:p>
    <w:p>
      <w:pPr>
        <w:pStyle w:val="BodyText"/>
        <w:jc w:val="left"/>
      </w:pPr>
      <w:r>
        <w:rPr/>
        <w:t xml:space="preserve">Flock is currently a single-church workspace. It does not yet have tenant identifiers and tenant-aware row-level security that would safely place unrelated churches in one shared database. The safe short-term commercial model is therefore a dedicated Supabase project and configured deployment per church, managed from a standard release process.</w:t>
      </w:r>
    </w:p>
    <w:p>
      <w:pPr>
        <w:pStyle w:val="BodyText"/>
        <w:jc w:val="left"/>
      </w:pPr>
      <w:r>
        <w:rPr/>
        <w:t xml:space="preserve">Dedicated projects provide strong operational isolation, but provisioning, migration, backup verification, environment configuration, and incident response grow with every church. Automation is required before the portfolio becomes large.</w:t>
      </w:r>
    </w:p>
    <w:p>
      <w:pPr>
        <w:pStyle w:val="BodyText"/>
        <w:jc w:val="left"/>
      </w:pPr>
      <w:r>
        <w:rPr/>
        <w:t xml:space="preserve">A multi-tenant redesign should not be rushed. It requires tenant IDs on every durable table, tenant-scoped authorization helpers and policies, tenant-aware storage and scheduled jobs, migration of existing data, cross-tenant security tests, billing boundaries, and tenant-specific settings.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300"/>
        <w:gridCol w:w="2300"/>
        <w:gridCol w:w="3200"/>
        <w:gridCol w:w="2500"/>
      </w:tblGrid>
      <w:tr>
        <w:tc>
          <w:tcPr>
            <w:tcW w:w="1300" w:type="dxa"/>
            <w:shd w:val="clear" w:fill="EAF0FF"/>
            <w:tcMar>
              <w:top w:w="90" w:type="dxa"/>
              <w:left w:w="100" w:type="dxa"/>
              <w:bottom w:w="90" w:type="dxa"/>
              <w:right w:w="100" w:type="dxa"/>
            </w:tcMar>
          </w:tcPr>
          <w:p>
            <w:r>
              <w:rPr>
                <w:b/>
                <w:sz w:val="18"/>
              </w:rPr>
              <w:t xml:space="preserve">Scale stage</w:t>
            </w:r>
          </w:p>
        </w:tc>
        <w:tc>
          <w:tcPr>
            <w:tcW w:w="2300" w:type="dxa"/>
            <w:shd w:val="clear" w:fill="EAF0FF"/>
            <w:tcMar>
              <w:top w:w="90" w:type="dxa"/>
              <w:left w:w="100" w:type="dxa"/>
              <w:bottom w:w="90" w:type="dxa"/>
              <w:right w:w="100" w:type="dxa"/>
            </w:tcMar>
          </w:tcPr>
          <w:p>
            <w:r>
              <w:rPr>
                <w:b/>
                <w:sz w:val="18"/>
              </w:rPr>
              <w:t xml:space="preserve">Recommended operating model</w:t>
            </w:r>
          </w:p>
        </w:tc>
        <w:tc>
          <w:tcPr>
            <w:tcW w:w="3200" w:type="dxa"/>
            <w:shd w:val="clear" w:fill="EAF0FF"/>
            <w:tcMar>
              <w:top w:w="90" w:type="dxa"/>
              <w:left w:w="100" w:type="dxa"/>
              <w:bottom w:w="90" w:type="dxa"/>
              <w:right w:w="100" w:type="dxa"/>
            </w:tcMar>
          </w:tcPr>
          <w:p>
            <w:r>
              <w:rPr>
                <w:b/>
                <w:sz w:val="18"/>
              </w:rPr>
              <w:t xml:space="preserve">Primary work required</w:t>
            </w:r>
          </w:p>
        </w:tc>
        <w:tc>
          <w:tcPr>
            <w:tcW w:w="2500" w:type="dxa"/>
            <w:shd w:val="clear" w:fill="EAF0FF"/>
            <w:tcMar>
              <w:top w:w="90" w:type="dxa"/>
              <w:left w:w="100" w:type="dxa"/>
              <w:bottom w:w="90" w:type="dxa"/>
              <w:right w:w="100" w:type="dxa"/>
            </w:tcMar>
          </w:tcPr>
          <w:p>
            <w:r>
              <w:rPr>
                <w:b/>
                <w:sz w:val="18"/>
              </w:rPr>
              <w:t xml:space="preserve">Commercial implication</w:t>
            </w:r>
          </w:p>
        </w:tc>
      </w:tr>
      <w:tr>
        <w:tc>
          <w:tcPr>
            <w:tcW w:w="1300" w:type="dxa"/>
            <w:tcMar>
              <w:top w:w="90" w:type="dxa"/>
              <w:left w:w="100" w:type="dxa"/>
              <w:bottom w:w="90" w:type="dxa"/>
              <w:right w:w="100" w:type="dxa"/>
            </w:tcMar>
          </w:tcPr>
          <w:p>
            <w:r>
              <w:rPr>
                <w:sz w:val="18"/>
              </w:rPr>
              <w:t xml:space="preserve">1-10 churches</w:t>
            </w:r>
          </w:p>
        </w:tc>
        <w:tc>
          <w:tcPr>
            <w:tcW w:w="2300" w:type="dxa"/>
            <w:tcMar>
              <w:top w:w="90" w:type="dxa"/>
              <w:left w:w="100" w:type="dxa"/>
              <w:bottom w:w="90" w:type="dxa"/>
              <w:right w:w="100" w:type="dxa"/>
            </w:tcMar>
          </w:tcPr>
          <w:p>
            <w:r>
              <w:rPr>
                <w:sz w:val="18"/>
              </w:rPr>
              <w:t xml:space="preserve">Dedicated pilot deployments</w:t>
            </w:r>
          </w:p>
        </w:tc>
        <w:tc>
          <w:tcPr>
            <w:tcW w:w="3200" w:type="dxa"/>
            <w:tcMar>
              <w:top w:w="90" w:type="dxa"/>
              <w:left w:w="100" w:type="dxa"/>
              <w:bottom w:w="90" w:type="dxa"/>
              <w:right w:w="100" w:type="dxa"/>
            </w:tcMar>
          </w:tcPr>
          <w:p>
            <w:r>
              <w:rPr>
                <w:sz w:val="18"/>
              </w:rPr>
              <w:t xml:space="preserve">Manual provisioning checklist, backups, UAT, support runbook</w:t>
            </w:r>
          </w:p>
        </w:tc>
        <w:tc>
          <w:tcPr>
            <w:tcW w:w="2500" w:type="dxa"/>
            <w:tcMar>
              <w:top w:w="90" w:type="dxa"/>
              <w:left w:w="100" w:type="dxa"/>
              <w:bottom w:w="90" w:type="dxa"/>
              <w:right w:w="100" w:type="dxa"/>
            </w:tcMar>
          </w:tcPr>
          <w:p>
            <w:r>
              <w:rPr>
                <w:sz w:val="18"/>
              </w:rPr>
              <w:t xml:space="preserve">Validate outcomes and willingness to pay</w:t>
            </w:r>
          </w:p>
        </w:tc>
      </w:tr>
      <w:tr>
        <w:tc>
          <w:tcPr>
            <w:tcW w:w="1300" w:type="dxa"/>
            <w:tcMar>
              <w:top w:w="90" w:type="dxa"/>
              <w:left w:w="100" w:type="dxa"/>
              <w:bottom w:w="90" w:type="dxa"/>
              <w:right w:w="100" w:type="dxa"/>
            </w:tcMar>
          </w:tcPr>
          <w:p>
            <w:r>
              <w:rPr>
                <w:sz w:val="18"/>
              </w:rPr>
              <w:t xml:space="preserve">11-30 churches</w:t>
            </w:r>
          </w:p>
        </w:tc>
        <w:tc>
          <w:tcPr>
            <w:tcW w:w="2300" w:type="dxa"/>
            <w:tcMar>
              <w:top w:w="90" w:type="dxa"/>
              <w:left w:w="100" w:type="dxa"/>
              <w:bottom w:w="90" w:type="dxa"/>
              <w:right w:w="100" w:type="dxa"/>
            </w:tcMar>
          </w:tcPr>
          <w:p>
            <w:r>
              <w:rPr>
                <w:sz w:val="18"/>
              </w:rPr>
              <w:t xml:space="preserve">Automated dedicated fleet</w:t>
            </w:r>
          </w:p>
        </w:tc>
        <w:tc>
          <w:tcPr>
            <w:tcW w:w="3200" w:type="dxa"/>
            <w:tcMar>
              <w:top w:w="90" w:type="dxa"/>
              <w:left w:w="100" w:type="dxa"/>
              <w:bottom w:w="90" w:type="dxa"/>
              <w:right w:w="100" w:type="dxa"/>
            </w:tcMar>
          </w:tcPr>
          <w:p>
            <w:r>
              <w:rPr>
                <w:sz w:val="18"/>
              </w:rPr>
              <w:t xml:space="preserve">Deployment templates, migration dashboard, health alerts, standard contracts</w:t>
            </w:r>
          </w:p>
        </w:tc>
        <w:tc>
          <w:tcPr>
            <w:tcW w:w="2500" w:type="dxa"/>
            <w:tcMar>
              <w:top w:w="90" w:type="dxa"/>
              <w:left w:w="100" w:type="dxa"/>
              <w:bottom w:w="90" w:type="dxa"/>
              <w:right w:w="100" w:type="dxa"/>
            </w:tcMar>
          </w:tcPr>
          <w:p>
            <w:r>
              <w:rPr>
                <w:sz w:val="18"/>
              </w:rPr>
              <w:t xml:space="preserve">Protect support margin and reduce setup time</w:t>
            </w:r>
          </w:p>
        </w:tc>
      </w:tr>
      <w:tr>
        <w:tc>
          <w:tcPr>
            <w:tcW w:w="1300" w:type="dxa"/>
            <w:tcMar>
              <w:top w:w="90" w:type="dxa"/>
              <w:left w:w="100" w:type="dxa"/>
              <w:bottom w:w="90" w:type="dxa"/>
              <w:right w:w="100" w:type="dxa"/>
            </w:tcMar>
          </w:tcPr>
          <w:p>
            <w:r>
              <w:rPr>
                <w:sz w:val="18"/>
              </w:rPr>
              <w:t xml:space="preserve">31-75 churches</w:t>
            </w:r>
          </w:p>
        </w:tc>
        <w:tc>
          <w:tcPr>
            <w:tcW w:w="2300" w:type="dxa"/>
            <w:tcMar>
              <w:top w:w="90" w:type="dxa"/>
              <w:left w:w="100" w:type="dxa"/>
              <w:bottom w:w="90" w:type="dxa"/>
              <w:right w:w="100" w:type="dxa"/>
            </w:tcMar>
          </w:tcPr>
          <w:p>
            <w:r>
              <w:rPr>
                <w:sz w:val="18"/>
              </w:rPr>
              <w:t xml:space="preserve">Decide on tenant platform</w:t>
            </w:r>
          </w:p>
        </w:tc>
        <w:tc>
          <w:tcPr>
            <w:tcW w:w="3200" w:type="dxa"/>
            <w:tcMar>
              <w:top w:w="90" w:type="dxa"/>
              <w:left w:w="100" w:type="dxa"/>
              <w:bottom w:w="90" w:type="dxa"/>
              <w:right w:w="100" w:type="dxa"/>
            </w:tcMar>
          </w:tcPr>
          <w:p>
            <w:r>
              <w:rPr>
                <w:sz w:val="18"/>
              </w:rPr>
              <w:t xml:space="preserve">Fund tenant isolation, billing, observability, security testing</w:t>
            </w:r>
          </w:p>
        </w:tc>
        <w:tc>
          <w:tcPr>
            <w:tcW w:w="2500" w:type="dxa"/>
            <w:tcMar>
              <w:top w:w="90" w:type="dxa"/>
              <w:left w:w="100" w:type="dxa"/>
              <w:bottom w:w="90" w:type="dxa"/>
              <w:right w:w="100" w:type="dxa"/>
            </w:tcMar>
          </w:tcPr>
          <w:p>
            <w:r>
              <w:rPr>
                <w:sz w:val="18"/>
              </w:rPr>
              <w:t xml:space="preserve">Unit infrastructure cost can fall after migration</w:t>
            </w:r>
          </w:p>
        </w:tc>
      </w:tr>
      <w:tr>
        <w:tc>
          <w:tcPr>
            <w:tcW w:w="1300" w:type="dxa"/>
            <w:tcMar>
              <w:top w:w="90" w:type="dxa"/>
              <w:left w:w="100" w:type="dxa"/>
              <w:bottom w:w="90" w:type="dxa"/>
              <w:right w:w="100" w:type="dxa"/>
            </w:tcMar>
          </w:tcPr>
          <w:p>
            <w:r>
              <w:rPr>
                <w:sz w:val="18"/>
              </w:rPr>
              <w:t xml:space="preserve">75+ churches</w:t>
            </w:r>
          </w:p>
        </w:tc>
        <w:tc>
          <w:tcPr>
            <w:tcW w:w="2300" w:type="dxa"/>
            <w:tcMar>
              <w:top w:w="90" w:type="dxa"/>
              <w:left w:w="100" w:type="dxa"/>
              <w:bottom w:w="90" w:type="dxa"/>
              <w:right w:w="100" w:type="dxa"/>
            </w:tcMar>
          </w:tcPr>
          <w:p>
            <w:r>
              <w:rPr>
                <w:sz w:val="18"/>
              </w:rPr>
              <w:t xml:space="preserve">Multi-tenant SaaS plus isolated enterprise option</w:t>
            </w:r>
          </w:p>
        </w:tc>
        <w:tc>
          <w:tcPr>
            <w:tcW w:w="3200" w:type="dxa"/>
            <w:tcMar>
              <w:top w:w="90" w:type="dxa"/>
              <w:left w:w="100" w:type="dxa"/>
              <w:bottom w:w="90" w:type="dxa"/>
              <w:right w:w="100" w:type="dxa"/>
            </w:tcMar>
          </w:tcPr>
          <w:p>
            <w:r>
              <w:rPr>
                <w:sz w:val="18"/>
              </w:rPr>
              <w:t xml:space="preserve">Regional reliability, support team, DR exercises, stronger governance</w:t>
            </w:r>
          </w:p>
        </w:tc>
        <w:tc>
          <w:tcPr>
            <w:tcW w:w="2500" w:type="dxa"/>
            <w:tcMar>
              <w:top w:w="90" w:type="dxa"/>
              <w:left w:w="100" w:type="dxa"/>
              <w:bottom w:w="90" w:type="dxa"/>
              <w:right w:w="100" w:type="dxa"/>
            </w:tcMar>
          </w:tcPr>
          <w:p>
            <w:r>
              <w:rPr>
                <w:sz w:val="18"/>
              </w:rPr>
              <w:t xml:space="preserve">Higher gross margin; enterprise premium for dedicated isolation</w:t>
            </w:r>
          </w:p>
        </w:tc>
      </w:tr>
    </w:tbl>
    <w:p/>
    <w:p>
      <w:pPr>
        <w:pStyle w:val="Heading2"/>
        <w:jc w:val="left"/>
      </w:pPr>
      <w:r>
        <w:rPr/>
        <w:t xml:space="preserve">Important costing choice</w:t>
      </w:r>
    </w:p>
    <w:p>
      <w:pPr>
        <w:pStyle w:val="BodyText"/>
        <w:jc w:val="left"/>
      </w:pPr>
      <w:r>
        <w:rPr/>
        <w:t xml:space="preserve">The unit-cost tables assume additional Supabase projects inside a centrally managed paid organization, using the published starting price of US for an additional Micro project after the first included project. If each customer requires its own separately billed Supabase organization, budget US instead; at this exchange rate that adds about ₦24,000 per church per month and should trigger a ₦30,000-₦40,000 dedicated-hosting surcharge.</w:t>
      </w:r>
    </w:p>
    <w:p>
      <w:pPr>
        <w:pStyle w:val="Heading1"/>
        <w:jc w:val="left"/>
      </w:pPr>
      <w:r>
        <w:rPr/>
        <w:t xml:space="preserve">3. One-time commercialization budget</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800"/>
        <w:gridCol w:w="1700"/>
        <w:gridCol w:w="4800"/>
      </w:tblGrid>
      <w:tr>
        <w:tc>
          <w:tcPr>
            <w:tcW w:w="2800" w:type="dxa"/>
            <w:shd w:val="clear" w:fill="EAF0FF"/>
            <w:tcMar>
              <w:top w:w="90" w:type="dxa"/>
              <w:left w:w="100" w:type="dxa"/>
              <w:bottom w:w="90" w:type="dxa"/>
              <w:right w:w="100" w:type="dxa"/>
            </w:tcMar>
          </w:tcPr>
          <w:p>
            <w:r>
              <w:rPr>
                <w:b/>
                <w:sz w:val="18"/>
              </w:rPr>
              <w:t xml:space="preserve">Workstream</w:t>
            </w:r>
          </w:p>
        </w:tc>
        <w:tc>
          <w:tcPr>
            <w:tcW w:w="1700" w:type="dxa"/>
            <w:shd w:val="clear" w:fill="EAF0FF"/>
            <w:tcMar>
              <w:top w:w="90" w:type="dxa"/>
              <w:left w:w="100" w:type="dxa"/>
              <w:bottom w:w="90" w:type="dxa"/>
              <w:right w:w="100" w:type="dxa"/>
            </w:tcMar>
          </w:tcPr>
          <w:p>
            <w:r>
              <w:rPr>
                <w:b/>
                <w:sz w:val="18"/>
              </w:rPr>
              <w:t xml:space="preserve">Budget</w:t>
            </w:r>
          </w:p>
        </w:tc>
        <w:tc>
          <w:tcPr>
            <w:tcW w:w="4800" w:type="dxa"/>
            <w:shd w:val="clear" w:fill="EAF0FF"/>
            <w:tcMar>
              <w:top w:w="90" w:type="dxa"/>
              <w:left w:w="100" w:type="dxa"/>
              <w:bottom w:w="90" w:type="dxa"/>
              <w:right w:w="100" w:type="dxa"/>
            </w:tcMar>
          </w:tcPr>
          <w:p>
            <w:r>
              <w:rPr>
                <w:b/>
                <w:sz w:val="18"/>
              </w:rPr>
              <w:t xml:space="preserve">Deliverable</w:t>
            </w:r>
          </w:p>
        </w:tc>
      </w:tr>
      <w:tr>
        <w:tc>
          <w:tcPr>
            <w:tcW w:w="2800" w:type="dxa"/>
            <w:tcMar>
              <w:top w:w="90" w:type="dxa"/>
              <w:left w:w="100" w:type="dxa"/>
              <w:bottom w:w="90" w:type="dxa"/>
              <w:right w:w="100" w:type="dxa"/>
            </w:tcMar>
          </w:tcPr>
          <w:p>
            <w:r>
              <w:rPr>
                <w:sz w:val="18"/>
              </w:rPr>
              <w:t xml:space="preserve">Security and privacy review</w:t>
            </w:r>
          </w:p>
        </w:tc>
        <w:tc>
          <w:tcPr>
            <w:tcW w:w="1700" w:type="dxa"/>
            <w:tcMar>
              <w:top w:w="90" w:type="dxa"/>
              <w:left w:w="100" w:type="dxa"/>
              <w:bottom w:w="90" w:type="dxa"/>
              <w:right w:w="100" w:type="dxa"/>
            </w:tcMar>
          </w:tcPr>
          <w:p>
            <w:r>
              <w:rPr>
                <w:sz w:val="18"/>
              </w:rPr>
              <w:t xml:space="preserve">₦750,000</w:t>
            </w:r>
          </w:p>
        </w:tc>
        <w:tc>
          <w:tcPr>
            <w:tcW w:w="4800" w:type="dxa"/>
            <w:tcMar>
              <w:top w:w="90" w:type="dxa"/>
              <w:left w:w="100" w:type="dxa"/>
              <w:bottom w:w="90" w:type="dxa"/>
              <w:right w:w="100" w:type="dxa"/>
            </w:tcMar>
          </w:tcPr>
          <w:p>
            <w:r>
              <w:rPr>
                <w:sz w:val="18"/>
              </w:rPr>
              <w:t xml:space="preserve">Threat review, RLS verification, privacy and retention controls</w:t>
            </w:r>
          </w:p>
        </w:tc>
      </w:tr>
      <w:tr>
        <w:tc>
          <w:tcPr>
            <w:tcW w:w="2800" w:type="dxa"/>
            <w:tcMar>
              <w:top w:w="90" w:type="dxa"/>
              <w:left w:w="100" w:type="dxa"/>
              <w:bottom w:w="90" w:type="dxa"/>
              <w:right w:w="100" w:type="dxa"/>
            </w:tcMar>
          </w:tcPr>
          <w:p>
            <w:r>
              <w:rPr>
                <w:sz w:val="18"/>
              </w:rPr>
              <w:t xml:space="preserve">Billing and customer onboarding</w:t>
            </w:r>
          </w:p>
        </w:tc>
        <w:tc>
          <w:tcPr>
            <w:tcW w:w="1700" w:type="dxa"/>
            <w:tcMar>
              <w:top w:w="90" w:type="dxa"/>
              <w:left w:w="100" w:type="dxa"/>
              <w:bottom w:w="90" w:type="dxa"/>
              <w:right w:w="100" w:type="dxa"/>
            </w:tcMar>
          </w:tcPr>
          <w:p>
            <w:r>
              <w:rPr>
                <w:sz w:val="18"/>
              </w:rPr>
              <w:t xml:space="preserve">₦600,000</w:t>
            </w:r>
          </w:p>
        </w:tc>
        <w:tc>
          <w:tcPr>
            <w:tcW w:w="4800" w:type="dxa"/>
            <w:tcMar>
              <w:top w:w="90" w:type="dxa"/>
              <w:left w:w="100" w:type="dxa"/>
              <w:bottom w:w="90" w:type="dxa"/>
              <w:right w:w="100" w:type="dxa"/>
            </w:tcMar>
          </w:tcPr>
          <w:p>
            <w:r>
              <w:rPr>
                <w:sz w:val="18"/>
              </w:rPr>
              <w:t xml:space="preserve">Contracts, invoicing workflow, provisioning and handover</w:t>
            </w:r>
          </w:p>
        </w:tc>
      </w:tr>
      <w:tr>
        <w:tc>
          <w:tcPr>
            <w:tcW w:w="2800" w:type="dxa"/>
            <w:tcMar>
              <w:top w:w="90" w:type="dxa"/>
              <w:left w:w="100" w:type="dxa"/>
              <w:bottom w:w="90" w:type="dxa"/>
              <w:right w:w="100" w:type="dxa"/>
            </w:tcMar>
          </w:tcPr>
          <w:p>
            <w:r>
              <w:rPr>
                <w:sz w:val="18"/>
              </w:rPr>
              <w:t xml:space="preserve">Production UAT and accessibility</w:t>
            </w:r>
          </w:p>
        </w:tc>
        <w:tc>
          <w:tcPr>
            <w:tcW w:w="1700" w:type="dxa"/>
            <w:tcMar>
              <w:top w:w="90" w:type="dxa"/>
              <w:left w:w="100" w:type="dxa"/>
              <w:bottom w:w="90" w:type="dxa"/>
              <w:right w:w="100" w:type="dxa"/>
            </w:tcMar>
          </w:tcPr>
          <w:p>
            <w:r>
              <w:rPr>
                <w:sz w:val="18"/>
              </w:rPr>
              <w:t xml:space="preserve">₦350,000</w:t>
            </w:r>
          </w:p>
        </w:tc>
        <w:tc>
          <w:tcPr>
            <w:tcW w:w="4800" w:type="dxa"/>
            <w:tcMar>
              <w:top w:w="90" w:type="dxa"/>
              <w:left w:w="100" w:type="dxa"/>
              <w:bottom w:w="90" w:type="dxa"/>
              <w:right w:w="100" w:type="dxa"/>
            </w:tcMar>
          </w:tcPr>
          <w:p>
            <w:r>
              <w:rPr>
                <w:sz w:val="18"/>
              </w:rPr>
              <w:t xml:space="preserve">Role-based test scripts, mobile testing, defect closure</w:t>
            </w:r>
          </w:p>
        </w:tc>
      </w:tr>
      <w:tr>
        <w:tc>
          <w:tcPr>
            <w:tcW w:w="2800" w:type="dxa"/>
            <w:tcMar>
              <w:top w:w="90" w:type="dxa"/>
              <w:left w:w="100" w:type="dxa"/>
              <w:bottom w:w="90" w:type="dxa"/>
              <w:right w:w="100" w:type="dxa"/>
            </w:tcMar>
          </w:tcPr>
          <w:p>
            <w:r>
              <w:rPr>
                <w:sz w:val="18"/>
              </w:rPr>
              <w:t xml:space="preserve">Monitoring, backup and recovery</w:t>
            </w:r>
          </w:p>
        </w:tc>
        <w:tc>
          <w:tcPr>
            <w:tcW w:w="1700" w:type="dxa"/>
            <w:tcMar>
              <w:top w:w="90" w:type="dxa"/>
              <w:left w:w="100" w:type="dxa"/>
              <w:bottom w:w="90" w:type="dxa"/>
              <w:right w:w="100" w:type="dxa"/>
            </w:tcMar>
          </w:tcPr>
          <w:p>
            <w:r>
              <w:rPr>
                <w:sz w:val="18"/>
              </w:rPr>
              <w:t xml:space="preserve">₦250,000</w:t>
            </w:r>
          </w:p>
        </w:tc>
        <w:tc>
          <w:tcPr>
            <w:tcW w:w="4800" w:type="dxa"/>
            <w:tcMar>
              <w:top w:w="90" w:type="dxa"/>
              <w:left w:w="100" w:type="dxa"/>
              <w:bottom w:w="90" w:type="dxa"/>
              <w:right w:w="100" w:type="dxa"/>
            </w:tcMar>
          </w:tcPr>
          <w:p>
            <w:r>
              <w:rPr>
                <w:sz w:val="18"/>
              </w:rPr>
              <w:t xml:space="preserve">Alerts, restore exercise, incident and release runbooks</w:t>
            </w:r>
          </w:p>
        </w:tc>
      </w:tr>
      <w:tr>
        <w:tc>
          <w:tcPr>
            <w:tcW w:w="2800" w:type="dxa"/>
            <w:tcMar>
              <w:top w:w="90" w:type="dxa"/>
              <w:left w:w="100" w:type="dxa"/>
              <w:bottom w:w="90" w:type="dxa"/>
              <w:right w:w="100" w:type="dxa"/>
            </w:tcMar>
          </w:tcPr>
          <w:p>
            <w:r>
              <w:rPr>
                <w:sz w:val="18"/>
              </w:rPr>
              <w:t xml:space="preserve">Legal, privacy and commercial documents</w:t>
            </w:r>
          </w:p>
        </w:tc>
        <w:tc>
          <w:tcPr>
            <w:tcW w:w="1700" w:type="dxa"/>
            <w:tcMar>
              <w:top w:w="90" w:type="dxa"/>
              <w:left w:w="100" w:type="dxa"/>
              <w:bottom w:w="90" w:type="dxa"/>
              <w:right w:w="100" w:type="dxa"/>
            </w:tcMar>
          </w:tcPr>
          <w:p>
            <w:r>
              <w:rPr>
                <w:sz w:val="18"/>
              </w:rPr>
              <w:t xml:space="preserve">₦400,000</w:t>
            </w:r>
          </w:p>
        </w:tc>
        <w:tc>
          <w:tcPr>
            <w:tcW w:w="4800" w:type="dxa"/>
            <w:tcMar>
              <w:top w:w="90" w:type="dxa"/>
              <w:left w:w="100" w:type="dxa"/>
              <w:bottom w:w="90" w:type="dxa"/>
              <w:right w:w="100" w:type="dxa"/>
            </w:tcMar>
          </w:tcPr>
          <w:p>
            <w:r>
              <w:rPr>
                <w:sz w:val="18"/>
              </w:rPr>
              <w:t xml:space="preserve">Terms, DPA/privacy review, service description</w:t>
            </w:r>
          </w:p>
        </w:tc>
      </w:tr>
      <w:tr>
        <w:tc>
          <w:tcPr>
            <w:tcW w:w="2800" w:type="dxa"/>
            <w:tcMar>
              <w:top w:w="90" w:type="dxa"/>
              <w:left w:w="100" w:type="dxa"/>
              <w:bottom w:w="90" w:type="dxa"/>
              <w:right w:w="100" w:type="dxa"/>
            </w:tcMar>
          </w:tcPr>
          <w:p>
            <w:r>
              <w:rPr>
                <w:sz w:val="18"/>
              </w:rPr>
              <w:t xml:space="preserve">Launch material and pilot acquisition</w:t>
            </w:r>
          </w:p>
        </w:tc>
        <w:tc>
          <w:tcPr>
            <w:tcW w:w="1700" w:type="dxa"/>
            <w:tcMar>
              <w:top w:w="90" w:type="dxa"/>
              <w:left w:w="100" w:type="dxa"/>
              <w:bottom w:w="90" w:type="dxa"/>
              <w:right w:w="100" w:type="dxa"/>
            </w:tcMar>
          </w:tcPr>
          <w:p>
            <w:r>
              <w:rPr>
                <w:sz w:val="18"/>
              </w:rPr>
              <w:t xml:space="preserve">₦250,000</w:t>
            </w:r>
          </w:p>
        </w:tc>
        <w:tc>
          <w:tcPr>
            <w:tcW w:w="4800" w:type="dxa"/>
            <w:tcMar>
              <w:top w:w="90" w:type="dxa"/>
              <w:left w:w="100" w:type="dxa"/>
              <w:bottom w:w="90" w:type="dxa"/>
              <w:right w:w="100" w:type="dxa"/>
            </w:tcMar>
          </w:tcPr>
          <w:p>
            <w:r>
              <w:rPr>
                <w:sz w:val="18"/>
              </w:rPr>
              <w:t xml:space="preserve">Demo, training material, pilot outreach</w:t>
            </w:r>
          </w:p>
        </w:tc>
      </w:tr>
      <w:tr>
        <w:tc>
          <w:tcPr>
            <w:tcW w:w="2800" w:type="dxa"/>
            <w:tcMar>
              <w:top w:w="90" w:type="dxa"/>
              <w:left w:w="100" w:type="dxa"/>
              <w:bottom w:w="90" w:type="dxa"/>
              <w:right w:w="100" w:type="dxa"/>
            </w:tcMar>
          </w:tcPr>
          <w:p>
            <w:r>
              <w:rPr>
                <w:sz w:val="18"/>
              </w:rPr>
              <w:t xml:space="preserve">20% contingency</w:t>
            </w:r>
          </w:p>
        </w:tc>
        <w:tc>
          <w:tcPr>
            <w:tcW w:w="1700" w:type="dxa"/>
            <w:tcMar>
              <w:top w:w="90" w:type="dxa"/>
              <w:left w:w="100" w:type="dxa"/>
              <w:bottom w:w="90" w:type="dxa"/>
              <w:right w:w="100" w:type="dxa"/>
            </w:tcMar>
          </w:tcPr>
          <w:p>
            <w:r>
              <w:rPr>
                <w:sz w:val="18"/>
              </w:rPr>
              <w:t xml:space="preserve">₦520,000</w:t>
            </w:r>
          </w:p>
        </w:tc>
        <w:tc>
          <w:tcPr>
            <w:tcW w:w="4800" w:type="dxa"/>
            <w:tcMar>
              <w:top w:w="90" w:type="dxa"/>
              <w:left w:w="100" w:type="dxa"/>
              <w:bottom w:w="90" w:type="dxa"/>
              <w:right w:w="100" w:type="dxa"/>
            </w:tcMar>
          </w:tcPr>
          <w:p>
            <w:r>
              <w:rPr>
                <w:sz w:val="18"/>
              </w:rPr>
              <w:t xml:space="preserve">Unknowns, supplier and FX movement</w:t>
            </w:r>
          </w:p>
        </w:tc>
      </w:tr>
      <w:tr>
        <w:tc>
          <w:tcPr>
            <w:tcW w:w="2800" w:type="dxa"/>
            <w:tcMar>
              <w:top w:w="90" w:type="dxa"/>
              <w:left w:w="100" w:type="dxa"/>
              <w:bottom w:w="90" w:type="dxa"/>
              <w:right w:w="100" w:type="dxa"/>
            </w:tcMar>
          </w:tcPr>
          <w:p>
            <w:r>
              <w:rPr>
                <w:sz w:val="18"/>
              </w:rPr>
              <w:t xml:space="preserve">W</w:t>
            </w:r>
          </w:p>
        </w:tc>
        <w:tc>
          <w:tcPr>
            <w:tcW w:w="1700" w:type="dxa"/>
            <w:tcMar>
              <w:top w:w="90" w:type="dxa"/>
              <w:left w:w="100" w:type="dxa"/>
              <w:bottom w:w="90" w:type="dxa"/>
              <w:right w:w="100" w:type="dxa"/>
            </w:tcMar>
          </w:tcPr>
          <w:p>
            <w:r>
              <w:rPr>
                <w:sz w:val="18"/>
              </w:rPr>
              <w:t xml:space="preserve">h</w:t>
            </w:r>
          </w:p>
        </w:tc>
        <w:tc>
          <w:tcPr>
            <w:tcW w:w="4800" w:type="dxa"/>
            <w:tcMar>
              <w:top w:w="90" w:type="dxa"/>
              <w:left w:w="100" w:type="dxa"/>
              <w:bottom w:w="90" w:type="dxa"/>
              <w:right w:w="100" w:type="dxa"/>
            </w:tcMar>
          </w:tcPr>
          <w:p>
            <w:r>
              <w:rPr>
                <w:sz w:val="18"/>
              </w:rPr>
              <w:t xml:space="preserve">a</w:t>
            </w:r>
          </w:p>
        </w:tc>
      </w:tr>
      <w:tr>
        <w:tc>
          <w:tcPr>
            <w:tcW w:w="2800" w:type="dxa"/>
            <w:tcMar>
              <w:top w:w="90" w:type="dxa"/>
              <w:left w:w="100" w:type="dxa"/>
              <w:bottom w:w="90" w:type="dxa"/>
              <w:right w:w="100" w:type="dxa"/>
            </w:tcMar>
          </w:tcPr>
          <w:p>
            <w:r>
              <w:rPr>
                <w:sz w:val="18"/>
              </w:rPr>
              <w:t xml:space="preserve">₦</w:t>
            </w:r>
          </w:p>
        </w:tc>
        <w:tc>
          <w:tcPr>
            <w:tcW w:w="1700" w:type="dxa"/>
            <w:tcMar>
              <w:top w:w="90" w:type="dxa"/>
              <w:left w:w="100" w:type="dxa"/>
              <w:bottom w:w="90" w:type="dxa"/>
              <w:right w:w="100" w:type="dxa"/>
            </w:tcMar>
          </w:tcPr>
          <w:p>
            <w:r>
              <w:rPr>
                <w:sz w:val="18"/>
              </w:rPr>
              <w:t xml:space="preserve">8</w:t>
            </w:r>
          </w:p>
        </w:tc>
        <w:tc>
          <w:tcPr>
            <w:tcW w:w="4800" w:type="dxa"/>
            <w:tcMar>
              <w:top w:w="90" w:type="dxa"/>
              <w:left w:w="100" w:type="dxa"/>
              <w:bottom w:w="90" w:type="dxa"/>
              <w:right w:w="100" w:type="dxa"/>
            </w:tcMar>
          </w:tcPr>
          <w:p>
            <w:r>
              <w:rPr>
                <w:sz w:val="18"/>
              </w:rPr>
              <w:t xml:space="preserve">8</w:t>
            </w:r>
          </w:p>
        </w:tc>
      </w:tr>
      <w:tr>
        <w:tc>
          <w:tcPr>
            <w:tcW w:w="2800" w:type="dxa"/>
            <w:tcMar>
              <w:top w:w="90" w:type="dxa"/>
              <w:left w:w="100" w:type="dxa"/>
              <w:bottom w:w="90" w:type="dxa"/>
              <w:right w:w="100" w:type="dxa"/>
            </w:tcMar>
          </w:tcPr>
          <w:p>
            <w:r>
              <w:rPr>
                <w:sz w:val="18"/>
              </w:rPr>
              <w:t xml:space="preserve">M</w:t>
            </w:r>
          </w:p>
        </w:tc>
        <w:tc>
          <w:tcPr>
            <w:tcW w:w="1700" w:type="dxa"/>
            <w:tcMar>
              <w:top w:w="90" w:type="dxa"/>
              <w:left w:w="100" w:type="dxa"/>
              <w:bottom w:w="90" w:type="dxa"/>
              <w:right w:w="100" w:type="dxa"/>
            </w:tcMar>
          </w:tcPr>
          <w:p>
            <w:r>
              <w:rPr>
                <w:sz w:val="18"/>
              </w:rPr>
              <w:t xml:space="preserve">e</w:t>
            </w:r>
          </w:p>
        </w:tc>
        <w:tc>
          <w:tcPr>
            <w:tcW w:w="4800" w:type="dxa"/>
            <w:tcMar>
              <w:top w:w="90" w:type="dxa"/>
              <w:left w:w="100" w:type="dxa"/>
              <w:bottom w:w="90" w:type="dxa"/>
              <w:right w:w="100" w:type="dxa"/>
            </w:tcMar>
          </w:tcPr>
          <w:p>
            <w:r>
              <w:rPr>
                <w:sz w:val="18"/>
              </w:rPr>
              <w:t xml:space="preserve">t</w:t>
            </w:r>
          </w:p>
        </w:tc>
      </w:tr>
      <w:tr>
        <w:tc>
          <w:tcPr>
            <w:tcW w:w="2800" w:type="dxa"/>
            <w:tcMar>
              <w:top w:w="90" w:type="dxa"/>
              <w:left w:w="100" w:type="dxa"/>
              <w:bottom w:w="90" w:type="dxa"/>
              <w:right w:w="100" w:type="dxa"/>
            </w:tcMar>
          </w:tcPr>
          <w:p>
            <w:r>
              <w:rPr>
                <w:sz w:val="18"/>
              </w:rPr>
              <w:t xml:space="preserve">T</w:t>
            </w:r>
          </w:p>
        </w:tc>
        <w:tc>
          <w:tcPr>
            <w:tcW w:w="1700" w:type="dxa"/>
            <w:tcMar>
              <w:top w:w="90" w:type="dxa"/>
              <w:left w:w="100" w:type="dxa"/>
              <w:bottom w:w="90" w:type="dxa"/>
              <w:right w:w="100" w:type="dxa"/>
            </w:tcMar>
          </w:tcPr>
          <w:p>
            <w:r>
              <w:rPr>
                <w:sz w:val="18"/>
              </w:rPr>
              <w:t xml:space="preserve">o</w:t>
            </w:r>
          </w:p>
        </w:tc>
        <w:tc>
          <w:tcPr>
            <w:tcW w:w="4800" w:type="dxa"/>
            <w:tcMar>
              <w:top w:w="90" w:type="dxa"/>
              <w:left w:w="100" w:type="dxa"/>
              <w:bottom w:w="90" w:type="dxa"/>
              <w:right w:w="100" w:type="dxa"/>
            </w:tcMar>
          </w:tcPr>
          <w:p>
            <w:r>
              <w:rPr>
                <w:sz w:val="18"/>
              </w:rPr>
              <w:t xml:space="preserve">t</w:t>
            </w:r>
          </w:p>
        </w:tc>
      </w:tr>
      <w:tr>
        <w:tc>
          <w:tcPr>
            <w:tcW w:w="2800" w:type="dxa"/>
            <w:tcMar>
              <w:top w:w="90" w:type="dxa"/>
              <w:left w:w="100" w:type="dxa"/>
              <w:bottom w:w="90" w:type="dxa"/>
              <w:right w:w="100" w:type="dxa"/>
            </w:tcMar>
          </w:tcPr>
          <w:p>
            <w:r>
              <w:rPr>
                <w:sz w:val="18"/>
              </w:rPr>
              <w:t xml:space="preserve">₦</w:t>
            </w:r>
          </w:p>
        </w:tc>
        <w:tc>
          <w:tcPr>
            <w:tcW w:w="1700" w:type="dxa"/>
            <w:tcMar>
              <w:top w:w="90" w:type="dxa"/>
              <w:left w:w="100" w:type="dxa"/>
              <w:bottom w:w="90" w:type="dxa"/>
              <w:right w:w="100" w:type="dxa"/>
            </w:tcMar>
          </w:tcPr>
          <w:p>
            <w:r>
              <w:rPr>
                <w:sz w:val="18"/>
              </w:rPr>
              <w:t xml:space="preserve">4</w:t>
            </w:r>
          </w:p>
        </w:tc>
        <w:tc>
          <w:tcPr>
            <w:tcW w:w="4800" w:type="dxa"/>
            <w:tcMar>
              <w:top w:w="90" w:type="dxa"/>
              <w:left w:w="100" w:type="dxa"/>
              <w:bottom w:w="90" w:type="dxa"/>
              <w:right w:w="100" w:type="dxa"/>
            </w:tcMar>
          </w:tcPr>
          <w:p>
            <w:r>
              <w:rPr>
                <w:sz w:val="18"/>
              </w:rPr>
              <w:t xml:space="preserve">,</w:t>
            </w:r>
          </w:p>
        </w:tc>
      </w:tr>
      <w:tr>
        <w:tc>
          <w:tcPr>
            <w:tcW w:w="2800" w:type="dxa"/>
            <w:tcMar>
              <w:top w:w="90" w:type="dxa"/>
              <w:left w:w="100" w:type="dxa"/>
              <w:bottom w:w="90" w:type="dxa"/>
              <w:right w:w="100" w:type="dxa"/>
            </w:tcMar>
          </w:tcPr>
          <w:p>
            <w:r>
              <w:rPr>
                <w:sz w:val="18"/>
              </w:rPr>
              <w:t xml:space="preserve">R</w:t>
            </w:r>
          </w:p>
        </w:tc>
        <w:tc>
          <w:tcPr>
            <w:tcW w:w="1700" w:type="dxa"/>
            <w:tcMar>
              <w:top w:w="90" w:type="dxa"/>
              <w:left w:w="100" w:type="dxa"/>
              <w:bottom w:w="90" w:type="dxa"/>
              <w:right w:w="100" w:type="dxa"/>
            </w:tcMar>
          </w:tcPr>
          <w:p>
            <w:r>
              <w:rPr>
                <w:sz w:val="18"/>
              </w:rPr>
              <w:t xml:space="preserve">e</w:t>
            </w:r>
          </w:p>
        </w:tc>
        <w:tc>
          <w:tcPr>
            <w:tcW w:w="4800" w:type="dxa"/>
            <w:tcMar>
              <w:top w:w="90" w:type="dxa"/>
              <w:left w:w="100" w:type="dxa"/>
              <w:bottom w:w="90" w:type="dxa"/>
              <w:right w:w="100" w:type="dxa"/>
            </w:tcMar>
          </w:tcPr>
          <w:p>
            <w:r>
              <w:rPr>
                <w:sz w:val="18"/>
              </w:rPr>
              <w:t xml:space="preserve">l</w:t>
            </w:r>
          </w:p>
        </w:tc>
      </w:tr>
    </w:tbl>
    <w:p/>
    <w:p>
      <w:pPr>
        <w:pStyle w:val="BodyText"/>
        <w:jc w:val="left"/>
      </w:pPr>
      <w:r>
        <w:rPr/>
        <w:t xml:space="preserve">These are management budgets, not vendor quotes. Work already completed can reduce the actual cash requirement. Do not remove the security, legal, restore-testing, or contingency lines merely because the application builds successfully.</w:t>
      </w:r>
    </w:p>
    <w:p>
      <w:pPr>
        <w:pStyle w:val="Heading1"/>
        <w:jc w:val="left"/>
      </w:pPr>
      <w:r>
        <w:rPr/>
        <w:t xml:space="preserve">4. Monthly operating cost</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400"/>
        <w:gridCol w:w="1900"/>
        <w:gridCol w:w="4000"/>
      </w:tblGrid>
      <w:tr>
        <w:tc>
          <w:tcPr>
            <w:tcW w:w="3400" w:type="dxa"/>
            <w:shd w:val="clear" w:fill="EAF0FF"/>
            <w:tcMar>
              <w:top w:w="90" w:type="dxa"/>
              <w:left w:w="100" w:type="dxa"/>
              <w:bottom w:w="90" w:type="dxa"/>
              <w:right w:w="100" w:type="dxa"/>
            </w:tcMar>
          </w:tcPr>
          <w:p>
            <w:r>
              <w:rPr>
                <w:b/>
                <w:sz w:val="18"/>
              </w:rPr>
              <w:t xml:space="preserve">Fixed monthly cost</w:t>
            </w:r>
          </w:p>
        </w:tc>
        <w:tc>
          <w:tcPr>
            <w:tcW w:w="1900" w:type="dxa"/>
            <w:shd w:val="clear" w:fill="EAF0FF"/>
            <w:tcMar>
              <w:top w:w="90" w:type="dxa"/>
              <w:left w:w="100" w:type="dxa"/>
              <w:bottom w:w="90" w:type="dxa"/>
              <w:right w:w="100" w:type="dxa"/>
            </w:tcMar>
          </w:tcPr>
          <w:p>
            <w:r>
              <w:rPr>
                <w:b/>
                <w:sz w:val="18"/>
              </w:rPr>
              <w:t xml:space="preserve">Planning amount</w:t>
            </w:r>
          </w:p>
        </w:tc>
        <w:tc>
          <w:tcPr>
            <w:tcW w:w="4000" w:type="dxa"/>
            <w:shd w:val="clear" w:fill="EAF0FF"/>
            <w:tcMar>
              <w:top w:w="90" w:type="dxa"/>
              <w:left w:w="100" w:type="dxa"/>
              <w:bottom w:w="90" w:type="dxa"/>
              <w:right w:w="100" w:type="dxa"/>
            </w:tcMar>
          </w:tcPr>
          <w:p>
            <w:r>
              <w:rPr>
                <w:b/>
                <w:sz w:val="18"/>
              </w:rPr>
              <w:t xml:space="preserve">Basis</w:t>
            </w:r>
          </w:p>
        </w:tc>
      </w:tr>
      <w:tr>
        <w:tc>
          <w:tcPr>
            <w:tcW w:w="3400" w:type="dxa"/>
            <w:tcMar>
              <w:top w:w="90" w:type="dxa"/>
              <w:left w:w="100" w:type="dxa"/>
              <w:bottom w:w="90" w:type="dxa"/>
              <w:right w:w="100" w:type="dxa"/>
            </w:tcMar>
          </w:tcPr>
          <w:p>
            <w:r>
              <w:rPr>
                <w:sz w:val="18"/>
              </w:rPr>
              <w:t xml:space="preserve">Vercel Pro and shared web usage</w:t>
            </w:r>
          </w:p>
        </w:tc>
        <w:tc>
          <w:tcPr>
            <w:tcW w:w="1900" w:type="dxa"/>
            <w:tcMar>
              <w:top w:w="90" w:type="dxa"/>
              <w:left w:w="100" w:type="dxa"/>
              <w:bottom w:w="90" w:type="dxa"/>
              <w:right w:w="100" w:type="dxa"/>
            </w:tcMar>
          </w:tcPr>
          <w:p>
            <w:r>
              <w:rPr>
                <w:sz w:val="18"/>
              </w:rPr>
              <w:t xml:space="preserve">₦40,000</w:t>
            </w:r>
          </w:p>
        </w:tc>
        <w:tc>
          <w:tcPr>
            <w:tcW w:w="4000" w:type="dxa"/>
            <w:tcMar>
              <w:top w:w="90" w:type="dxa"/>
              <w:left w:w="100" w:type="dxa"/>
              <w:bottom w:w="90" w:type="dxa"/>
              <w:right w:w="100" w:type="dxa"/>
            </w:tcMar>
          </w:tcPr>
          <w:p>
            <w:r>
              <w:rPr>
                <w:sz w:val="18"/>
              </w:rPr>
              <w:t xml:space="preserve">US developer plan plus modest usage reserve</w:t>
            </w:r>
          </w:p>
        </w:tc>
      </w:tr>
      <w:tr>
        <w:tc>
          <w:tcPr>
            <w:tcW w:w="3400" w:type="dxa"/>
            <w:tcMar>
              <w:top w:w="90" w:type="dxa"/>
              <w:left w:w="100" w:type="dxa"/>
              <w:bottom w:w="90" w:type="dxa"/>
              <w:right w:w="100" w:type="dxa"/>
            </w:tcMar>
          </w:tcPr>
          <w:p>
            <w:r>
              <w:rPr>
                <w:sz w:val="18"/>
              </w:rPr>
              <w:t xml:space="preserve">Supabase Pro base organization</w:t>
            </w:r>
          </w:p>
        </w:tc>
        <w:tc>
          <w:tcPr>
            <w:tcW w:w="1900" w:type="dxa"/>
            <w:tcMar>
              <w:top w:w="90" w:type="dxa"/>
              <w:left w:w="100" w:type="dxa"/>
              <w:bottom w:w="90" w:type="dxa"/>
              <w:right w:w="100" w:type="dxa"/>
            </w:tcMar>
          </w:tcPr>
          <w:p>
            <w:r>
              <w:rPr>
                <w:sz w:val="18"/>
              </w:rPr>
              <w:t xml:space="preserve">₦40,000</w:t>
            </w:r>
          </w:p>
        </w:tc>
        <w:tc>
          <w:tcPr>
            <w:tcW w:w="4000" w:type="dxa"/>
            <w:tcMar>
              <w:top w:w="90" w:type="dxa"/>
              <w:left w:w="100" w:type="dxa"/>
              <w:bottom w:w="90" w:type="dxa"/>
              <w:right w:w="100" w:type="dxa"/>
            </w:tcMar>
          </w:tcPr>
          <w:p>
            <w:r>
              <w:rPr>
                <w:sz w:val="18"/>
              </w:rPr>
              <w:t xml:space="preserve">Published US starting price</w:t>
            </w:r>
          </w:p>
        </w:tc>
      </w:tr>
      <w:tr>
        <w:tc>
          <w:tcPr>
            <w:tcW w:w="3400" w:type="dxa"/>
            <w:tcMar>
              <w:top w:w="90" w:type="dxa"/>
              <w:left w:w="100" w:type="dxa"/>
              <w:bottom w:w="90" w:type="dxa"/>
              <w:right w:w="100" w:type="dxa"/>
            </w:tcMar>
          </w:tcPr>
          <w:p>
            <w:r>
              <w:rPr>
                <w:sz w:val="18"/>
              </w:rPr>
              <w:t xml:space="preserve">Email, monitoring and domain allocation</w:t>
            </w:r>
          </w:p>
        </w:tc>
        <w:tc>
          <w:tcPr>
            <w:tcW w:w="1900" w:type="dxa"/>
            <w:tcMar>
              <w:top w:w="90" w:type="dxa"/>
              <w:left w:w="100" w:type="dxa"/>
              <w:bottom w:w="90" w:type="dxa"/>
              <w:right w:w="100" w:type="dxa"/>
            </w:tcMar>
          </w:tcPr>
          <w:p>
            <w:r>
              <w:rPr>
                <w:sz w:val="18"/>
              </w:rPr>
              <w:t xml:space="preserve">₦30,000</w:t>
            </w:r>
          </w:p>
        </w:tc>
        <w:tc>
          <w:tcPr>
            <w:tcW w:w="4000" w:type="dxa"/>
            <w:tcMar>
              <w:top w:w="90" w:type="dxa"/>
              <w:left w:w="100" w:type="dxa"/>
              <w:bottom w:w="90" w:type="dxa"/>
              <w:right w:w="100" w:type="dxa"/>
            </w:tcMar>
          </w:tcPr>
          <w:p>
            <w:r>
              <w:rPr>
                <w:sz w:val="18"/>
              </w:rPr>
              <w:t xml:space="preserve">Transactional email, uptime/error monitoring, DNS</w:t>
            </w:r>
          </w:p>
        </w:tc>
      </w:tr>
      <w:tr>
        <w:tc>
          <w:tcPr>
            <w:tcW w:w="3400" w:type="dxa"/>
            <w:tcMar>
              <w:top w:w="90" w:type="dxa"/>
              <w:left w:w="100" w:type="dxa"/>
              <w:bottom w:w="90" w:type="dxa"/>
              <w:right w:w="100" w:type="dxa"/>
            </w:tcMar>
          </w:tcPr>
          <w:p>
            <w:r>
              <w:rPr>
                <w:sz w:val="18"/>
              </w:rPr>
              <w:t xml:space="preserve">WhatsApp operations reserve</w:t>
            </w:r>
          </w:p>
        </w:tc>
        <w:tc>
          <w:tcPr>
            <w:tcW w:w="1900" w:type="dxa"/>
            <w:tcMar>
              <w:top w:w="90" w:type="dxa"/>
              <w:left w:w="100" w:type="dxa"/>
              <w:bottom w:w="90" w:type="dxa"/>
              <w:right w:w="100" w:type="dxa"/>
            </w:tcMar>
          </w:tcPr>
          <w:p>
            <w:r>
              <w:rPr>
                <w:sz w:val="18"/>
              </w:rPr>
              <w:t xml:space="preserve">₦30,000</w:t>
            </w:r>
          </w:p>
        </w:tc>
        <w:tc>
          <w:tcPr>
            <w:tcW w:w="4000" w:type="dxa"/>
            <w:tcMar>
              <w:top w:w="90" w:type="dxa"/>
              <w:left w:w="100" w:type="dxa"/>
              <w:bottom w:w="90" w:type="dxa"/>
              <w:right w:w="100" w:type="dxa"/>
            </w:tcMar>
          </w:tcPr>
          <w:p>
            <w:r>
              <w:rPr>
                <w:sz w:val="18"/>
              </w:rPr>
              <w:t xml:space="preserve">Template administration, delivery monitoring, sender support</w:t>
            </w:r>
          </w:p>
        </w:tc>
      </w:tr>
      <w:tr>
        <w:tc>
          <w:tcPr>
            <w:tcW w:w="3400" w:type="dxa"/>
            <w:tcMar>
              <w:top w:w="90" w:type="dxa"/>
              <w:left w:w="100" w:type="dxa"/>
              <w:bottom w:w="90" w:type="dxa"/>
              <w:right w:w="100" w:type="dxa"/>
            </w:tcMar>
          </w:tcPr>
          <w:p>
            <w:r>
              <w:rPr>
                <w:sz w:val="18"/>
              </w:rPr>
              <w:t xml:space="preserve">Product maintenance and customer support</w:t>
            </w:r>
          </w:p>
        </w:tc>
        <w:tc>
          <w:tcPr>
            <w:tcW w:w="1900" w:type="dxa"/>
            <w:tcMar>
              <w:top w:w="90" w:type="dxa"/>
              <w:left w:w="100" w:type="dxa"/>
              <w:bottom w:w="90" w:type="dxa"/>
              <w:right w:w="100" w:type="dxa"/>
            </w:tcMar>
          </w:tcPr>
          <w:p>
            <w:r>
              <w:rPr>
                <w:sz w:val="18"/>
              </w:rPr>
              <w:t xml:space="preserve">₦340,000</w:t>
            </w:r>
          </w:p>
        </w:tc>
        <w:tc>
          <w:tcPr>
            <w:tcW w:w="4000" w:type="dxa"/>
            <w:tcMar>
              <w:top w:w="90" w:type="dxa"/>
              <w:left w:w="100" w:type="dxa"/>
              <w:bottom w:w="90" w:type="dxa"/>
              <w:right w:w="100" w:type="dxa"/>
            </w:tcMar>
          </w:tcPr>
          <w:p>
            <w:r>
              <w:rPr>
                <w:sz w:val="18"/>
              </w:rPr>
              <w:t xml:space="preserve">Founder/contract engineering and customer success allowance</w:t>
            </w:r>
          </w:p>
        </w:tc>
      </w:tr>
      <w:tr>
        <w:tc>
          <w:tcPr>
            <w:tcW w:w="3400" w:type="dxa"/>
            <w:tcMar>
              <w:top w:w="90" w:type="dxa"/>
              <w:left w:w="100" w:type="dxa"/>
              <w:bottom w:w="90" w:type="dxa"/>
              <w:right w:w="100" w:type="dxa"/>
            </w:tcMar>
          </w:tcPr>
          <w:p>
            <w:r>
              <w:rPr>
                <w:sz w:val="18"/>
              </w:rPr>
              <w:t xml:space="preserve">Sales, administration and professional services</w:t>
            </w:r>
          </w:p>
        </w:tc>
        <w:tc>
          <w:tcPr>
            <w:tcW w:w="1900" w:type="dxa"/>
            <w:tcMar>
              <w:top w:w="90" w:type="dxa"/>
              <w:left w:w="100" w:type="dxa"/>
              <w:bottom w:w="90" w:type="dxa"/>
              <w:right w:w="100" w:type="dxa"/>
            </w:tcMar>
          </w:tcPr>
          <w:p>
            <w:r>
              <w:rPr>
                <w:sz w:val="18"/>
              </w:rPr>
              <w:t xml:space="preserve">₦220,000</w:t>
            </w:r>
          </w:p>
        </w:tc>
        <w:tc>
          <w:tcPr>
            <w:tcW w:w="4000" w:type="dxa"/>
            <w:tcMar>
              <w:top w:w="90" w:type="dxa"/>
              <w:left w:w="100" w:type="dxa"/>
              <w:bottom w:w="90" w:type="dxa"/>
              <w:right w:w="100" w:type="dxa"/>
            </w:tcMar>
          </w:tcPr>
          <w:p>
            <w:r>
              <w:rPr>
                <w:sz w:val="18"/>
              </w:rPr>
              <w:t xml:space="preserve">Sales activity, bookkeeping, legal/admin reserve</w:t>
            </w:r>
          </w:p>
        </w:tc>
      </w:tr>
      <w:tr>
        <w:tc>
          <w:tcPr>
            <w:tcW w:w="3400" w:type="dxa"/>
            <w:tcMar>
              <w:top w:w="90" w:type="dxa"/>
              <w:left w:w="100" w:type="dxa"/>
              <w:bottom w:w="90" w:type="dxa"/>
              <w:right w:w="100" w:type="dxa"/>
            </w:tcMar>
          </w:tcPr>
          <w:p>
            <w:r>
              <w:rPr>
                <w:sz w:val="18"/>
              </w:rPr>
              <w:t xml:space="preserve">Operating contingency</w:t>
            </w:r>
          </w:p>
        </w:tc>
        <w:tc>
          <w:tcPr>
            <w:tcW w:w="1900" w:type="dxa"/>
            <w:tcMar>
              <w:top w:w="90" w:type="dxa"/>
              <w:left w:w="100" w:type="dxa"/>
              <w:bottom w:w="90" w:type="dxa"/>
              <w:right w:w="100" w:type="dxa"/>
            </w:tcMar>
          </w:tcPr>
          <w:p>
            <w:r>
              <w:rPr>
                <w:sz w:val="18"/>
              </w:rPr>
              <w:t xml:space="preserve">₦100,000</w:t>
            </w:r>
          </w:p>
        </w:tc>
        <w:tc>
          <w:tcPr>
            <w:tcW w:w="4000" w:type="dxa"/>
            <w:tcMar>
              <w:top w:w="90" w:type="dxa"/>
              <w:left w:w="100" w:type="dxa"/>
              <w:bottom w:w="90" w:type="dxa"/>
              <w:right w:w="100" w:type="dxa"/>
            </w:tcMar>
          </w:tcPr>
          <w:p>
            <w:r>
              <w:rPr>
                <w:sz w:val="18"/>
              </w:rPr>
              <w:t xml:space="preserve">FX, taxes not modeled, usage surprises</w:t>
            </w:r>
          </w:p>
        </w:tc>
      </w:tr>
      <w:tr>
        <w:tc>
          <w:tcPr>
            <w:tcW w:w="3400" w:type="dxa"/>
            <w:tcMar>
              <w:top w:w="90" w:type="dxa"/>
              <w:left w:w="100" w:type="dxa"/>
              <w:bottom w:w="90" w:type="dxa"/>
              <w:right w:w="100" w:type="dxa"/>
            </w:tcMar>
          </w:tcPr>
          <w:p>
            <w:r>
              <w:rPr>
                <w:sz w:val="18"/>
              </w:rPr>
              <w:t xml:space="preserve">Total fixed monthly overhead</w:t>
            </w:r>
          </w:p>
        </w:tc>
        <w:tc>
          <w:tcPr>
            <w:tcW w:w="1900" w:type="dxa"/>
            <w:tcMar>
              <w:top w:w="90" w:type="dxa"/>
              <w:left w:w="100" w:type="dxa"/>
              <w:bottom w:w="90" w:type="dxa"/>
              <w:right w:w="100" w:type="dxa"/>
            </w:tcMar>
          </w:tcPr>
          <w:p>
            <w:r>
              <w:rPr>
                <w:sz w:val="18"/>
              </w:rPr>
              <w:t xml:space="preserve">₦800,000</w:t>
            </w:r>
          </w:p>
        </w:tc>
        <w:tc>
          <w:tcPr>
            <w:tcW w:w="4000" w:type="dxa"/>
            <w:tcMar>
              <w:top w:w="90" w:type="dxa"/>
              <w:left w:w="100" w:type="dxa"/>
              <w:bottom w:w="90" w:type="dxa"/>
              <w:right w:w="100" w:type="dxa"/>
            </w:tcMar>
          </w:tcPr>
          <w:p>
            <w:r>
              <w:rPr>
                <w:sz w:val="18"/>
              </w:rPr>
              <w:t xml:space="preserve">Break-even denominator</w:t>
            </w:r>
          </w:p>
        </w:tc>
      </w:tr>
    </w:tbl>
    <w:p/>
    <w:p>
      <w:pPr>
        <w:pStyle w:val="Callout"/>
        <w:jc w:val="left"/>
      </w:pPr>
      <w:r>
        <w:rPr/>
        <w:t xml:space="preserve">Message-cost reserve: ₦40 per outbound message. This is not presented as the Meta tariff. It is a planning allowance combining Twilio's published US.005 per-message fee, Meta's variable template fee, exchange rate, and a risk reserve. Reprice against the actual approved template category and invoice every month.</w:t>
      </w:r>
    </w:p>
    <w:p>
      <w:pPr>
        <w:pStyle w:val="Heading1"/>
        <w:jc w:val="left"/>
      </w:pPr>
      <w:r>
        <w:rPr/>
        <w:t xml:space="preserve">5. Recommended pricing</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900"/>
        <w:gridCol w:w="1700"/>
        <w:gridCol w:w="1700"/>
        <w:gridCol w:w="4000"/>
      </w:tblGrid>
      <w:tr>
        <w:tc>
          <w:tcPr>
            <w:tcW w:w="1900" w:type="dxa"/>
            <w:shd w:val="clear" w:fill="EAF0FF"/>
            <w:tcMar>
              <w:top w:w="90" w:type="dxa"/>
              <w:left w:w="100" w:type="dxa"/>
              <w:bottom w:w="90" w:type="dxa"/>
              <w:right w:w="100" w:type="dxa"/>
            </w:tcMar>
          </w:tcPr>
          <w:p>
            <w:r>
              <w:rPr>
                <w:b/>
                <w:sz w:val="18"/>
              </w:rPr>
              <w:t xml:space="preserve">Plan</w:t>
            </w:r>
          </w:p>
        </w:tc>
        <w:tc>
          <w:tcPr>
            <w:tcW w:w="1700" w:type="dxa"/>
            <w:shd w:val="clear" w:fill="EAF0FF"/>
            <w:tcMar>
              <w:top w:w="90" w:type="dxa"/>
              <w:left w:w="100" w:type="dxa"/>
              <w:bottom w:w="90" w:type="dxa"/>
              <w:right w:w="100" w:type="dxa"/>
            </w:tcMar>
          </w:tcPr>
          <w:p>
            <w:r>
              <w:rPr>
                <w:b/>
                <w:sz w:val="18"/>
              </w:rPr>
              <w:t xml:space="preserve">Monthly price</w:t>
            </w:r>
          </w:p>
        </w:tc>
        <w:tc>
          <w:tcPr>
            <w:tcW w:w="1700" w:type="dxa"/>
            <w:shd w:val="clear" w:fill="EAF0FF"/>
            <w:tcMar>
              <w:top w:w="90" w:type="dxa"/>
              <w:left w:w="100" w:type="dxa"/>
              <w:bottom w:w="90" w:type="dxa"/>
              <w:right w:w="100" w:type="dxa"/>
            </w:tcMar>
          </w:tcPr>
          <w:p>
            <w:r>
              <w:rPr>
                <w:b/>
                <w:sz w:val="18"/>
              </w:rPr>
              <w:t xml:space="preserve">Implementation</w:t>
            </w:r>
          </w:p>
        </w:tc>
        <w:tc>
          <w:tcPr>
            <w:tcW w:w="4000" w:type="dxa"/>
            <w:shd w:val="clear" w:fill="EAF0FF"/>
            <w:tcMar>
              <w:top w:w="90" w:type="dxa"/>
              <w:left w:w="100" w:type="dxa"/>
              <w:bottom w:w="90" w:type="dxa"/>
              <w:right w:w="100" w:type="dxa"/>
            </w:tcMar>
          </w:tcPr>
          <w:p>
            <w:r>
              <w:rPr>
                <w:b/>
                <w:sz w:val="18"/>
              </w:rPr>
              <w:t xml:space="preserve">Included scope</w:t>
            </w:r>
          </w:p>
        </w:tc>
      </w:tr>
      <w:tr>
        <w:tc>
          <w:tcPr>
            <w:tcW w:w="1900" w:type="dxa"/>
            <w:tcMar>
              <w:top w:w="90" w:type="dxa"/>
              <w:left w:w="100" w:type="dxa"/>
              <w:bottom w:w="90" w:type="dxa"/>
              <w:right w:w="100" w:type="dxa"/>
            </w:tcMar>
          </w:tcPr>
          <w:p>
            <w:r>
              <w:rPr>
                <w:sz w:val="18"/>
              </w:rPr>
              <w:t xml:space="preserve">Starter</w:t>
            </w:r>
          </w:p>
        </w:tc>
        <w:tc>
          <w:tcPr>
            <w:tcW w:w="1700" w:type="dxa"/>
            <w:tcMar>
              <w:top w:w="90" w:type="dxa"/>
              <w:left w:w="100" w:type="dxa"/>
              <w:bottom w:w="90" w:type="dxa"/>
              <w:right w:w="100" w:type="dxa"/>
            </w:tcMar>
          </w:tcPr>
          <w:p>
            <w:r>
              <w:rPr>
                <w:sz w:val="18"/>
              </w:rPr>
              <w:t xml:space="preserve">₦65,000</w:t>
            </w:r>
          </w:p>
        </w:tc>
        <w:tc>
          <w:tcPr>
            <w:tcW w:w="1700" w:type="dxa"/>
            <w:tcMar>
              <w:top w:w="90" w:type="dxa"/>
              <w:left w:w="100" w:type="dxa"/>
              <w:bottom w:w="90" w:type="dxa"/>
              <w:right w:w="100" w:type="dxa"/>
            </w:tcMar>
          </w:tcPr>
          <w:p>
            <w:r>
              <w:rPr>
                <w:sz w:val="18"/>
              </w:rPr>
              <w:t xml:space="preserve">₦150,000</w:t>
            </w:r>
          </w:p>
        </w:tc>
        <w:tc>
          <w:tcPr>
            <w:tcW w:w="4000" w:type="dxa"/>
            <w:tcMar>
              <w:top w:w="90" w:type="dxa"/>
              <w:left w:w="100" w:type="dxa"/>
              <w:bottom w:w="90" w:type="dxa"/>
              <w:right w:w="100" w:type="dxa"/>
            </w:tcMar>
          </w:tcPr>
          <w:p>
            <w:r>
              <w:rPr>
                <w:sz w:val="18"/>
              </w:rPr>
              <w:t xml:space="preserve">Up to 100 workers, 5 accounts, 250 WhatsApp messages</w:t>
            </w:r>
          </w:p>
        </w:tc>
      </w:tr>
      <w:tr>
        <w:tc>
          <w:tcPr>
            <w:tcW w:w="1900" w:type="dxa"/>
            <w:tcMar>
              <w:top w:w="90" w:type="dxa"/>
              <w:left w:w="100" w:type="dxa"/>
              <w:bottom w:w="90" w:type="dxa"/>
              <w:right w:w="100" w:type="dxa"/>
            </w:tcMar>
          </w:tcPr>
          <w:p>
            <w:r>
              <w:rPr>
                <w:sz w:val="18"/>
              </w:rPr>
              <w:t xml:space="preserve">Standard - recommended</w:t>
            </w:r>
          </w:p>
        </w:tc>
        <w:tc>
          <w:tcPr>
            <w:tcW w:w="1700" w:type="dxa"/>
            <w:tcMar>
              <w:top w:w="90" w:type="dxa"/>
              <w:left w:w="100" w:type="dxa"/>
              <w:bottom w:w="90" w:type="dxa"/>
              <w:right w:w="100" w:type="dxa"/>
            </w:tcMar>
          </w:tcPr>
          <w:p>
            <w:r>
              <w:rPr>
                <w:sz w:val="18"/>
              </w:rPr>
              <w:t xml:space="preserve">₦120,000</w:t>
            </w:r>
          </w:p>
        </w:tc>
        <w:tc>
          <w:tcPr>
            <w:tcW w:w="1700" w:type="dxa"/>
            <w:tcMar>
              <w:top w:w="90" w:type="dxa"/>
              <w:left w:w="100" w:type="dxa"/>
              <w:bottom w:w="90" w:type="dxa"/>
              <w:right w:w="100" w:type="dxa"/>
            </w:tcMar>
          </w:tcPr>
          <w:p>
            <w:r>
              <w:rPr>
                <w:sz w:val="18"/>
              </w:rPr>
              <w:t xml:space="preserve">₦200,000</w:t>
            </w:r>
          </w:p>
        </w:tc>
        <w:tc>
          <w:tcPr>
            <w:tcW w:w="4000" w:type="dxa"/>
            <w:tcMar>
              <w:top w:w="90" w:type="dxa"/>
              <w:left w:w="100" w:type="dxa"/>
              <w:bottom w:w="90" w:type="dxa"/>
              <w:right w:w="100" w:type="dxa"/>
            </w:tcMar>
          </w:tcPr>
          <w:p>
            <w:r>
              <w:rPr>
                <w:sz w:val="18"/>
              </w:rPr>
              <w:t xml:space="preserve">Up to 300 workers, 15 accounts, 1,000 WhatsApp messages</w:t>
            </w:r>
          </w:p>
        </w:tc>
      </w:tr>
      <w:tr>
        <w:tc>
          <w:tcPr>
            <w:tcW w:w="1900" w:type="dxa"/>
            <w:tcMar>
              <w:top w:w="90" w:type="dxa"/>
              <w:left w:w="100" w:type="dxa"/>
              <w:bottom w:w="90" w:type="dxa"/>
              <w:right w:w="100" w:type="dxa"/>
            </w:tcMar>
          </w:tcPr>
          <w:p>
            <w:r>
              <w:rPr>
                <w:sz w:val="18"/>
              </w:rPr>
              <w:t xml:space="preserve">Network</w:t>
            </w:r>
          </w:p>
        </w:tc>
        <w:tc>
          <w:tcPr>
            <w:tcW w:w="1700" w:type="dxa"/>
            <w:tcMar>
              <w:top w:w="90" w:type="dxa"/>
              <w:left w:w="100" w:type="dxa"/>
              <w:bottom w:w="90" w:type="dxa"/>
              <w:right w:w="100" w:type="dxa"/>
            </w:tcMar>
          </w:tcPr>
          <w:p>
            <w:r>
              <w:rPr>
                <w:sz w:val="18"/>
              </w:rPr>
              <w:t xml:space="preserve">₦260,000</w:t>
            </w:r>
          </w:p>
        </w:tc>
        <w:tc>
          <w:tcPr>
            <w:tcW w:w="1700" w:type="dxa"/>
            <w:tcMar>
              <w:top w:w="90" w:type="dxa"/>
              <w:left w:w="100" w:type="dxa"/>
              <w:bottom w:w="90" w:type="dxa"/>
              <w:right w:w="100" w:type="dxa"/>
            </w:tcMar>
          </w:tcPr>
          <w:p>
            <w:r>
              <w:rPr>
                <w:sz w:val="18"/>
              </w:rPr>
              <w:t xml:space="preserve">₦350,000</w:t>
            </w:r>
          </w:p>
        </w:tc>
        <w:tc>
          <w:tcPr>
            <w:tcW w:w="4000" w:type="dxa"/>
            <w:tcMar>
              <w:top w:w="90" w:type="dxa"/>
              <w:left w:w="100" w:type="dxa"/>
              <w:bottom w:w="90" w:type="dxa"/>
              <w:right w:w="100" w:type="dxa"/>
            </w:tcMar>
          </w:tcPr>
          <w:p>
            <w:r>
              <w:rPr>
                <w:sz w:val="18"/>
              </w:rPr>
              <w:t xml:space="preserve">Up to 750 workers, 40 accounts, 3,000 WhatsApp messages</w:t>
            </w:r>
          </w:p>
        </w:tc>
      </w:tr>
      <w:tr>
        <w:tc>
          <w:tcPr>
            <w:tcW w:w="1900" w:type="dxa"/>
            <w:tcMar>
              <w:top w:w="90" w:type="dxa"/>
              <w:left w:w="100" w:type="dxa"/>
              <w:bottom w:w="90" w:type="dxa"/>
              <w:right w:w="100" w:type="dxa"/>
            </w:tcMar>
          </w:tcPr>
          <w:p>
            <w:r>
              <w:rPr>
                <w:sz w:val="18"/>
              </w:rPr>
              <w:t xml:space="preserve">Message overage</w:t>
            </w:r>
          </w:p>
        </w:tc>
        <w:tc>
          <w:tcPr>
            <w:tcW w:w="1700" w:type="dxa"/>
            <w:tcMar>
              <w:top w:w="90" w:type="dxa"/>
              <w:left w:w="100" w:type="dxa"/>
              <w:bottom w:w="90" w:type="dxa"/>
              <w:right w:w="100" w:type="dxa"/>
            </w:tcMar>
          </w:tcPr>
          <w:p>
            <w:r>
              <w:rPr>
                <w:sz w:val="18"/>
              </w:rPr>
              <w:t xml:space="preserve">₦60/message</w:t>
            </w:r>
          </w:p>
        </w:tc>
        <w:tc>
          <w:tcPr>
            <w:tcW w:w="1700" w:type="dxa"/>
            <w:tcMar>
              <w:top w:w="90" w:type="dxa"/>
              <w:left w:w="100" w:type="dxa"/>
              <w:bottom w:w="90" w:type="dxa"/>
              <w:right w:w="100" w:type="dxa"/>
            </w:tcMar>
          </w:tcPr>
          <w:p>
            <w:r>
              <w:rPr>
                <w:sz w:val="18"/>
              </w:rPr>
              <w:t xml:space="preserve">Not applicable</w:t>
            </w:r>
          </w:p>
        </w:tc>
        <w:tc>
          <w:tcPr>
            <w:tcW w:w="4000" w:type="dxa"/>
            <w:tcMar>
              <w:top w:w="90" w:type="dxa"/>
              <w:left w:w="100" w:type="dxa"/>
              <w:bottom w:w="90" w:type="dxa"/>
              <w:right w:w="100" w:type="dxa"/>
            </w:tcMar>
          </w:tcPr>
          <w:p>
            <w:r>
              <w:rPr>
                <w:sz w:val="18"/>
              </w:rPr>
              <w:t xml:space="preserve">Billed above the plan allowance; subject to repricing</w:t>
            </w:r>
          </w:p>
        </w:tc>
      </w:tr>
    </w:tbl>
    <w:p/>
    <w:p>
      <w:pPr>
        <w:pStyle w:val="BodyText"/>
        <w:jc w:val="left"/>
      </w:pPr>
      <w:r>
        <w:rPr/>
        <w:t xml:space="preserve">• Annual Standard: ₦1,200,000 prepaid for 12 months (two months effectively free).</w:t>
      </w:r>
    </w:p>
    <w:p>
      <w:pPr>
        <w:pStyle w:val="BodyText"/>
        <w:jc w:val="left"/>
      </w:pPr>
      <w:r>
        <w:rPr/>
        <w:t xml:space="preserve">• Never absorb messaging overages silently. Alert customers at 70%, 90%, and 100% of allowance.</w:t>
      </w:r>
    </w:p>
    <w:p>
      <w:pPr>
        <w:pStyle w:val="BodyText"/>
        <w:jc w:val="left"/>
      </w:pPr>
      <w:r>
        <w:rPr/>
        <w:t xml:space="preserve">• Require a signed WhatsApp consent and acceptable-use schedule before activation.</w:t>
      </w:r>
    </w:p>
    <w:p>
      <w:pPr>
        <w:pStyle w:val="Heading1"/>
        <w:jc w:val="left"/>
      </w:pPr>
      <w:r>
        <w:rPr/>
        <w:t xml:space="preserve">6. Unit economics and break-even</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4700"/>
        <w:gridCol w:w="4600"/>
      </w:tblGrid>
      <w:tr>
        <w:tc>
          <w:tcPr>
            <w:tcW w:w="4700" w:type="dxa"/>
            <w:shd w:val="clear" w:fill="EAF0FF"/>
            <w:tcMar>
              <w:top w:w="90" w:type="dxa"/>
              <w:left w:w="100" w:type="dxa"/>
              <w:bottom w:w="90" w:type="dxa"/>
              <w:right w:w="100" w:type="dxa"/>
            </w:tcMar>
          </w:tcPr>
          <w:p>
            <w:r>
              <w:rPr>
                <w:b/>
                <w:sz w:val="18"/>
              </w:rPr>
              <w:t xml:space="preserve">Standard plan unit economics</w:t>
            </w:r>
          </w:p>
        </w:tc>
        <w:tc>
          <w:tcPr>
            <w:tcW w:w="4600" w:type="dxa"/>
            <w:shd w:val="clear" w:fill="EAF0FF"/>
            <w:tcMar>
              <w:top w:w="90" w:type="dxa"/>
              <w:left w:w="100" w:type="dxa"/>
              <w:bottom w:w="90" w:type="dxa"/>
              <w:right w:w="100" w:type="dxa"/>
            </w:tcMar>
          </w:tcPr>
          <w:p>
            <w:r>
              <w:rPr>
                <w:b/>
                <w:sz w:val="18"/>
              </w:rPr>
              <w:t xml:space="preserve">Amount per month</w:t>
            </w:r>
          </w:p>
        </w:tc>
      </w:tr>
      <w:tr>
        <w:tc>
          <w:tcPr>
            <w:tcW w:w="4700" w:type="dxa"/>
            <w:tcMar>
              <w:top w:w="90" w:type="dxa"/>
              <w:left w:w="100" w:type="dxa"/>
              <w:bottom w:w="90" w:type="dxa"/>
              <w:right w:w="100" w:type="dxa"/>
            </w:tcMar>
          </w:tcPr>
          <w:p>
            <w:r>
              <w:rPr>
                <w:sz w:val="18"/>
              </w:rPr>
              <w:t xml:space="preserve">Subscription revenue</w:t>
            </w:r>
          </w:p>
        </w:tc>
        <w:tc>
          <w:tcPr>
            <w:tcW w:w="4600" w:type="dxa"/>
            <w:tcMar>
              <w:top w:w="90" w:type="dxa"/>
              <w:left w:w="100" w:type="dxa"/>
              <w:bottom w:w="90" w:type="dxa"/>
              <w:right w:w="100" w:type="dxa"/>
            </w:tcMar>
          </w:tcPr>
          <w:p>
            <w:r>
              <w:rPr>
                <w:sz w:val="18"/>
              </w:rPr>
              <w:t xml:space="preserve">₦120,000</w:t>
            </w:r>
          </w:p>
        </w:tc>
      </w:tr>
      <w:tr>
        <w:tc>
          <w:tcPr>
            <w:tcW w:w="4700" w:type="dxa"/>
            <w:tcMar>
              <w:top w:w="90" w:type="dxa"/>
              <w:left w:w="100" w:type="dxa"/>
              <w:bottom w:w="90" w:type="dxa"/>
              <w:right w:w="100" w:type="dxa"/>
            </w:tcMar>
          </w:tcPr>
          <w:p>
            <w:r>
              <w:rPr>
                <w:sz w:val="18"/>
              </w:rPr>
              <w:t xml:space="preserve">Dedicated project and web allocation</w:t>
            </w:r>
          </w:p>
        </w:tc>
        <w:tc>
          <w:tcPr>
            <w:tcW w:w="4600" w:type="dxa"/>
            <w:tcMar>
              <w:top w:w="90" w:type="dxa"/>
              <w:left w:w="100" w:type="dxa"/>
              <w:bottom w:w="90" w:type="dxa"/>
              <w:right w:w="100" w:type="dxa"/>
            </w:tcMar>
          </w:tcPr>
          <w:p>
            <w:r>
              <w:rPr>
                <w:sz w:val="18"/>
              </w:rPr>
              <w:t xml:space="preserve">₦23,200</w:t>
            </w:r>
          </w:p>
        </w:tc>
      </w:tr>
      <w:tr>
        <w:tc>
          <w:tcPr>
            <w:tcW w:w="4700" w:type="dxa"/>
            <w:tcMar>
              <w:top w:w="90" w:type="dxa"/>
              <w:left w:w="100" w:type="dxa"/>
              <w:bottom w:w="90" w:type="dxa"/>
              <w:right w:w="100" w:type="dxa"/>
            </w:tcMar>
          </w:tcPr>
          <w:p>
            <w:r>
              <w:rPr>
                <w:sz w:val="18"/>
              </w:rPr>
              <w:t xml:space="preserve">Monitoring/support provision</w:t>
            </w:r>
          </w:p>
        </w:tc>
        <w:tc>
          <w:tcPr>
            <w:tcW w:w="4600" w:type="dxa"/>
            <w:tcMar>
              <w:top w:w="90" w:type="dxa"/>
              <w:left w:w="100" w:type="dxa"/>
              <w:bottom w:w="90" w:type="dxa"/>
              <w:right w:w="100" w:type="dxa"/>
            </w:tcMar>
          </w:tcPr>
          <w:p>
            <w:r>
              <w:rPr>
                <w:sz w:val="18"/>
              </w:rPr>
              <w:t xml:space="preserve">₦4,800</w:t>
            </w:r>
          </w:p>
        </w:tc>
      </w:tr>
      <w:tr>
        <w:tc>
          <w:tcPr>
            <w:tcW w:w="4700" w:type="dxa"/>
            <w:tcMar>
              <w:top w:w="90" w:type="dxa"/>
              <w:left w:w="100" w:type="dxa"/>
              <w:bottom w:w="90" w:type="dxa"/>
              <w:right w:w="100" w:type="dxa"/>
            </w:tcMar>
          </w:tcPr>
          <w:p>
            <w:r>
              <w:rPr>
                <w:sz w:val="18"/>
              </w:rPr>
              <w:t xml:space="preserve">1,000-message reserve</w:t>
            </w:r>
          </w:p>
        </w:tc>
        <w:tc>
          <w:tcPr>
            <w:tcW w:w="4600" w:type="dxa"/>
            <w:tcMar>
              <w:top w:w="90" w:type="dxa"/>
              <w:left w:w="100" w:type="dxa"/>
              <w:bottom w:w="90" w:type="dxa"/>
              <w:right w:w="100" w:type="dxa"/>
            </w:tcMar>
          </w:tcPr>
          <w:p>
            <w:r>
              <w:rPr>
                <w:sz w:val="18"/>
              </w:rPr>
              <w:t xml:space="preserve">₦40,000</w:t>
            </w:r>
          </w:p>
        </w:tc>
      </w:tr>
      <w:tr>
        <w:tc>
          <w:tcPr>
            <w:tcW w:w="4700" w:type="dxa"/>
            <w:tcMar>
              <w:top w:w="90" w:type="dxa"/>
              <w:left w:w="100" w:type="dxa"/>
              <w:bottom w:w="90" w:type="dxa"/>
              <w:right w:w="100" w:type="dxa"/>
            </w:tcMar>
          </w:tcPr>
          <w:p>
            <w:r>
              <w:rPr>
                <w:sz w:val="18"/>
              </w:rPr>
              <w:t xml:space="preserve">Payment fee allowance (2.5%)</w:t>
            </w:r>
          </w:p>
        </w:tc>
        <w:tc>
          <w:tcPr>
            <w:tcW w:w="4600" w:type="dxa"/>
            <w:tcMar>
              <w:top w:w="90" w:type="dxa"/>
              <w:left w:w="100" w:type="dxa"/>
              <w:bottom w:w="90" w:type="dxa"/>
              <w:right w:w="100" w:type="dxa"/>
            </w:tcMar>
          </w:tcPr>
          <w:p>
            <w:r>
              <w:rPr>
                <w:sz w:val="18"/>
              </w:rPr>
              <w:t xml:space="preserve">₦3,000</w:t>
            </w:r>
          </w:p>
        </w:tc>
      </w:tr>
      <w:tr>
        <w:tc>
          <w:tcPr>
            <w:tcW w:w="4700" w:type="dxa"/>
            <w:tcMar>
              <w:top w:w="90" w:type="dxa"/>
              <w:left w:w="100" w:type="dxa"/>
              <w:bottom w:w="90" w:type="dxa"/>
              <w:right w:w="100" w:type="dxa"/>
            </w:tcMar>
          </w:tcPr>
          <w:p>
            <w:r>
              <w:rPr>
                <w:sz w:val="18"/>
              </w:rPr>
              <w:t xml:space="preserve">Total variable cost</w:t>
            </w:r>
          </w:p>
        </w:tc>
        <w:tc>
          <w:tcPr>
            <w:tcW w:w="4600" w:type="dxa"/>
            <w:tcMar>
              <w:top w:w="90" w:type="dxa"/>
              <w:left w:w="100" w:type="dxa"/>
              <w:bottom w:w="90" w:type="dxa"/>
              <w:right w:w="100" w:type="dxa"/>
            </w:tcMar>
          </w:tcPr>
          <w:p>
            <w:r>
              <w:rPr>
                <w:sz w:val="18"/>
              </w:rPr>
              <w:t xml:space="preserve">₦71,000</w:t>
            </w:r>
          </w:p>
        </w:tc>
      </w:tr>
      <w:tr>
        <w:tc>
          <w:tcPr>
            <w:tcW w:w="4700" w:type="dxa"/>
            <w:tcMar>
              <w:top w:w="90" w:type="dxa"/>
              <w:left w:w="100" w:type="dxa"/>
              <w:bottom w:w="90" w:type="dxa"/>
              <w:right w:w="100" w:type="dxa"/>
            </w:tcMar>
          </w:tcPr>
          <w:p>
            <w:r>
              <w:rPr>
                <w:sz w:val="18"/>
              </w:rPr>
              <w:t xml:space="preserve">Contribution per church</w:t>
            </w:r>
          </w:p>
        </w:tc>
        <w:tc>
          <w:tcPr>
            <w:tcW w:w="4600" w:type="dxa"/>
            <w:tcMar>
              <w:top w:w="90" w:type="dxa"/>
              <w:left w:w="100" w:type="dxa"/>
              <w:bottom w:w="90" w:type="dxa"/>
              <w:right w:w="100" w:type="dxa"/>
            </w:tcMar>
          </w:tcPr>
          <w:p>
            <w:r>
              <w:rPr>
                <w:sz w:val="18"/>
              </w:rPr>
              <w:t xml:space="preserve">₦49,000 (rounded to ₦50,000 for planning)</w:t>
            </w:r>
          </w:p>
        </w:tc>
      </w:tr>
      <w:tr>
        <w:tc>
          <w:tcPr>
            <w:tcW w:w="4700" w:type="dxa"/>
            <w:tcMar>
              <w:top w:w="90" w:type="dxa"/>
              <w:left w:w="100" w:type="dxa"/>
              <w:bottom w:w="90" w:type="dxa"/>
              <w:right w:w="100" w:type="dxa"/>
            </w:tcMar>
          </w:tcPr>
          <w:p>
            <w:r>
              <w:rPr>
                <w:sz w:val="18"/>
              </w:rPr>
              <w:t xml:space="preserve">Contribution margin</w:t>
            </w:r>
          </w:p>
        </w:tc>
        <w:tc>
          <w:tcPr>
            <w:tcW w:w="4600" w:type="dxa"/>
            <w:tcMar>
              <w:top w:w="90" w:type="dxa"/>
              <w:left w:w="100" w:type="dxa"/>
              <w:bottom w:w="90" w:type="dxa"/>
              <w:right w:w="100" w:type="dxa"/>
            </w:tcMar>
          </w:tcPr>
          <w:p>
            <w:r>
              <w:rPr>
                <w:sz w:val="18"/>
              </w:rPr>
              <w:t xml:space="preserve">Approximately 41%</w:t>
            </w:r>
          </w:p>
        </w:tc>
      </w:tr>
    </w:tbl>
    <w:p/>
    <w:p>
      <w:pPr>
        <w:pStyle w:val="Callout"/>
        <w:jc w:val="left"/>
      </w:pPr>
      <w:r>
        <w:rPr/>
        <w:t xml:space="preserve">Break-even formula: fixed monthly overhead ÷ contribution per church = ₦800,000 ÷ ₦50,000 = 16 Standard churches.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500"/>
        <w:gridCol w:w="1900"/>
        <w:gridCol w:w="1900"/>
        <w:gridCol w:w="1900"/>
        <w:gridCol w:w="2100"/>
      </w:tblGrid>
      <w:tr>
        <w:tc>
          <w:tcPr>
            <w:tcW w:w="1500" w:type="dxa"/>
            <w:shd w:val="clear" w:fill="EAF0FF"/>
            <w:tcMar>
              <w:top w:w="90" w:type="dxa"/>
              <w:left w:w="100" w:type="dxa"/>
              <w:bottom w:w="90" w:type="dxa"/>
              <w:right w:w="100" w:type="dxa"/>
            </w:tcMar>
          </w:tcPr>
          <w:p>
            <w:r>
              <w:rPr>
                <w:b/>
                <w:sz w:val="18"/>
              </w:rPr>
              <w:t xml:space="preserve">Standard churches</w:t>
            </w:r>
          </w:p>
        </w:tc>
        <w:tc>
          <w:tcPr>
            <w:tcW w:w="1900" w:type="dxa"/>
            <w:shd w:val="clear" w:fill="EAF0FF"/>
            <w:tcMar>
              <w:top w:w="90" w:type="dxa"/>
              <w:left w:w="100" w:type="dxa"/>
              <w:bottom w:w="90" w:type="dxa"/>
              <w:right w:w="100" w:type="dxa"/>
            </w:tcMar>
          </w:tcPr>
          <w:p>
            <w:r>
              <w:rPr>
                <w:b/>
                <w:sz w:val="18"/>
              </w:rPr>
              <w:t xml:space="preserve">Monthly revenue</w:t>
            </w:r>
          </w:p>
        </w:tc>
        <w:tc>
          <w:tcPr>
            <w:tcW w:w="1900" w:type="dxa"/>
            <w:shd w:val="clear" w:fill="EAF0FF"/>
            <w:tcMar>
              <w:top w:w="90" w:type="dxa"/>
              <w:left w:w="100" w:type="dxa"/>
              <w:bottom w:w="90" w:type="dxa"/>
              <w:right w:w="100" w:type="dxa"/>
            </w:tcMar>
          </w:tcPr>
          <w:p>
            <w:r>
              <w:rPr>
                <w:b/>
                <w:sz w:val="18"/>
              </w:rPr>
              <w:t xml:space="preserve">Variable cost</w:t>
            </w:r>
          </w:p>
        </w:tc>
        <w:tc>
          <w:tcPr>
            <w:tcW w:w="1900" w:type="dxa"/>
            <w:shd w:val="clear" w:fill="EAF0FF"/>
            <w:tcMar>
              <w:top w:w="90" w:type="dxa"/>
              <w:left w:w="100" w:type="dxa"/>
              <w:bottom w:w="90" w:type="dxa"/>
              <w:right w:w="100" w:type="dxa"/>
            </w:tcMar>
          </w:tcPr>
          <w:p>
            <w:r>
              <w:rPr>
                <w:b/>
                <w:sz w:val="18"/>
              </w:rPr>
              <w:t xml:space="preserve">Fixed overhead</w:t>
            </w:r>
          </w:p>
        </w:tc>
        <w:tc>
          <w:tcPr>
            <w:tcW w:w="2100" w:type="dxa"/>
            <w:shd w:val="clear" w:fill="EAF0FF"/>
            <w:tcMar>
              <w:top w:w="90" w:type="dxa"/>
              <w:left w:w="100" w:type="dxa"/>
              <w:bottom w:w="90" w:type="dxa"/>
              <w:right w:w="100" w:type="dxa"/>
            </w:tcMar>
          </w:tcPr>
          <w:p>
            <w:r>
              <w:rPr>
                <w:b/>
                <w:sz w:val="18"/>
              </w:rPr>
              <w:t xml:space="preserve">Operating result</w:t>
            </w:r>
          </w:p>
        </w:tc>
      </w:tr>
      <w:tr>
        <w:tc>
          <w:tcPr>
            <w:tcW w:w="1500" w:type="dxa"/>
            <w:tcMar>
              <w:top w:w="90" w:type="dxa"/>
              <w:left w:w="100" w:type="dxa"/>
              <w:bottom w:w="90" w:type="dxa"/>
              <w:right w:w="100" w:type="dxa"/>
            </w:tcMar>
          </w:tcPr>
          <w:p>
            <w:r>
              <w:rPr>
                <w:sz w:val="18"/>
              </w:rPr>
              <w:t xml:space="preserve">10</w:t>
            </w:r>
          </w:p>
        </w:tc>
        <w:tc>
          <w:tcPr>
            <w:tcW w:w="1900" w:type="dxa"/>
            <w:tcMar>
              <w:top w:w="90" w:type="dxa"/>
              <w:left w:w="100" w:type="dxa"/>
              <w:bottom w:w="90" w:type="dxa"/>
              <w:right w:w="100" w:type="dxa"/>
            </w:tcMar>
          </w:tcPr>
          <w:p>
            <w:r>
              <w:rPr>
                <w:sz w:val="18"/>
              </w:rPr>
              <w:t xml:space="preserve">₦1,200,000</w:t>
            </w:r>
          </w:p>
        </w:tc>
        <w:tc>
          <w:tcPr>
            <w:tcW w:w="1900" w:type="dxa"/>
            <w:tcMar>
              <w:top w:w="90" w:type="dxa"/>
              <w:left w:w="100" w:type="dxa"/>
              <w:bottom w:w="90" w:type="dxa"/>
              <w:right w:w="100" w:type="dxa"/>
            </w:tcMar>
          </w:tcPr>
          <w:p>
            <w:r>
              <w:rPr>
                <w:sz w:val="18"/>
              </w:rPr>
              <w:t xml:space="preserve">₦700,000</w:t>
            </w:r>
          </w:p>
        </w:tc>
        <w:tc>
          <w:tcPr>
            <w:tcW w:w="1900" w:type="dxa"/>
            <w:tcMar>
              <w:top w:w="90" w:type="dxa"/>
              <w:left w:w="100" w:type="dxa"/>
              <w:bottom w:w="90" w:type="dxa"/>
              <w:right w:w="100" w:type="dxa"/>
            </w:tcMar>
          </w:tcPr>
          <w:p>
            <w:r>
              <w:rPr>
                <w:sz w:val="18"/>
              </w:rPr>
              <w:t xml:space="preserve">₦800,000</w:t>
            </w:r>
          </w:p>
        </w:tc>
        <w:tc>
          <w:tcPr>
            <w:tcW w:w="2100" w:type="dxa"/>
            <w:tcMar>
              <w:top w:w="90" w:type="dxa"/>
              <w:left w:w="100" w:type="dxa"/>
              <w:bottom w:w="90" w:type="dxa"/>
              <w:right w:w="100" w:type="dxa"/>
            </w:tcMar>
          </w:tcPr>
          <w:p>
            <w:r>
              <w:rPr>
                <w:sz w:val="18"/>
              </w:rPr>
              <w:t xml:space="preserve">(₦300,000) loss</w:t>
            </w:r>
          </w:p>
        </w:tc>
      </w:tr>
      <w:tr>
        <w:tc>
          <w:tcPr>
            <w:tcW w:w="1500" w:type="dxa"/>
            <w:tcMar>
              <w:top w:w="90" w:type="dxa"/>
              <w:left w:w="100" w:type="dxa"/>
              <w:bottom w:w="90" w:type="dxa"/>
              <w:right w:w="100" w:type="dxa"/>
            </w:tcMar>
          </w:tcPr>
          <w:p>
            <w:r>
              <w:rPr>
                <w:sz w:val="18"/>
              </w:rPr>
              <w:t xml:space="preserve">16</w:t>
            </w:r>
          </w:p>
        </w:tc>
        <w:tc>
          <w:tcPr>
            <w:tcW w:w="1900" w:type="dxa"/>
            <w:tcMar>
              <w:top w:w="90" w:type="dxa"/>
              <w:left w:w="100" w:type="dxa"/>
              <w:bottom w:w="90" w:type="dxa"/>
              <w:right w:w="100" w:type="dxa"/>
            </w:tcMar>
          </w:tcPr>
          <w:p>
            <w:r>
              <w:rPr>
                <w:sz w:val="18"/>
              </w:rPr>
              <w:t xml:space="preserve">₦1,920,000</w:t>
            </w:r>
          </w:p>
        </w:tc>
        <w:tc>
          <w:tcPr>
            <w:tcW w:w="1900" w:type="dxa"/>
            <w:tcMar>
              <w:top w:w="90" w:type="dxa"/>
              <w:left w:w="100" w:type="dxa"/>
              <w:bottom w:w="90" w:type="dxa"/>
              <w:right w:w="100" w:type="dxa"/>
            </w:tcMar>
          </w:tcPr>
          <w:p>
            <w:r>
              <w:rPr>
                <w:sz w:val="18"/>
              </w:rPr>
              <w:t xml:space="preserve">₦1,120,000</w:t>
            </w:r>
          </w:p>
        </w:tc>
        <w:tc>
          <w:tcPr>
            <w:tcW w:w="1900" w:type="dxa"/>
            <w:tcMar>
              <w:top w:w="90" w:type="dxa"/>
              <w:left w:w="100" w:type="dxa"/>
              <w:bottom w:w="90" w:type="dxa"/>
              <w:right w:w="100" w:type="dxa"/>
            </w:tcMar>
          </w:tcPr>
          <w:p>
            <w:r>
              <w:rPr>
                <w:sz w:val="18"/>
              </w:rPr>
              <w:t xml:space="preserve">₦800,000</w:t>
            </w:r>
          </w:p>
        </w:tc>
        <w:tc>
          <w:tcPr>
            <w:tcW w:w="2100" w:type="dxa"/>
            <w:tcMar>
              <w:top w:w="90" w:type="dxa"/>
              <w:left w:w="100" w:type="dxa"/>
              <w:bottom w:w="90" w:type="dxa"/>
              <w:right w:w="100" w:type="dxa"/>
            </w:tcMar>
          </w:tcPr>
          <w:p>
            <w:r>
              <w:rPr>
                <w:sz w:val="18"/>
              </w:rPr>
              <w:t xml:space="preserve">Approximately break-even</w:t>
            </w:r>
          </w:p>
        </w:tc>
      </w:tr>
      <w:tr>
        <w:tc>
          <w:tcPr>
            <w:tcW w:w="1500" w:type="dxa"/>
            <w:tcMar>
              <w:top w:w="90" w:type="dxa"/>
              <w:left w:w="100" w:type="dxa"/>
              <w:bottom w:w="90" w:type="dxa"/>
              <w:right w:w="100" w:type="dxa"/>
            </w:tcMar>
          </w:tcPr>
          <w:p>
            <w:r>
              <w:rPr>
                <w:sz w:val="18"/>
              </w:rPr>
              <w:t xml:space="preserve">20</w:t>
            </w:r>
          </w:p>
        </w:tc>
        <w:tc>
          <w:tcPr>
            <w:tcW w:w="1900" w:type="dxa"/>
            <w:tcMar>
              <w:top w:w="90" w:type="dxa"/>
              <w:left w:w="100" w:type="dxa"/>
              <w:bottom w:w="90" w:type="dxa"/>
              <w:right w:w="100" w:type="dxa"/>
            </w:tcMar>
          </w:tcPr>
          <w:p>
            <w:r>
              <w:rPr>
                <w:sz w:val="18"/>
              </w:rPr>
              <w:t xml:space="preserve">₦2,400,000</w:t>
            </w:r>
          </w:p>
        </w:tc>
        <w:tc>
          <w:tcPr>
            <w:tcW w:w="1900" w:type="dxa"/>
            <w:tcMar>
              <w:top w:w="90" w:type="dxa"/>
              <w:left w:w="100" w:type="dxa"/>
              <w:bottom w:w="90" w:type="dxa"/>
              <w:right w:w="100" w:type="dxa"/>
            </w:tcMar>
          </w:tcPr>
          <w:p>
            <w:r>
              <w:rPr>
                <w:sz w:val="18"/>
              </w:rPr>
              <w:t xml:space="preserve">₦1,400,000</w:t>
            </w:r>
          </w:p>
        </w:tc>
        <w:tc>
          <w:tcPr>
            <w:tcW w:w="1900" w:type="dxa"/>
            <w:tcMar>
              <w:top w:w="90" w:type="dxa"/>
              <w:left w:w="100" w:type="dxa"/>
              <w:bottom w:w="90" w:type="dxa"/>
              <w:right w:w="100" w:type="dxa"/>
            </w:tcMar>
          </w:tcPr>
          <w:p>
            <w:r>
              <w:rPr>
                <w:sz w:val="18"/>
              </w:rPr>
              <w:t xml:space="preserve">₦800,000</w:t>
            </w:r>
          </w:p>
        </w:tc>
        <w:tc>
          <w:tcPr>
            <w:tcW w:w="2100" w:type="dxa"/>
            <w:tcMar>
              <w:top w:w="90" w:type="dxa"/>
              <w:left w:w="100" w:type="dxa"/>
              <w:bottom w:w="90" w:type="dxa"/>
              <w:right w:w="100" w:type="dxa"/>
            </w:tcMar>
          </w:tcPr>
          <w:p>
            <w:r>
              <w:rPr>
                <w:sz w:val="18"/>
              </w:rPr>
              <w:t xml:space="preserve">₦200,000 profit</w:t>
            </w:r>
          </w:p>
        </w:tc>
      </w:tr>
      <w:tr>
        <w:tc>
          <w:tcPr>
            <w:tcW w:w="1500" w:type="dxa"/>
            <w:tcMar>
              <w:top w:w="90" w:type="dxa"/>
              <w:left w:w="100" w:type="dxa"/>
              <w:bottom w:w="90" w:type="dxa"/>
              <w:right w:w="100" w:type="dxa"/>
            </w:tcMar>
          </w:tcPr>
          <w:p>
            <w:r>
              <w:rPr>
                <w:sz w:val="18"/>
              </w:rPr>
              <w:t xml:space="preserve">30</w:t>
            </w:r>
          </w:p>
        </w:tc>
        <w:tc>
          <w:tcPr>
            <w:tcW w:w="1900" w:type="dxa"/>
            <w:tcMar>
              <w:top w:w="90" w:type="dxa"/>
              <w:left w:w="100" w:type="dxa"/>
              <w:bottom w:w="90" w:type="dxa"/>
              <w:right w:w="100" w:type="dxa"/>
            </w:tcMar>
          </w:tcPr>
          <w:p>
            <w:r>
              <w:rPr>
                <w:sz w:val="18"/>
              </w:rPr>
              <w:t xml:space="preserve">₦3,600,000</w:t>
            </w:r>
          </w:p>
        </w:tc>
        <w:tc>
          <w:tcPr>
            <w:tcW w:w="1900" w:type="dxa"/>
            <w:tcMar>
              <w:top w:w="90" w:type="dxa"/>
              <w:left w:w="100" w:type="dxa"/>
              <w:bottom w:w="90" w:type="dxa"/>
              <w:right w:w="100" w:type="dxa"/>
            </w:tcMar>
          </w:tcPr>
          <w:p>
            <w:r>
              <w:rPr>
                <w:sz w:val="18"/>
              </w:rPr>
              <w:t xml:space="preserve">₦2,100,000</w:t>
            </w:r>
          </w:p>
        </w:tc>
        <w:tc>
          <w:tcPr>
            <w:tcW w:w="1900" w:type="dxa"/>
            <w:tcMar>
              <w:top w:w="90" w:type="dxa"/>
              <w:left w:w="100" w:type="dxa"/>
              <w:bottom w:w="90" w:type="dxa"/>
              <w:right w:w="100" w:type="dxa"/>
            </w:tcMar>
          </w:tcPr>
          <w:p>
            <w:r>
              <w:rPr>
                <w:sz w:val="18"/>
              </w:rPr>
              <w:t xml:space="preserve">₦800,000</w:t>
            </w:r>
          </w:p>
        </w:tc>
        <w:tc>
          <w:tcPr>
            <w:tcW w:w="2100" w:type="dxa"/>
            <w:tcMar>
              <w:top w:w="90" w:type="dxa"/>
              <w:left w:w="100" w:type="dxa"/>
              <w:bottom w:w="90" w:type="dxa"/>
              <w:right w:w="100" w:type="dxa"/>
            </w:tcMar>
          </w:tcPr>
          <w:p>
            <w:r>
              <w:rPr>
                <w:sz w:val="18"/>
              </w:rPr>
              <w:t xml:space="preserve">₦700,000 profit</w:t>
            </w:r>
          </w:p>
        </w:tc>
      </w:tr>
      <w:tr>
        <w:tc>
          <w:tcPr>
            <w:tcW w:w="1500" w:type="dxa"/>
            <w:tcMar>
              <w:top w:w="90" w:type="dxa"/>
              <w:left w:w="100" w:type="dxa"/>
              <w:bottom w:w="90" w:type="dxa"/>
              <w:right w:w="100" w:type="dxa"/>
            </w:tcMar>
          </w:tcPr>
          <w:p>
            <w:r>
              <w:rPr>
                <w:sz w:val="18"/>
              </w:rPr>
              <w:t xml:space="preserve">50</w:t>
            </w:r>
          </w:p>
        </w:tc>
        <w:tc>
          <w:tcPr>
            <w:tcW w:w="1900" w:type="dxa"/>
            <w:tcMar>
              <w:top w:w="90" w:type="dxa"/>
              <w:left w:w="100" w:type="dxa"/>
              <w:bottom w:w="90" w:type="dxa"/>
              <w:right w:w="100" w:type="dxa"/>
            </w:tcMar>
          </w:tcPr>
          <w:p>
            <w:r>
              <w:rPr>
                <w:sz w:val="18"/>
              </w:rPr>
              <w:t xml:space="preserve">₦6,000,000</w:t>
            </w:r>
          </w:p>
        </w:tc>
        <w:tc>
          <w:tcPr>
            <w:tcW w:w="1900" w:type="dxa"/>
            <w:tcMar>
              <w:top w:w="90" w:type="dxa"/>
              <w:left w:w="100" w:type="dxa"/>
              <w:bottom w:w="90" w:type="dxa"/>
              <w:right w:w="100" w:type="dxa"/>
            </w:tcMar>
          </w:tcPr>
          <w:p>
            <w:r>
              <w:rPr>
                <w:sz w:val="18"/>
              </w:rPr>
              <w:t xml:space="preserve">₦3,500,000</w:t>
            </w:r>
          </w:p>
        </w:tc>
        <w:tc>
          <w:tcPr>
            <w:tcW w:w="1900" w:type="dxa"/>
            <w:tcMar>
              <w:top w:w="90" w:type="dxa"/>
              <w:left w:w="100" w:type="dxa"/>
              <w:bottom w:w="90" w:type="dxa"/>
              <w:right w:w="100" w:type="dxa"/>
            </w:tcMar>
          </w:tcPr>
          <w:p>
            <w:r>
              <w:rPr>
                <w:sz w:val="18"/>
              </w:rPr>
              <w:t xml:space="preserve">₦800,000</w:t>
            </w:r>
          </w:p>
        </w:tc>
        <w:tc>
          <w:tcPr>
            <w:tcW w:w="2100" w:type="dxa"/>
            <w:tcMar>
              <w:top w:w="90" w:type="dxa"/>
              <w:left w:w="100" w:type="dxa"/>
              <w:bottom w:w="90" w:type="dxa"/>
              <w:right w:w="100" w:type="dxa"/>
            </w:tcMar>
          </w:tcPr>
          <w:p>
            <w:r>
              <w:rPr>
                <w:sz w:val="18"/>
              </w:rPr>
              <w:t xml:space="preserve">₦1,700,000 profit</w:t>
            </w:r>
          </w:p>
        </w:tc>
      </w:tr>
    </w:tbl>
    <w:p/>
    <w:p>
      <w:pPr>
        <w:pStyle w:val="BodyText"/>
        <w:jc w:val="left"/>
      </w:pPr>
      <w:r>
        <w:rPr/>
        <w:t xml:space="preserve">Commercialization payback: ignoring setup-fee contribution, ₦4,000,000 is recovered in about 5.7 months at 30 Standard churches (₦700,000 monthly surplus). Setup fees can shorten payback, but only the portion remaining after onboarding labour and acquisition cost should be counted.</w:t>
      </w:r>
    </w:p>
    <w:p>
      <w:pPr>
        <w:pStyle w:val="Heading1"/>
        <w:jc w:val="left"/>
      </w:pPr>
      <w:r>
        <w:rPr/>
        <w:t xml:space="preserve">7. Commercialization plan</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900"/>
        <w:gridCol w:w="1800"/>
        <w:gridCol w:w="3000"/>
        <w:gridCol w:w="2600"/>
      </w:tblGrid>
      <w:tr>
        <w:tc>
          <w:tcPr>
            <w:tcW w:w="1900" w:type="dxa"/>
            <w:shd w:val="clear" w:fill="EAF0FF"/>
            <w:tcMar>
              <w:top w:w="90" w:type="dxa"/>
              <w:left w:w="100" w:type="dxa"/>
              <w:bottom w:w="90" w:type="dxa"/>
              <w:right w:w="100" w:type="dxa"/>
            </w:tcMar>
          </w:tcPr>
          <w:p>
            <w:r>
              <w:rPr>
                <w:b/>
                <w:sz w:val="18"/>
              </w:rPr>
              <w:t xml:space="preserve">Phase</w:t>
            </w:r>
          </w:p>
        </w:tc>
        <w:tc>
          <w:tcPr>
            <w:tcW w:w="1800" w:type="dxa"/>
            <w:shd w:val="clear" w:fill="EAF0FF"/>
            <w:tcMar>
              <w:top w:w="90" w:type="dxa"/>
              <w:left w:w="100" w:type="dxa"/>
              <w:bottom w:w="90" w:type="dxa"/>
              <w:right w:w="100" w:type="dxa"/>
            </w:tcMar>
          </w:tcPr>
          <w:p>
            <w:r>
              <w:rPr>
                <w:b/>
                <w:sz w:val="18"/>
              </w:rPr>
              <w:t xml:space="preserve">Customer target</w:t>
            </w:r>
          </w:p>
        </w:tc>
        <w:tc>
          <w:tcPr>
            <w:tcW w:w="3000" w:type="dxa"/>
            <w:shd w:val="clear" w:fill="EAF0FF"/>
            <w:tcMar>
              <w:top w:w="90" w:type="dxa"/>
              <w:left w:w="100" w:type="dxa"/>
              <w:bottom w:w="90" w:type="dxa"/>
              <w:right w:w="100" w:type="dxa"/>
            </w:tcMar>
          </w:tcPr>
          <w:p>
            <w:r>
              <w:rPr>
                <w:b/>
                <w:sz w:val="18"/>
              </w:rPr>
              <w:t xml:space="preserve">Offer</w:t>
            </w:r>
          </w:p>
        </w:tc>
        <w:tc>
          <w:tcPr>
            <w:tcW w:w="2600" w:type="dxa"/>
            <w:shd w:val="clear" w:fill="EAF0FF"/>
            <w:tcMar>
              <w:top w:w="90" w:type="dxa"/>
              <w:left w:w="100" w:type="dxa"/>
              <w:bottom w:w="90" w:type="dxa"/>
              <w:right w:w="100" w:type="dxa"/>
            </w:tcMar>
          </w:tcPr>
          <w:p>
            <w:r>
              <w:rPr>
                <w:b/>
                <w:sz w:val="18"/>
              </w:rPr>
              <w:t xml:space="preserve">Exit condition</w:t>
            </w:r>
          </w:p>
        </w:tc>
      </w:tr>
      <w:tr>
        <w:tc>
          <w:tcPr>
            <w:tcW w:w="1900" w:type="dxa"/>
            <w:tcMar>
              <w:top w:w="90" w:type="dxa"/>
              <w:left w:w="100" w:type="dxa"/>
              <w:bottom w:w="90" w:type="dxa"/>
              <w:right w:w="100" w:type="dxa"/>
            </w:tcMar>
          </w:tcPr>
          <w:p>
            <w:r>
              <w:rPr>
                <w:sz w:val="18"/>
              </w:rPr>
              <w:t xml:space="preserve">Paid design partners</w:t>
            </w:r>
          </w:p>
        </w:tc>
        <w:tc>
          <w:tcPr>
            <w:tcW w:w="1800" w:type="dxa"/>
            <w:tcMar>
              <w:top w:w="90" w:type="dxa"/>
              <w:left w:w="100" w:type="dxa"/>
              <w:bottom w:w="90" w:type="dxa"/>
              <w:right w:w="100" w:type="dxa"/>
            </w:tcMar>
          </w:tcPr>
          <w:p>
            <w:r>
              <w:rPr>
                <w:sz w:val="18"/>
              </w:rPr>
              <w:t xml:space="preserve">3-5 churches</w:t>
            </w:r>
          </w:p>
        </w:tc>
        <w:tc>
          <w:tcPr>
            <w:tcW w:w="3000" w:type="dxa"/>
            <w:tcMar>
              <w:top w:w="90" w:type="dxa"/>
              <w:left w:w="100" w:type="dxa"/>
              <w:bottom w:w="90" w:type="dxa"/>
              <w:right w:w="100" w:type="dxa"/>
            </w:tcMar>
          </w:tcPr>
          <w:p>
            <w:r>
              <w:rPr>
                <w:sz w:val="18"/>
              </w:rPr>
              <w:t xml:space="preserve">Discounted 90-day Standard plan with structured feedback</w:t>
            </w:r>
          </w:p>
        </w:tc>
        <w:tc>
          <w:tcPr>
            <w:tcW w:w="2600" w:type="dxa"/>
            <w:tcMar>
              <w:top w:w="90" w:type="dxa"/>
              <w:left w:w="100" w:type="dxa"/>
              <w:bottom w:w="90" w:type="dxa"/>
              <w:right w:w="100" w:type="dxa"/>
            </w:tcMar>
          </w:tcPr>
          <w:p>
            <w:r>
              <w:rPr>
                <w:sz w:val="18"/>
              </w:rPr>
              <w:t xml:space="preserve">Weekly workflow succeeds; measurable admin time saved</w:t>
            </w:r>
          </w:p>
        </w:tc>
      </w:tr>
      <w:tr>
        <w:tc>
          <w:tcPr>
            <w:tcW w:w="1900" w:type="dxa"/>
            <w:tcMar>
              <w:top w:w="90" w:type="dxa"/>
              <w:left w:w="100" w:type="dxa"/>
              <w:bottom w:w="90" w:type="dxa"/>
              <w:right w:w="100" w:type="dxa"/>
            </w:tcMar>
          </w:tcPr>
          <w:p>
            <w:r>
              <w:rPr>
                <w:sz w:val="18"/>
              </w:rPr>
              <w:t xml:space="preserve">Pilot commercialization</w:t>
            </w:r>
          </w:p>
        </w:tc>
        <w:tc>
          <w:tcPr>
            <w:tcW w:w="1800" w:type="dxa"/>
            <w:tcMar>
              <w:top w:w="90" w:type="dxa"/>
              <w:left w:w="100" w:type="dxa"/>
              <w:bottom w:w="90" w:type="dxa"/>
              <w:right w:w="100" w:type="dxa"/>
            </w:tcMar>
          </w:tcPr>
          <w:p>
            <w:r>
              <w:rPr>
                <w:sz w:val="18"/>
              </w:rPr>
              <w:t xml:space="preserve">10 churches</w:t>
            </w:r>
          </w:p>
        </w:tc>
        <w:tc>
          <w:tcPr>
            <w:tcW w:w="3000" w:type="dxa"/>
            <w:tcMar>
              <w:top w:w="90" w:type="dxa"/>
              <w:left w:w="100" w:type="dxa"/>
              <w:bottom w:w="90" w:type="dxa"/>
              <w:right w:w="100" w:type="dxa"/>
            </w:tcMar>
          </w:tcPr>
          <w:p>
            <w:r>
              <w:rPr>
                <w:sz w:val="18"/>
              </w:rPr>
              <w:t xml:space="preserve">Standard contracts, implementation fee, training, monthly review</w:t>
            </w:r>
          </w:p>
        </w:tc>
        <w:tc>
          <w:tcPr>
            <w:tcW w:w="2600" w:type="dxa"/>
            <w:tcMar>
              <w:top w:w="90" w:type="dxa"/>
              <w:left w:w="100" w:type="dxa"/>
              <w:bottom w:w="90" w:type="dxa"/>
              <w:right w:w="100" w:type="dxa"/>
            </w:tcMar>
          </w:tcPr>
          <w:p>
            <w:r>
              <w:rPr>
                <w:sz w:val="18"/>
              </w:rPr>
              <w:t xml:space="preserve">Retention, support load, backup and reporting proven</w:t>
            </w:r>
          </w:p>
        </w:tc>
      </w:tr>
      <w:tr>
        <w:tc>
          <w:tcPr>
            <w:tcW w:w="1900" w:type="dxa"/>
            <w:tcMar>
              <w:top w:w="90" w:type="dxa"/>
              <w:left w:w="100" w:type="dxa"/>
              <w:bottom w:w="90" w:type="dxa"/>
              <w:right w:w="100" w:type="dxa"/>
            </w:tcMar>
          </w:tcPr>
          <w:p>
            <w:r>
              <w:rPr>
                <w:sz w:val="18"/>
              </w:rPr>
              <w:t xml:space="preserve">Repeatable sales</w:t>
            </w:r>
          </w:p>
        </w:tc>
        <w:tc>
          <w:tcPr>
            <w:tcW w:w="1800" w:type="dxa"/>
            <w:tcMar>
              <w:top w:w="90" w:type="dxa"/>
              <w:left w:w="100" w:type="dxa"/>
              <w:bottom w:w="90" w:type="dxa"/>
              <w:right w:w="100" w:type="dxa"/>
            </w:tcMar>
          </w:tcPr>
          <w:p>
            <w:r>
              <w:rPr>
                <w:sz w:val="18"/>
              </w:rPr>
              <w:t xml:space="preserve">25 churches</w:t>
            </w:r>
          </w:p>
        </w:tc>
        <w:tc>
          <w:tcPr>
            <w:tcW w:w="3000" w:type="dxa"/>
            <w:tcMar>
              <w:top w:w="90" w:type="dxa"/>
              <w:left w:w="100" w:type="dxa"/>
              <w:bottom w:w="90" w:type="dxa"/>
              <w:right w:w="100" w:type="dxa"/>
            </w:tcMar>
          </w:tcPr>
          <w:p>
            <w:r>
              <w:rPr>
                <w:sz w:val="18"/>
              </w:rPr>
              <w:t xml:space="preserve">Referral and denominational branch partnerships</w:t>
            </w:r>
          </w:p>
        </w:tc>
        <w:tc>
          <w:tcPr>
            <w:tcW w:w="2600" w:type="dxa"/>
            <w:tcMar>
              <w:top w:w="90" w:type="dxa"/>
              <w:left w:w="100" w:type="dxa"/>
              <w:bottom w:w="90" w:type="dxa"/>
              <w:right w:w="100" w:type="dxa"/>
            </w:tcMar>
          </w:tcPr>
          <w:p>
            <w:r>
              <w:rPr>
                <w:sz w:val="18"/>
              </w:rPr>
              <w:t xml:space="preserve">Positive monthly contribution and documented onboarding</w:t>
            </w:r>
          </w:p>
        </w:tc>
      </w:tr>
      <w:tr>
        <w:tc>
          <w:tcPr>
            <w:tcW w:w="1900" w:type="dxa"/>
            <w:tcMar>
              <w:top w:w="90" w:type="dxa"/>
              <w:left w:w="100" w:type="dxa"/>
              <w:bottom w:w="90" w:type="dxa"/>
              <w:right w:w="100" w:type="dxa"/>
            </w:tcMar>
          </w:tcPr>
          <w:p>
            <w:r>
              <w:rPr>
                <w:sz w:val="18"/>
              </w:rPr>
              <w:t xml:space="preserve">Scale investment</w:t>
            </w:r>
          </w:p>
        </w:tc>
        <w:tc>
          <w:tcPr>
            <w:tcW w:w="1800" w:type="dxa"/>
            <w:tcMar>
              <w:top w:w="90" w:type="dxa"/>
              <w:left w:w="100" w:type="dxa"/>
              <w:bottom w:w="90" w:type="dxa"/>
              <w:right w:w="100" w:type="dxa"/>
            </w:tcMar>
          </w:tcPr>
          <w:p>
            <w:r>
              <w:rPr>
                <w:sz w:val="18"/>
              </w:rPr>
              <w:t xml:space="preserve">50+ churches</w:t>
            </w:r>
          </w:p>
        </w:tc>
        <w:tc>
          <w:tcPr>
            <w:tcW w:w="3000" w:type="dxa"/>
            <w:tcMar>
              <w:top w:w="90" w:type="dxa"/>
              <w:left w:w="100" w:type="dxa"/>
              <w:bottom w:w="90" w:type="dxa"/>
              <w:right w:w="100" w:type="dxa"/>
            </w:tcMar>
          </w:tcPr>
          <w:p>
            <w:r>
              <w:rPr>
                <w:sz w:val="18"/>
              </w:rPr>
              <w:t xml:space="preserve">Automated fleet or tenant platform</w:t>
            </w:r>
          </w:p>
        </w:tc>
        <w:tc>
          <w:tcPr>
            <w:tcW w:w="2600" w:type="dxa"/>
            <w:tcMar>
              <w:top w:w="90" w:type="dxa"/>
              <w:left w:w="100" w:type="dxa"/>
              <w:bottom w:w="90" w:type="dxa"/>
              <w:right w:w="100" w:type="dxa"/>
            </w:tcMar>
          </w:tcPr>
          <w:p>
            <w:r>
              <w:rPr>
                <w:sz w:val="18"/>
              </w:rPr>
              <w:t xml:space="preserve">Security review and unit-cost case approve the architecture</w:t>
            </w:r>
          </w:p>
        </w:tc>
      </w:tr>
    </w:tbl>
    <w:p/>
    <w:p>
      <w:pPr>
        <w:pStyle w:val="BodyText"/>
        <w:jc w:val="left"/>
      </w:pPr>
      <w:r>
        <w:rPr/>
        <w:t xml:space="preserve">• Sell outcomes: faster attendance completion, fewer missed follow-ups, visible First Timers movement, safer records, and leadership-ready reports.</w:t>
      </w:r>
    </w:p>
    <w:p>
      <w:pPr>
        <w:pStyle w:val="BodyText"/>
        <w:jc w:val="left"/>
      </w:pPr>
      <w:r>
        <w:rPr/>
        <w:t xml:space="preserve">• Use a written implementation scope. Data cleanup, custom imports, new features, integrations, and on-site work are separate professional services.</w:t>
      </w:r>
    </w:p>
    <w:p>
      <w:pPr>
        <w:pStyle w:val="BodyText"/>
        <w:jc w:val="left"/>
      </w:pPr>
      <w:r>
        <w:rPr/>
        <w:t xml:space="preserve">• Collect implementation fees before provisioning and subscriptions before the service period. Prefer annual prepayment for early cash stability.</w:t>
      </w:r>
    </w:p>
    <w:p>
      <w:pPr>
        <w:pStyle w:val="BodyText"/>
        <w:jc w:val="left"/>
      </w:pPr>
      <w:r>
        <w:rPr/>
        <w:t xml:space="preserve">• Review churn, active users, support hours, database size, bandwidth, report generation, and onboarding time monthly.</w:t>
      </w:r>
    </w:p>
    <w:p>
      <w:pPr>
        <w:pStyle w:val="Heading1"/>
        <w:jc w:val="left"/>
      </w:pPr>
      <w:r>
        <w:rPr/>
        <w:t xml:space="preserve">8. Principal risks and controls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100"/>
        <w:gridCol w:w="3000"/>
        <w:gridCol w:w="4200"/>
      </w:tblGrid>
      <w:tr>
        <w:tc>
          <w:tcPr>
            <w:tcW w:w="2100" w:type="dxa"/>
            <w:shd w:val="clear" w:fill="EAF0FF"/>
            <w:tcMar>
              <w:top w:w="90" w:type="dxa"/>
              <w:left w:w="100" w:type="dxa"/>
              <w:bottom w:w="90" w:type="dxa"/>
              <w:right w:w="100" w:type="dxa"/>
            </w:tcMar>
          </w:tcPr>
          <w:p>
            <w:r>
              <w:rPr>
                <w:b/>
                <w:sz w:val="18"/>
              </w:rPr>
              <w:t xml:space="preserve">Risk</w:t>
            </w:r>
          </w:p>
        </w:tc>
        <w:tc>
          <w:tcPr>
            <w:tcW w:w="3000" w:type="dxa"/>
            <w:shd w:val="clear" w:fill="EAF0FF"/>
            <w:tcMar>
              <w:top w:w="90" w:type="dxa"/>
              <w:left w:w="100" w:type="dxa"/>
              <w:bottom w:w="90" w:type="dxa"/>
              <w:right w:w="100" w:type="dxa"/>
            </w:tcMar>
          </w:tcPr>
          <w:p>
            <w:r>
              <w:rPr>
                <w:b/>
                <w:sz w:val="18"/>
              </w:rPr>
              <w:t xml:space="preserve">Commercial effect</w:t>
            </w:r>
          </w:p>
        </w:tc>
        <w:tc>
          <w:tcPr>
            <w:tcW w:w="4200" w:type="dxa"/>
            <w:shd w:val="clear" w:fill="EAF0FF"/>
            <w:tcMar>
              <w:top w:w="90" w:type="dxa"/>
              <w:left w:w="100" w:type="dxa"/>
              <w:bottom w:w="90" w:type="dxa"/>
              <w:right w:w="100" w:type="dxa"/>
            </w:tcMar>
          </w:tcPr>
          <w:p>
            <w:r>
              <w:rPr>
                <w:b/>
                <w:sz w:val="18"/>
              </w:rPr>
              <w:t xml:space="preserve">Control</w:t>
            </w:r>
          </w:p>
        </w:tc>
      </w:tr>
      <w:tr>
        <w:tc>
          <w:tcPr>
            <w:tcW w:w="2100" w:type="dxa"/>
            <w:tcMar>
              <w:top w:w="90" w:type="dxa"/>
              <w:left w:w="100" w:type="dxa"/>
              <w:bottom w:w="90" w:type="dxa"/>
              <w:right w:w="100" w:type="dxa"/>
            </w:tcMar>
          </w:tcPr>
          <w:p>
            <w:r>
              <w:rPr>
                <w:sz w:val="18"/>
              </w:rPr>
              <w:t xml:space="preserve">USD/NGN movement</w:t>
            </w:r>
          </w:p>
        </w:tc>
        <w:tc>
          <w:tcPr>
            <w:tcW w:w="3000" w:type="dxa"/>
            <w:tcMar>
              <w:top w:w="90" w:type="dxa"/>
              <w:left w:w="100" w:type="dxa"/>
              <w:bottom w:w="90" w:type="dxa"/>
              <w:right w:w="100" w:type="dxa"/>
            </w:tcMar>
          </w:tcPr>
          <w:p>
            <w:r>
              <w:rPr>
                <w:sz w:val="18"/>
              </w:rPr>
              <w:t xml:space="preserve">Cloud cost rises while naira price stays fixed</w:t>
            </w:r>
          </w:p>
        </w:tc>
        <w:tc>
          <w:tcPr>
            <w:tcW w:w="4200" w:type="dxa"/>
            <w:tcMar>
              <w:top w:w="90" w:type="dxa"/>
              <w:left w:w="100" w:type="dxa"/>
              <w:bottom w:w="90" w:type="dxa"/>
              <w:right w:w="100" w:type="dxa"/>
            </w:tcMar>
          </w:tcPr>
          <w:p>
            <w:r>
              <w:rPr>
                <w:sz w:val="18"/>
              </w:rPr>
              <w:t xml:space="preserve">Quarterly price review and 10% FX reserve</w:t>
            </w:r>
          </w:p>
        </w:tc>
      </w:tr>
      <w:tr>
        <w:tc>
          <w:tcPr>
            <w:tcW w:w="2100" w:type="dxa"/>
            <w:tcMar>
              <w:top w:w="90" w:type="dxa"/>
              <w:left w:w="100" w:type="dxa"/>
              <w:bottom w:w="90" w:type="dxa"/>
              <w:right w:w="100" w:type="dxa"/>
            </w:tcMar>
          </w:tcPr>
          <w:p>
            <w:r>
              <w:rPr>
                <w:sz w:val="18"/>
              </w:rPr>
              <w:t xml:space="preserve">Single-church architecture</w:t>
            </w:r>
          </w:p>
        </w:tc>
        <w:tc>
          <w:tcPr>
            <w:tcW w:w="3000" w:type="dxa"/>
            <w:tcMar>
              <w:top w:w="90" w:type="dxa"/>
              <w:left w:w="100" w:type="dxa"/>
              <w:bottom w:w="90" w:type="dxa"/>
              <w:right w:w="100" w:type="dxa"/>
            </w:tcMar>
          </w:tcPr>
          <w:p>
            <w:r>
              <w:rPr>
                <w:sz w:val="18"/>
              </w:rPr>
              <w:t xml:space="preserve">Provisioning and migration workload grows linearly</w:t>
            </w:r>
          </w:p>
        </w:tc>
        <w:tc>
          <w:tcPr>
            <w:tcW w:w="4200" w:type="dxa"/>
            <w:tcMar>
              <w:top w:w="90" w:type="dxa"/>
              <w:left w:w="100" w:type="dxa"/>
              <w:bottom w:w="90" w:type="dxa"/>
              <w:right w:w="100" w:type="dxa"/>
            </w:tcMar>
          </w:tcPr>
          <w:p>
            <w:r>
              <w:rPr>
                <w:sz w:val="18"/>
              </w:rPr>
              <w:t xml:space="preserve">Dedicated fleet automation before 10-15 churches</w:t>
            </w:r>
          </w:p>
        </w:tc>
      </w:tr>
      <w:tr>
        <w:tc>
          <w:tcPr>
            <w:tcW w:w="2100" w:type="dxa"/>
            <w:tcMar>
              <w:top w:w="90" w:type="dxa"/>
              <w:left w:w="100" w:type="dxa"/>
              <w:bottom w:w="90" w:type="dxa"/>
              <w:right w:w="100" w:type="dxa"/>
            </w:tcMar>
          </w:tcPr>
          <w:p>
            <w:r>
              <w:rPr>
                <w:sz w:val="18"/>
              </w:rPr>
              <w:t xml:space="preserve">Support-intensive customers</w:t>
            </w:r>
          </w:p>
        </w:tc>
        <w:tc>
          <w:tcPr>
            <w:tcW w:w="3000" w:type="dxa"/>
            <w:tcMar>
              <w:top w:w="90" w:type="dxa"/>
              <w:left w:w="100" w:type="dxa"/>
              <w:bottom w:w="90" w:type="dxa"/>
              <w:right w:w="100" w:type="dxa"/>
            </w:tcMar>
          </w:tcPr>
          <w:p>
            <w:r>
              <w:rPr>
                <w:sz w:val="18"/>
              </w:rPr>
              <w:t xml:space="preserve">Gross margin disappears</w:t>
            </w:r>
          </w:p>
        </w:tc>
        <w:tc>
          <w:tcPr>
            <w:tcW w:w="4200" w:type="dxa"/>
            <w:tcMar>
              <w:top w:w="90" w:type="dxa"/>
              <w:left w:w="100" w:type="dxa"/>
              <w:bottom w:w="90" w:type="dxa"/>
              <w:right w:w="100" w:type="dxa"/>
            </w:tcMar>
          </w:tcPr>
          <w:p>
            <w:r>
              <w:rPr>
                <w:sz w:val="18"/>
              </w:rPr>
              <w:t xml:space="preserve">Support scope, training, knowledge base, paid priority SLA</w:t>
            </w:r>
          </w:p>
        </w:tc>
      </w:tr>
      <w:tr>
        <w:tc>
          <w:tcPr>
            <w:tcW w:w="2100" w:type="dxa"/>
            <w:tcMar>
              <w:top w:w="90" w:type="dxa"/>
              <w:left w:w="100" w:type="dxa"/>
              <w:bottom w:w="90" w:type="dxa"/>
              <w:right w:w="100" w:type="dxa"/>
            </w:tcMar>
          </w:tcPr>
          <w:p>
            <w:r>
              <w:rPr>
                <w:sz w:val="18"/>
              </w:rPr>
              <w:t xml:space="preserve">Privacy/security incident</w:t>
            </w:r>
          </w:p>
        </w:tc>
        <w:tc>
          <w:tcPr>
            <w:tcW w:w="3000" w:type="dxa"/>
            <w:tcMar>
              <w:top w:w="90" w:type="dxa"/>
              <w:left w:w="100" w:type="dxa"/>
              <w:bottom w:w="90" w:type="dxa"/>
              <w:right w:w="100" w:type="dxa"/>
            </w:tcMar>
          </w:tcPr>
          <w:p>
            <w:r>
              <w:rPr>
                <w:sz w:val="18"/>
              </w:rPr>
              <w:t xml:space="preserve">Trust, legal and reputational damage</w:t>
            </w:r>
          </w:p>
        </w:tc>
        <w:tc>
          <w:tcPr>
            <w:tcW w:w="4200" w:type="dxa"/>
            <w:tcMar>
              <w:top w:w="90" w:type="dxa"/>
              <w:left w:w="100" w:type="dxa"/>
              <w:bottom w:w="90" w:type="dxa"/>
              <w:right w:w="100" w:type="dxa"/>
            </w:tcMar>
          </w:tcPr>
          <w:p>
            <w:r>
              <w:rPr>
                <w:sz w:val="18"/>
              </w:rPr>
              <w:t xml:space="preserve">RLS review, least privilege, backups, logs, incident plan</w:t>
            </w:r>
          </w:p>
        </w:tc>
      </w:tr>
      <w:tr>
        <w:tc>
          <w:tcPr>
            <w:tcW w:w="2100" w:type="dxa"/>
            <w:tcMar>
              <w:top w:w="90" w:type="dxa"/>
              <w:left w:w="100" w:type="dxa"/>
              <w:bottom w:w="90" w:type="dxa"/>
              <w:right w:w="100" w:type="dxa"/>
            </w:tcMar>
          </w:tcPr>
          <w:p>
            <w:r>
              <w:rPr>
                <w:sz w:val="18"/>
              </w:rPr>
              <w:t xml:space="preserve">Free-tier dependency</w:t>
            </w:r>
          </w:p>
        </w:tc>
        <w:tc>
          <w:tcPr>
            <w:tcW w:w="3000" w:type="dxa"/>
            <w:tcMar>
              <w:top w:w="90" w:type="dxa"/>
              <w:left w:w="100" w:type="dxa"/>
              <w:bottom w:w="90" w:type="dxa"/>
              <w:right w:w="100" w:type="dxa"/>
            </w:tcMar>
          </w:tcPr>
          <w:p>
            <w:r>
              <w:rPr>
                <w:sz w:val="18"/>
              </w:rPr>
              <w:t xml:space="preserve">Unexpected pause, rate limit, or poor reliability</w:t>
            </w:r>
          </w:p>
        </w:tc>
        <w:tc>
          <w:tcPr>
            <w:tcW w:w="4200" w:type="dxa"/>
            <w:tcMar>
              <w:top w:w="90" w:type="dxa"/>
              <w:left w:w="100" w:type="dxa"/>
              <w:bottom w:w="90" w:type="dxa"/>
              <w:right w:w="100" w:type="dxa"/>
            </w:tcMar>
          </w:tcPr>
          <w:p>
            <w:r>
              <w:rPr>
                <w:sz w:val="18"/>
              </w:rPr>
              <w:t xml:space="preserve">Use production paid plans and spend alerts</w:t>
            </w:r>
          </w:p>
        </w:tc>
      </w:tr>
      <w:tr>
        <w:tc>
          <w:tcPr>
            <w:tcW w:w="2100" w:type="dxa"/>
            <w:tcMar>
              <w:top w:w="90" w:type="dxa"/>
              <w:left w:w="100" w:type="dxa"/>
              <w:bottom w:w="90" w:type="dxa"/>
              <w:right w:w="100" w:type="dxa"/>
            </w:tcMar>
          </w:tcPr>
          <w:p>
            <w:r>
              <w:rPr>
                <w:sz w:val="18"/>
              </w:rPr>
              <w:t xml:space="preserve">Scope creep</w:t>
            </w:r>
          </w:p>
        </w:tc>
        <w:tc>
          <w:tcPr>
            <w:tcW w:w="3000" w:type="dxa"/>
            <w:tcMar>
              <w:top w:w="90" w:type="dxa"/>
              <w:left w:w="100" w:type="dxa"/>
              <w:bottom w:w="90" w:type="dxa"/>
              <w:right w:w="100" w:type="dxa"/>
            </w:tcMar>
          </w:tcPr>
          <w:p>
            <w:r>
              <w:rPr>
                <w:sz w:val="18"/>
              </w:rPr>
              <w:t xml:space="preserve">Custom work consumes subscription margin</w:t>
            </w:r>
          </w:p>
        </w:tc>
        <w:tc>
          <w:tcPr>
            <w:tcW w:w="4200" w:type="dxa"/>
            <w:tcMar>
              <w:top w:w="90" w:type="dxa"/>
              <w:left w:w="100" w:type="dxa"/>
              <w:bottom w:w="90" w:type="dxa"/>
              <w:right w:w="100" w:type="dxa"/>
            </w:tcMar>
          </w:tcPr>
          <w:p>
            <w:r>
              <w:rPr>
                <w:sz w:val="18"/>
              </w:rPr>
              <w:t xml:space="preserve">Change requests and professional-services pricing</w:t>
            </w:r>
          </w:p>
        </w:tc>
      </w:tr>
      <w:tr>
        <w:tc>
          <w:tcPr>
            <w:tcW w:w="2100" w:type="dxa"/>
            <w:tcMar>
              <w:top w:w="90" w:type="dxa"/>
              <w:left w:w="100" w:type="dxa"/>
              <w:bottom w:w="90" w:type="dxa"/>
              <w:right w:w="100" w:type="dxa"/>
            </w:tcMar>
          </w:tcPr>
          <w:p>
            <w:r>
              <w:rPr>
                <w:sz w:val="18"/>
              </w:rPr>
              <w:t xml:space="preserve">Meta template reclassification</w:t>
            </w:r>
          </w:p>
        </w:tc>
        <w:tc>
          <w:tcPr>
            <w:tcW w:w="3000" w:type="dxa"/>
            <w:tcMar>
              <w:top w:w="90" w:type="dxa"/>
              <w:left w:w="100" w:type="dxa"/>
              <w:bottom w:w="90" w:type="dxa"/>
              <w:right w:w="100" w:type="dxa"/>
            </w:tcMar>
          </w:tcPr>
          <w:p>
            <w:r>
              <w:rPr>
                <w:sz w:val="18"/>
              </w:rPr>
              <w:t xml:space="preserve">Message cost or deliverability changes</w:t>
            </w:r>
          </w:p>
        </w:tc>
        <w:tc>
          <w:tcPr>
            <w:tcW w:w="4200" w:type="dxa"/>
            <w:tcMar>
              <w:top w:w="90" w:type="dxa"/>
              <w:left w:w="100" w:type="dxa"/>
              <w:bottom w:w="90" w:type="dxa"/>
              <w:right w:w="100" w:type="dxa"/>
            </w:tcMar>
          </w:tcPr>
          <w:p>
            <w:r>
              <w:rPr>
                <w:sz w:val="18"/>
              </w:rPr>
              <w:t xml:space="preserve">Monthly invoice reconciliation and repricing clause</w:t>
            </w:r>
          </w:p>
        </w:tc>
      </w:tr>
      <w:tr>
        <w:tc>
          <w:tcPr>
            <w:tcW w:w="2100" w:type="dxa"/>
            <w:tcMar>
              <w:top w:w="90" w:type="dxa"/>
              <w:left w:w="100" w:type="dxa"/>
              <w:bottom w:w="90" w:type="dxa"/>
              <w:right w:w="100" w:type="dxa"/>
            </w:tcMar>
          </w:tcPr>
          <w:p>
            <w:r>
              <w:rPr>
                <w:sz w:val="18"/>
              </w:rPr>
              <w:t xml:space="preserve">Missing consent or opt-out failure</w:t>
            </w:r>
          </w:p>
        </w:tc>
        <w:tc>
          <w:tcPr>
            <w:tcW w:w="3000" w:type="dxa"/>
            <w:tcMar>
              <w:top w:w="90" w:type="dxa"/>
              <w:left w:w="100" w:type="dxa"/>
              <w:bottom w:w="90" w:type="dxa"/>
              <w:right w:w="100" w:type="dxa"/>
            </w:tcMar>
          </w:tcPr>
          <w:p>
            <w:r>
              <w:rPr>
                <w:sz w:val="18"/>
              </w:rPr>
              <w:t xml:space="preserve">Compliance and reputation risk</w:t>
            </w:r>
          </w:p>
        </w:tc>
        <w:tc>
          <w:tcPr>
            <w:tcW w:w="4200" w:type="dxa"/>
            <w:tcMar>
              <w:top w:w="90" w:type="dxa"/>
              <w:left w:w="100" w:type="dxa"/>
              <w:bottom w:w="90" w:type="dxa"/>
              <w:right w:w="100" w:type="dxa"/>
            </w:tcMar>
          </w:tcPr>
          <w:p>
            <w:r>
              <w:rPr>
                <w:sz w:val="18"/>
              </w:rPr>
              <w:t xml:space="preserve">Auditable opt-in, immediate opt-out cancellation, access control</w:t>
            </w:r>
          </w:p>
        </w:tc>
      </w:tr>
      <w:tr>
        <w:tc>
          <w:tcPr>
            <w:tcW w:w="2100" w:type="dxa"/>
            <w:tcMar>
              <w:top w:w="90" w:type="dxa"/>
              <w:left w:w="100" w:type="dxa"/>
              <w:bottom w:w="90" w:type="dxa"/>
              <w:right w:w="100" w:type="dxa"/>
            </w:tcMar>
          </w:tcPr>
          <w:p>
            <w:r>
              <w:rPr>
                <w:sz w:val="18"/>
              </w:rPr>
              <w:t xml:space="preserve">Message spike</w:t>
            </w:r>
          </w:p>
        </w:tc>
        <w:tc>
          <w:tcPr>
            <w:tcW w:w="3000" w:type="dxa"/>
            <w:tcMar>
              <w:top w:w="90" w:type="dxa"/>
              <w:left w:w="100" w:type="dxa"/>
              <w:bottom w:w="90" w:type="dxa"/>
              <w:right w:w="100" w:type="dxa"/>
            </w:tcMar>
          </w:tcPr>
          <w:p>
            <w:r>
              <w:rPr>
                <w:sz w:val="18"/>
              </w:rPr>
              <w:t xml:space="preserve">Large unbilled supplier charge</w:t>
            </w:r>
          </w:p>
        </w:tc>
        <w:tc>
          <w:tcPr>
            <w:tcW w:w="4200" w:type="dxa"/>
            <w:tcMar>
              <w:top w:w="90" w:type="dxa"/>
              <w:left w:w="100" w:type="dxa"/>
              <w:bottom w:w="90" w:type="dxa"/>
              <w:right w:w="100" w:type="dxa"/>
            </w:tcMar>
          </w:tcPr>
          <w:p>
            <w:r>
              <w:rPr>
                <w:sz w:val="18"/>
              </w:rPr>
              <w:t xml:space="preserve">Allowances, hard alerts, wallet/overage billing, Twilio spend controls</w:t>
            </w:r>
          </w:p>
        </w:tc>
      </w:tr>
    </w:tbl>
    <w:p/>
    <w:p>
      <w:pPr>
        <w:pStyle w:val="Heading1"/>
        <w:jc w:val="left"/>
      </w:pPr>
      <w:r>
        <w:rPr/>
        <w:t xml:space="preserve">9. Recommended decision</w:t>
      </w:r>
    </w:p>
    <w:p>
      <w:pPr>
        <w:pStyle w:val="BodyText"/>
        <w:jc w:val="left"/>
      </w:pPr>
      <w:r>
        <w:rPr/>
        <w:t xml:space="preserve">Offer WhatsApp only as a clearly metered premium plan or add-on. Launch it after the core workflow is stable, templates are approved, consent records are auditable, and customer billing can reconcile actual message usage. The Standard price should not fall below approximately ₦110,000 at the stated allowance without reducing message volume or support.</w:t>
      </w:r>
    </w:p>
    <w:p>
      <w:pPr>
        <w:pStyle w:val="Callout"/>
        <w:jc w:val="left"/>
      </w:pPr>
      <w:r>
        <w:rPr/>
        <w:t xml:space="preserve">Commercial go/no-go: proceed when at least five churches sign a paid pilot or letter of intent, supplier accounts are production-ready, message-cost alerts are tested, and at least six months of fixed overhead plus supplier deposits are available.</w:t>
      </w:r>
    </w:p>
    <w:p>
      <w:r>
        <w:br w:type="page"/>
      </w:r>
    </w:p>
    <w:p>
      <w:pPr>
        <w:pStyle w:val="Heading1"/>
        <w:jc w:val="left"/>
      </w:pPr>
      <w:r>
        <w:rPr/>
        <w:t xml:space="preserve">Appendix A - formulas to update</w:t>
      </w:r>
    </w:p>
    <w:p>
      <w:pPr>
        <w:pStyle w:val="BodyText"/>
        <w:jc w:val="left"/>
      </w:pPr>
      <w:r>
        <w:rPr/>
        <w:t xml:space="preserve">• Monthly contribution per church = subscription price − dedicated infrastructure − metered usage − payment fee − customer-specific support provision.</w:t>
      </w:r>
    </w:p>
    <w:p>
      <w:pPr>
        <w:pStyle w:val="BodyText"/>
        <w:jc w:val="left"/>
      </w:pPr>
      <w:r>
        <w:rPr/>
        <w:t xml:space="preserve">• Break-even church count = round up(fixed monthly overhead ÷ contribution per church).</w:t>
      </w:r>
    </w:p>
    <w:p>
      <w:pPr>
        <w:pStyle w:val="BodyText"/>
        <w:jc w:val="left"/>
      </w:pPr>
      <w:r>
        <w:rPr/>
        <w:t xml:space="preserve">• Operating profit = (paying churches × contribution per church) − fixed monthly overhead.</w:t>
      </w:r>
    </w:p>
    <w:p>
      <w:pPr>
        <w:pStyle w:val="BodyText"/>
        <w:jc w:val="left"/>
      </w:pPr>
      <w:r>
        <w:rPr/>
        <w:t xml:space="preserve">• Commercialization payback months = remaining one-time investment ÷ monthly operating profit.</w:t>
      </w:r>
    </w:p>
    <w:p>
      <w:pPr>
        <w:pStyle w:val="BodyText"/>
        <w:jc w:val="left"/>
      </w:pPr>
      <w:r>
        <w:rPr/>
        <w:t xml:space="preserve">• Annual recurring revenue = monthly subscription × 12 × paying churches, before discounts and churn.</w:t>
      </w:r>
    </w:p>
    <w:p>
      <w:pPr>
        <w:pStyle w:val="BodyText"/>
        <w:jc w:val="left"/>
      </w:pPr>
      <w:r>
        <w:rPr/>
        <w:t xml:space="preserve">• Message reserve per church = included delivered messages × current all-in planning cost per message.</w:t>
      </w:r>
    </w:p>
    <w:p>
      <w:pPr>
        <w:pStyle w:val="Heading1"/>
        <w:jc w:val="left"/>
      </w:pPr>
      <w:r>
        <w:rPr/>
        <w:t xml:space="preserve">Appendix B - official pricing references</w:t>
      </w:r>
    </w:p>
    <w:p>
      <w:pPr>
        <w:pStyle w:val="BodyText"/>
        <w:jc w:val="left"/>
      </w:pPr>
      <w:r>
        <w:rPr/>
        <w:t xml:space="preserve">Pricing was reviewed on 22 July 2026. Suppliers may change prices, quotas, taxes, and terms. Revalidate before signing customers.</w:t>
      </w:r>
    </w:p>
    <w:p>
      <w:pPr>
        <w:pStyle w:val="BodyText"/>
        <w:jc w:val="left"/>
      </w:pPr>
      <w:r>
        <w:rPr/>
        <w:t xml:space="preserve">• Supabase pricing - Pro from US/month; first project included; additional projects from US/month: https://supabase.com/pricing</w:t>
      </w:r>
    </w:p>
    <w:p>
      <w:pPr>
        <w:pStyle w:val="BodyText"/>
        <w:jc w:val="left"/>
      </w:pPr>
      <w:r>
        <w:rPr/>
        <w:t xml:space="preserve">• Supabase billing FAQ and compute/project billing: https://supabase.com/docs/guides/platform/billing-faq</w:t>
      </w:r>
    </w:p>
    <w:p>
      <w:pPr>
        <w:pStyle w:val="BodyText"/>
        <w:jc w:val="left"/>
      </w:pPr>
      <w:r>
        <w:rPr/>
        <w:t xml:space="preserve">• Vercel plan and pricing documentation - Pro developer seats and metered resources: https://vercel.com/docs/pricing</w:t>
      </w:r>
    </w:p>
    <w:p>
      <w:pPr>
        <w:pStyle w:val="BodyText"/>
        <w:jc w:val="left"/>
      </w:pPr>
      <w:r>
        <w:rPr/>
        <w:t xml:space="preserve">• Vercel Pro billing: https://vercel.com/docs/plans/pro-plan/billing</w:t>
      </w:r>
    </w:p>
    <w:p>
      <w:pPr>
        <w:pStyle w:val="BodyText"/>
        <w:jc w:val="left"/>
      </w:pPr>
      <w:r>
        <w:rPr/>
        <w:t xml:space="preserve">• Resend transactional email pricing - free 3,000 emails/month; Pro US for 50,000: https://resend.com/docs/knowledge-base/what-is-resend-pricing</w:t>
      </w:r>
    </w:p>
    <w:p>
      <w:pPr>
        <w:pStyle w:val="BodyText"/>
        <w:jc w:val="left"/>
      </w:pPr>
      <w:r>
        <w:rPr/>
        <w:t xml:space="preserve">• Central Bank of Nigeria NFEM reference rates: https://www.cbn.gov.ng/rates/ExchRateByCurrency.html</w:t>
      </w:r>
    </w:p>
    <w:p>
      <w:pPr>
        <w:pStyle w:val="BodyText"/>
        <w:jc w:val="left"/>
      </w:pPr>
      <w:r>
        <w:rPr/>
        <w:t xml:space="preserve">• Twilio WhatsApp pricing - US.005 per inbound/outbound message plus Meta template fees: https://www.twilio.com/en-us/whatsapp/pricing</w:t>
      </w:r>
    </w:p>
    <w:p>
      <w:pPr>
        <w:pStyle w:val="BodyText"/>
        <w:jc w:val="left"/>
      </w:pPr>
      <w:r>
        <w:rPr/>
        <w:t xml:space="preserve">• Twilio notice on Meta's per-template pricing model effective July 2025: https://www.twilio.com/en-us/changelog/meta-is-updating-whatsapp-pricing-on-july-1--2025</w:t>
      </w:r>
    </w:p>
    <w:sectPr>
      <w:pgSz w:w="11906" w:h="16838"/>
      <w:pgMar w:top="1134" w:right="1134" w:bottom="1134" w:left="1134" w:header="600" w:footer="600"/>
      <w:cols w:space="708"/>
      <w:docGrid w:linePitch="360"/>
    </w:sectPr>
  </w:body>
</w:document>
</file>

<file path=word/styles.xml><?xml version="1.0" encoding="utf-8"?>
<w:styles xmlns:w="http://schemas.openxmlformats.org/wordprocessingml/2006/main">
  <w:docDefaults>
    <w:rPrDefault>
      <w:rPr>
        <w:rFonts w:ascii="Aptos" w:hAnsi="Aptos"/>
        <w:sz w:val="21"/>
        <w:color w:val="26334D"/>
      </w:rPr>
    </w:rPrDefault>
    <w:pPrDefault>
      <w:pPr>
        <w:spacing w:after="120" w:line="276" w:lineRule="auto"/>
      </w:pPr>
    </w:pPrDefault>
  </w:docDefaults>
  <w:style w:type="paragraph" w:default="1" w:styleId="Normal">
    <w:name w:val="Normal"/>
  </w:style>
  <w:style w:type="paragraph" w:styleId="BodyText">
    <w:name w:val="Body Text"/>
    <w:basedOn w:val="Normal"/>
    <w:pPr>
      <w:spacing w:after="90" w:line="276" w:lineRule="auto"/>
    </w:pPr>
  </w:style>
  <w:style w:type="paragraph" w:styleId="Title">
    <w:name w:val="Title"/>
    <w:basedOn w:val="Normal"/>
    <w:pPr>
      <w:spacing w:before="120" w:after="220"/>
      <w:jc w:val="center"/>
    </w:pPr>
    <w:rPr>
      <w:b/>
      <w:color w:val="173B8F"/>
      <w:sz w:val="38"/>
    </w:rPr>
  </w:style>
  <w:style w:type="paragraph" w:styleId="Subtitle">
    <w:name w:val="Subtitle"/>
    <w:basedOn w:val="Normal"/>
    <w:pPr>
      <w:spacing w:after="180"/>
      <w:jc w:val="center"/>
    </w:pPr>
    <w:rPr>
      <w:color w:val="64748B"/>
      <w:sz w:val="23"/>
    </w:rPr>
  </w:style>
  <w:style w:type="paragraph" w:styleId="Heading1">
    <w:name w:val="heading 1"/>
    <w:basedOn w:val="Normal"/>
    <w:pPr>
      <w:keepNext/>
      <w:spacing w:before="260" w:after="120"/>
    </w:pPr>
    <w:rPr>
      <w:b/>
      <w:color w:val="173B8F"/>
      <w:sz w:val="29"/>
    </w:rPr>
  </w:style>
  <w:style w:type="paragraph" w:styleId="Heading2">
    <w:name w:val="heading 2"/>
    <w:basedOn w:val="Normal"/>
    <w:pPr>
      <w:keepNext/>
      <w:spacing w:before="200" w:after="90"/>
    </w:pPr>
    <w:rPr>
      <w:b/>
      <w:color w:val="334E8C"/>
      <w:sz w:val="24"/>
    </w:rPr>
  </w:style>
  <w:style w:type="paragraph" w:styleId="Callout">
    <w:name w:val="Callout"/>
    <w:basedOn w:val="Normal"/>
    <w:pPr>
      <w:shd w:val="clear" w:fill="EEF3FF"/>
      <w:spacing w:before="100" w:after="160"/>
      <w:ind w:left="180" w:right="180"/>
    </w:pPr>
    <w:rPr>
      <w:b/>
      <w:color w:val="173B8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Flock Commercial Viability Analysis - WITH WHATSAPP AUTOMATION</dc:title>
  <dc:creator>Flock</dc:creator>
  <dc:subject>Scalability, commercialization and break-even analysis</dc:subject>
  <dcterms:created xsi:type="dcterms:W3CDTF">2026-07-22T00:00:00Z</dcterms:created>
  <dcterms:modified xsi:type="dcterms:W3CDTF">2026-07-22T00:00:00Z</dcterms:modified>
</cp:coreProperties>
</file>