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line="276"/>
        <w:jc w:val="left"/>
      </w:pPr>
      <w:r>
        <w:rPr>
          <w:rFonts w:ascii="Arial" w:cs="Arial" w:eastAsia="Arial" w:hAnsi="Arial"/>
          <w:sz w:val="22"/>
          <w:szCs w:val="22"/>
        </w:rPr>
        <w:t xml:space="preserve"/>
      </w:r>
    </w:p>
    <w:p>
      <w:pPr>
        <w:spacing w:after="160" w:before="0" w:line="276"/>
        <w:jc w:val="center"/>
      </w:pPr>
      <w:r>
        <w:rPr>
          <w:rFonts w:ascii="Arial" w:cs="Arial" w:eastAsia="Arial" w:hAnsi="Arial"/>
          <w:b/>
          <w:bCs/>
          <w:color w:val="1B3A5C"/>
          <w:sz w:val="36"/>
          <w:szCs w:val="36"/>
        </w:rPr>
        <w:t xml:space="preserve">Simulating Pharmaceutical Supply Chain Resilience with Agent-Based Modeling</w:t>
      </w:r>
    </w:p>
    <w:p>
      <w:pPr>
        <w:spacing w:after="80" w:before="0" w:line="276"/>
        <w:jc w:val="left"/>
      </w:pPr>
      <w:r>
        <w:rPr>
          <w:rFonts w:ascii="Arial" w:cs="Arial" w:eastAsia="Arial" w:hAnsi="Arial"/>
          <w:sz w:val="22"/>
          <w:szCs w:val="22"/>
        </w:rPr>
        <w:t xml:space="preserve"/>
      </w:r>
    </w:p>
    <w:p>
      <w:pPr>
        <w:spacing w:after="400" w:before="0" w:line="276"/>
        <w:jc w:val="center"/>
      </w:pPr>
      <w:r>
        <w:rPr>
          <w:rFonts w:ascii="Arial" w:cs="Arial" w:eastAsia="Arial" w:hAnsi="Arial"/>
          <w:i/>
          <w:iCs/>
          <w:color w:val="888888"/>
          <w:sz w:val="24"/>
          <w:szCs w:val="24"/>
        </w:rPr>
        <w:t xml:space="preserve">How Autonomous AI Agents Reduce Drug Shortages, Cold-Chain Spoilage, and Regulatory Risk</w:t>
      </w:r>
    </w:p>
    <w:p>
      <w:pPr>
        <w:spacing w:after="100" w:before="0" w:line="276"/>
        <w:jc w:val="center"/>
      </w:pPr>
      <w:r>
        <w:rPr>
          <w:rFonts w:ascii="Arial" w:cs="Arial" w:eastAsia="Arial" w:hAnsi="Arial"/>
          <w:color w:val="888888"/>
          <w:sz w:val="20"/>
          <w:szCs w:val="20"/>
        </w:rPr>
        <w:t xml:space="preserve">April 2026  |  Pharma Supply Chain Navigator  |  Validation Report v2.0</w:t>
      </w:r>
    </w:p>
    <w:p>
      <w:pPr>
        <w:spacing w:after="220" w:before="0" w:line="276"/>
        <w:jc w:val="center"/>
      </w:pPr>
      <w:r>
        <w:rPr>
          <w:rFonts w:ascii="Arial" w:cs="Arial" w:eastAsia="Arial" w:hAnsi="Arial"/>
          <w:color w:val="888888"/>
          <w:sz w:val="18"/>
          <w:szCs w:val="18"/>
        </w:rPr>
        <w:t xml:space="preserve">Monte Carlo: 30 stochastic seeds × 5 disruption scenarios × 2 configurations (AI On / Off)</w:t>
      </w:r>
    </w:p>
    <w:p>
      <w:r>
        <w:br w:type="page"/>
      </w:r>
    </w:p>
    <w:p>
      <w:pPr>
        <w:pStyle w:val="Heading1"/>
      </w:pPr>
      <w:r>
        <w:t xml:space="preserve">1. Problem Statement: The Fragility of Modern Pharma Supply Chains</w:t>
      </w:r>
    </w:p>
    <w:p>
      <w:pPr>
        <w:spacing w:after="220" w:before="0" w:line="276"/>
        <w:jc w:val="left"/>
      </w:pPr>
      <w:r>
        <w:rPr>
          <w:rFonts w:ascii="Arial" w:cs="Arial" w:eastAsia="Arial" w:hAnsi="Arial"/>
          <w:sz w:val="22"/>
          <w:szCs w:val="22"/>
        </w:rPr>
        <w:t xml:space="preserve">The pharmaceutical supply chain is one of the most complex and consequential logistics networks in the global economy. A single disruption—an export ban in India, a pandemic lockdown in Wuhan, a ransomware attack on a contract manufacturer—can cascade through six or more tiers of suppliers within weeks, leaving patients without life-saving medications. </w:t>
      </w:r>
      <w:r>
        <w:rPr>
          <w:rFonts w:ascii="Arial" w:cs="Arial" w:eastAsia="Arial" w:hAnsi="Arial"/>
          <w:b/>
          <w:bCs/>
          <w:sz w:val="22"/>
          <w:szCs w:val="22"/>
        </w:rPr>
        <w:t xml:space="preserve">The FDA reported over 300 active drug shortages at any given time in 2024</w:t>
      </w:r>
      <w:r>
        <w:rPr>
          <w:rFonts w:ascii="Arial" w:cs="Arial" w:eastAsia="Arial" w:hAnsi="Arial"/>
          <w:sz w:val="22"/>
          <w:szCs w:val="22"/>
        </w:rPr>
        <w:t xml:space="preserve">, a figure that has risen steadily since 2018.</w:t>
      </w:r>
    </w:p>
    <w:p>
      <w:pPr>
        <w:spacing w:after="220" w:before="0" w:line="276"/>
        <w:jc w:val="left"/>
      </w:pPr>
      <w:r>
        <w:rPr>
          <w:rFonts w:ascii="Arial" w:cs="Arial" w:eastAsia="Arial" w:hAnsi="Arial"/>
          <w:sz w:val="22"/>
          <w:szCs w:val="22"/>
        </w:rPr>
        <w:t xml:space="preserve">Traditional supply chain management tools—discrete event simulation (DES), spreadsheet-based safety stock models, and static risk matrices—suffer from three fundamental limitations that compound this fragility:</w:t>
      </w:r>
    </w:p>
    <w:p>
      <w:pPr>
        <w:spacing w:after="220" w:before="0" w:line="276"/>
        <w:jc w:val="left"/>
      </w:pPr>
      <w:r>
        <w:rPr>
          <w:rFonts w:ascii="Arial" w:cs="Arial" w:eastAsia="Arial" w:hAnsi="Arial"/>
          <w:b/>
          <w:bCs/>
          <w:sz w:val="22"/>
          <w:szCs w:val="22"/>
        </w:rPr>
        <w:t xml:space="preserve">Cascade opacity. </w:t>
      </w:r>
      <w:r>
        <w:rPr>
          <w:rFonts w:ascii="Arial" w:cs="Arial" w:eastAsia="Arial" w:hAnsi="Arial"/>
          <w:sz w:val="22"/>
          <w:szCs w:val="22"/>
        </w:rPr>
        <w:t xml:space="preserve">DES models treat the supply chain as a linear flow of materials through deterministic nodes. They cannot capture the non-linear feedback loops that drive real disruptions: a Tier 2 API supplier in Gujarat choosing to stockpile rather than ship, a distributor in Frankfurt rerouting cold-chain shipments based on local intelligence, or an autonomous inventory system triggering emergency lateral transfers. When a disruption hits Tier 3 raw materials, its downstream impact may not manifest at the pharmacy counter for 6–12 weeks—by which time the intervention window has closed.</w:t>
      </w:r>
    </w:p>
    <w:p>
      <w:pPr>
        <w:spacing w:after="220" w:before="0" w:line="276"/>
        <w:jc w:val="left"/>
      </w:pPr>
      <w:r>
        <w:rPr>
          <w:rFonts w:ascii="Arial" w:cs="Arial" w:eastAsia="Arial" w:hAnsi="Arial"/>
          <w:b/>
          <w:bCs/>
          <w:sz w:val="22"/>
          <w:szCs w:val="22"/>
        </w:rPr>
        <w:t xml:space="preserve">Geographic concentration risk. </w:t>
      </w:r>
      <w:r>
        <w:rPr>
          <w:rFonts w:ascii="Arial" w:cs="Arial" w:eastAsia="Arial" w:hAnsi="Arial"/>
          <w:sz w:val="22"/>
          <w:szCs w:val="22"/>
        </w:rPr>
        <w:t xml:space="preserve">India and China together account for approximately 70% of global active pharmaceutical ingredient (API) production. This concentration creates systemic single-points-of-failure analogous to the Strait of Hormuz in oil markets. Yet traditional risk models evaluate suppliers individually rather than as a correlated network, systematically underestimating the probability of simultaneous multi-node failures.</w:t>
      </w:r>
    </w:p>
    <w:p>
      <w:pPr>
        <w:spacing w:after="220" w:before="0" w:line="276"/>
        <w:jc w:val="left"/>
      </w:pPr>
      <w:r>
        <w:rPr>
          <w:rFonts w:ascii="Arial" w:cs="Arial" w:eastAsia="Arial" w:hAnsi="Arial"/>
          <w:b/>
          <w:bCs/>
          <w:sz w:val="22"/>
          <w:szCs w:val="22"/>
        </w:rPr>
        <w:t xml:space="preserve">Decision fragmentation. </w:t>
      </w:r>
      <w:r>
        <w:rPr>
          <w:rFonts w:ascii="Arial" w:cs="Arial" w:eastAsia="Arial" w:hAnsi="Arial"/>
          <w:sz w:val="22"/>
          <w:szCs w:val="22"/>
        </w:rPr>
        <w:t xml:space="preserve">Demand forecasting, cold-chain monitoring, batch quality review, regulatory compliance, and inventory rebalancing are managed by siloed teams using disconnected tools. No unified framework exists to simulate the interaction between these functions—or to test intervention strategies before deploying them.</w:t>
      </w:r>
    </w:p>
    <w:p>
      <w:pPr>
        <w:spacing w:after="220" w:before="0" w:line="276"/>
        <w:jc w:val="left"/>
      </w:pPr>
      <w:r>
        <w:rPr>
          <w:rFonts w:ascii="Arial" w:cs="Arial" w:eastAsia="Arial" w:hAnsi="Arial"/>
          <w:sz w:val="22"/>
          <w:szCs w:val="22"/>
        </w:rPr>
        <w:t xml:space="preserve">Our simulation quantifies this problem. </w:t>
      </w:r>
      <w:r>
        <w:rPr>
          <w:rFonts w:ascii="Arial" w:cs="Arial" w:eastAsia="Arial" w:hAnsi="Arial"/>
          <w:b/>
          <w:bCs/>
          <w:sz w:val="22"/>
          <w:szCs w:val="22"/>
        </w:rPr>
        <w:t xml:space="preserve">Across five realistic disruption scenarios, a traditional supply chain without AI-augmented agents achieves an average service level of only 57.7%, with service-level floors plummeting to 8.4% during peak disruptions. </w:t>
      </w:r>
      <w:r>
        <w:rPr>
          <w:rFonts w:ascii="Arial" w:cs="Arial" w:eastAsia="Arial" w:hAnsi="Arial"/>
          <w:sz w:val="22"/>
          <w:szCs w:val="22"/>
        </w:rPr>
        <w:t xml:space="preserve">Over a 52-week horizon, this translates to 34,644 unfilled prescriptions, 1,252 spoiled units from cold-chain failures, and 35.5 compliance violations triggering 34.5 product recalls.</w:t>
      </w:r>
    </w:p>
    <w:p>
      <w:r>
        <w:br w:type="page"/>
      </w:r>
    </w:p>
    <w:p>
      <w:pPr>
        <w:pStyle w:val="Heading1"/>
      </w:pPr>
      <w:r>
        <w:t xml:space="preserve">2. Definitions: Grounding the Core Concepts</w:t>
      </w:r>
    </w:p>
    <w:p>
      <w:pPr>
        <w:spacing w:after="220" w:before="0" w:line="276"/>
        <w:jc w:val="left"/>
      </w:pPr>
      <w:r>
        <w:rPr>
          <w:rFonts w:ascii="Arial" w:cs="Arial" w:eastAsia="Arial" w:hAnsi="Arial"/>
          <w:sz w:val="22"/>
          <w:szCs w:val="22"/>
        </w:rPr>
        <w:t xml:space="preserve">Before presenting the methodology, we define the key technical concepts that underpin the simulation.</w:t>
      </w:r>
    </w:p>
    <w:p>
      <w:pPr>
        <w:spacing w:after="220" w:before="0" w:line="276"/>
        <w:jc w:val="left"/>
      </w:pPr>
      <w:r>
        <w:rPr>
          <w:rFonts w:ascii="Arial" w:cs="Arial" w:eastAsia="Arial" w:hAnsi="Arial"/>
          <w:b/>
          <w:bCs/>
          <w:sz w:val="22"/>
          <w:szCs w:val="22"/>
        </w:rPr>
        <w:t xml:space="preserve">Agent-Based Modeling (ABM). </w:t>
      </w:r>
      <w:r>
        <w:rPr>
          <w:rFonts w:ascii="Arial" w:cs="Arial" w:eastAsia="Arial" w:hAnsi="Arial"/>
          <w:sz w:val="22"/>
          <w:szCs w:val="22"/>
        </w:rPr>
        <w:t xml:space="preserve">A bottom-up computational methodology in which autonomous virtual “agents”—each with its own state, decision rules, and interaction protocols—simulate complex systems. Unlike top-down approaches (DES, system dynamics), ABM captures emergent macro-level behaviors arising from micro-level agent interactions, including feedback loops, herd behavior, and cascade propagation.</w:t>
      </w:r>
    </w:p>
    <w:p>
      <w:pPr>
        <w:spacing w:after="220" w:before="0" w:line="276"/>
        <w:jc w:val="left"/>
      </w:pPr>
      <w:r>
        <w:rPr>
          <w:rFonts w:ascii="Arial" w:cs="Arial" w:eastAsia="Arial" w:hAnsi="Arial"/>
          <w:b/>
          <w:bCs/>
          <w:sz w:val="22"/>
          <w:szCs w:val="22"/>
        </w:rPr>
        <w:t xml:space="preserve">Service Level. </w:t>
      </w:r>
      <w:r>
        <w:rPr>
          <w:rFonts w:ascii="Arial" w:cs="Arial" w:eastAsia="Arial" w:hAnsi="Arial"/>
          <w:sz w:val="22"/>
          <w:szCs w:val="22"/>
        </w:rPr>
        <w:t xml:space="preserve">The ratio of fulfilled demand to total demand at the distributor-to-pharmacy interface, expressed as a percentage. A service level of 95% means 5% of prescriptions could not be filled from available inventory. Our target threshold is 85%; sustained operation below this level constitutes a shortage crisis.</w:t>
      </w:r>
    </w:p>
    <w:p>
      <w:pPr>
        <w:spacing w:after="220" w:before="0" w:line="276"/>
        <w:jc w:val="left"/>
      </w:pPr>
      <w:r>
        <w:rPr>
          <w:rFonts w:ascii="Arial" w:cs="Arial" w:eastAsia="Arial" w:hAnsi="Arial"/>
          <w:b/>
          <w:bCs/>
          <w:sz w:val="22"/>
          <w:szCs w:val="22"/>
        </w:rPr>
        <w:t xml:space="preserve">Mean Absolute Percentage Error (MAPE). </w:t>
      </w:r>
      <w:r>
        <w:rPr>
          <w:rFonts w:ascii="Arial" w:cs="Arial" w:eastAsia="Arial" w:hAnsi="Arial"/>
          <w:sz w:val="22"/>
          <w:szCs w:val="22"/>
        </w:rPr>
        <w:t xml:space="preserve">The standard metric for demand forecast accuracy, defined as MAPE = (1/n) × Σ|Actual − Forecast| / Actual. Industry baseline for pharmaceutical demand forecasting is approximately 11.7%. AI-augmented forecasting reduces this to approximately 6.0%—a 49% improvement that directly reduces safety stock requirements and enables earlier shortage detection.</w:t>
      </w:r>
    </w:p>
    <w:p>
      <w:pPr>
        <w:spacing w:after="220" w:before="0" w:line="276"/>
        <w:jc w:val="left"/>
      </w:pPr>
      <w:r>
        <w:rPr>
          <w:rFonts w:ascii="Arial" w:cs="Arial" w:eastAsia="Arial" w:hAnsi="Arial"/>
          <w:b/>
          <w:bCs/>
          <w:sz w:val="22"/>
          <w:szCs w:val="22"/>
        </w:rPr>
        <w:t xml:space="preserve">Risk-Based Evaluation (RBE). </w:t>
      </w:r>
      <w:r>
        <w:rPr>
          <w:rFonts w:ascii="Arial" w:cs="Arial" w:eastAsia="Arial" w:hAnsi="Arial"/>
          <w:sz w:val="22"/>
          <w:szCs w:val="22"/>
        </w:rPr>
        <w:t xml:space="preserve">An FDA-endorsed regulatory framework (ICH Q12) that replaces traditional batch-by-batch manual quality review with AI-augmented risk assessment. RBE reduces review time from approximately 8 hours to 2 hours per batch while improving deviation catch rates from 75% (manual) to 97% (automated), reducing false negatives that lead to contamination events and recalls.</w:t>
      </w:r>
    </w:p>
    <w:p>
      <w:pPr>
        <w:spacing w:after="220" w:before="0" w:line="276"/>
        <w:jc w:val="left"/>
      </w:pPr>
      <w:r>
        <w:rPr>
          <w:rFonts w:ascii="Arial" w:cs="Arial" w:eastAsia="Arial" w:hAnsi="Arial"/>
          <w:b/>
          <w:bCs/>
          <w:sz w:val="22"/>
          <w:szCs w:val="22"/>
        </w:rPr>
        <w:t xml:space="preserve">Monte Carlo Simulation. </w:t>
      </w:r>
      <w:r>
        <w:rPr>
          <w:rFonts w:ascii="Arial" w:cs="Arial" w:eastAsia="Arial" w:hAnsi="Arial"/>
          <w:sz w:val="22"/>
          <w:szCs w:val="22"/>
        </w:rPr>
        <w:t xml:space="preserve">A computational technique that runs the same model thousands of times with different random seeds to generate probability distributions for key outcomes. Rather than producing a single deterministic forecast, Monte Carlo analysis yields percentile bands (P5–P95) that quantify the range of possible outcomes, enabling risk-aware decision-making.</w:t>
      </w:r>
    </w:p>
    <w:p>
      <w:pPr>
        <w:spacing w:after="220" w:before="0" w:line="276"/>
        <w:jc w:val="left"/>
      </w:pPr>
      <w:r>
        <w:rPr>
          <w:rFonts w:ascii="Arial" w:cs="Arial" w:eastAsia="Arial" w:hAnsi="Arial"/>
          <w:b/>
          <w:bCs/>
          <w:sz w:val="22"/>
          <w:szCs w:val="22"/>
        </w:rPr>
        <w:t xml:space="preserve">Betweenness Centrality. </w:t>
      </w:r>
      <w:r>
        <w:rPr>
          <w:rFonts w:ascii="Arial" w:cs="Arial" w:eastAsia="Arial" w:hAnsi="Arial"/>
          <w:sz w:val="22"/>
          <w:szCs w:val="22"/>
        </w:rPr>
        <w:t xml:space="preserve">A graph-theoretic measure (Brandes’ algorithm) that quantifies how often a node lies on the shortest path between other nodes. In supply-chain networks, high-centrality nodes are single points of failure: removing them fragments the network into disconnected components, isolating downstream pharmacies from upstream material flow.</w:t>
      </w:r>
    </w:p>
    <w:p>
      <w:pPr>
        <w:spacing w:after="220" w:before="0" w:line="276"/>
        <w:jc w:val="left"/>
      </w:pPr>
      <w:r>
        <w:rPr>
          <w:rFonts w:ascii="Arial" w:cs="Arial" w:eastAsia="Arial" w:hAnsi="Arial"/>
          <w:b/>
          <w:bCs/>
          <w:sz w:val="22"/>
          <w:szCs w:val="22"/>
        </w:rPr>
        <w:t xml:space="preserve">Cold-Chain Integrity. </w:t>
      </w:r>
      <w:r>
        <w:rPr>
          <w:rFonts w:ascii="Arial" w:cs="Arial" w:eastAsia="Arial" w:hAnsi="Arial"/>
          <w:sz w:val="22"/>
          <w:szCs w:val="22"/>
        </w:rPr>
        <w:t xml:space="preserve">The unbroken maintenance of required temperature conditions (typically 2–8°C for biologics) throughout the pharmaceutical logistics chain. Breaches cause product degradation; the baseline breach rate is approximately 8–10% of shipments, with spoilage rates of 25–30% per breached shipment.</w:t>
      </w:r>
    </w:p>
    <w:p>
      <w:r>
        <w:br w:type="page"/>
      </w:r>
    </w:p>
    <w:p>
      <w:pPr>
        <w:pStyle w:val="Heading1"/>
      </w:pPr>
      <w:r>
        <w:t xml:space="preserve">3. Methodology: The ABM Simulation Framework</w:t>
      </w:r>
    </w:p>
    <w:p>
      <w:pPr>
        <w:pStyle w:val="Heading2"/>
      </w:pPr>
      <w:r>
        <w:t xml:space="preserve">3.1 Network Topology and Agent Classes</w:t>
      </w:r>
    </w:p>
    <w:p>
      <w:pPr>
        <w:spacing w:after="220" w:before="0" w:line="276"/>
        <w:jc w:val="left"/>
      </w:pPr>
      <w:r>
        <w:rPr>
          <w:rFonts w:ascii="Arial" w:cs="Arial" w:eastAsia="Arial" w:hAnsi="Arial"/>
          <w:sz w:val="22"/>
          <w:szCs w:val="22"/>
        </w:rPr>
        <w:t xml:space="preserve">The simulation constructs a directed acyclic graph with </w:t>
      </w:r>
      <w:r>
        <w:rPr>
          <w:rFonts w:ascii="Arial" w:cs="Arial" w:eastAsia="Arial" w:hAnsi="Arial"/>
          <w:b/>
          <w:bCs/>
          <w:sz w:val="22"/>
          <w:szCs w:val="22"/>
        </w:rPr>
        <w:t xml:space="preserve">59 autonomous agents</w:t>
      </w:r>
      <w:r>
        <w:rPr>
          <w:rFonts w:ascii="Arial" w:cs="Arial" w:eastAsia="Arial" w:hAnsi="Arial"/>
          <w:sz w:val="22"/>
          <w:szCs w:val="22"/>
        </w:rPr>
        <w:t xml:space="preserve"> across six tiers: 10 Tier 3 raw-material suppliers (China, India, Brazil), 15 Tier 2 API-intermediate manufacturers (India, China, Israel), 5 Tier 1 finished-API producers (India, Ireland, US, Switzerland, Germany), 3 drug manufacturers, 6 distributors, and 20 pharmacies. Geographic distribution is calibrated against GDELT geopolitical risk indices and FDA drug shortage databases.</w:t>
      </w:r>
    </w:p>
    <w:p>
      <w:pPr>
        <w:spacing w:after="220" w:before="0" w:line="276"/>
        <w:jc w:val="left"/>
      </w:pPr>
      <w:r>
        <w:rPr>
          <w:rFonts w:ascii="Arial" w:cs="Arial" w:eastAsia="Arial" w:hAnsi="Arial"/>
          <w:sz w:val="22"/>
          <w:szCs w:val="22"/>
        </w:rPr>
        <w:t xml:space="preserve">Each agent class implements three methods:</w:t>
      </w:r>
    </w:p>
    <w:p>
      <w:pPr>
        <w:spacing w:after="220" w:before="0" w:line="276"/>
        <w:jc w:val="left"/>
      </w:pPr>
      <w:r>
        <w:rPr>
          <w:rFonts w:ascii="Arial" w:cs="Arial" w:eastAsia="Arial" w:hAnsi="Arial"/>
          <w:b/>
          <w:bCs/>
          <w:sz w:val="22"/>
          <w:szCs w:val="22"/>
        </w:rPr>
        <w:t xml:space="preserve">decide()</w:t>
      </w:r>
      <w:r>
        <w:rPr>
          <w:rFonts w:ascii="Arial" w:cs="Arial" w:eastAsia="Arial" w:hAnsi="Arial"/>
          <w:sz w:val="22"/>
          <w:szCs w:val="22"/>
        </w:rPr>
        <w:t xml:space="preserve"> — evaluates local state and environment to choose an action (e.g., a supplier deciding production volume based on disruption status, a distributor choosing forecast-driven order quantities).</w:t>
      </w:r>
    </w:p>
    <w:p>
      <w:pPr>
        <w:spacing w:after="220" w:before="0" w:line="276"/>
        <w:jc w:val="left"/>
      </w:pPr>
      <w:r>
        <w:rPr>
          <w:rFonts w:ascii="Arial" w:cs="Arial" w:eastAsia="Arial" w:hAnsi="Arial"/>
          <w:b/>
          <w:bCs/>
          <w:sz w:val="22"/>
          <w:szCs w:val="22"/>
        </w:rPr>
        <w:t xml:space="preserve">update()</w:t>
      </w:r>
      <w:r>
        <w:rPr>
          <w:rFonts w:ascii="Arial" w:cs="Arial" w:eastAsia="Arial" w:hAnsi="Arial"/>
          <w:sz w:val="22"/>
          <w:szCs w:val="22"/>
        </w:rPr>
        <w:t xml:space="preserve"> — executes the chosen action and modifies local state (inventory, equipment health, quality score).</w:t>
      </w:r>
    </w:p>
    <w:p>
      <w:pPr>
        <w:spacing w:after="220" w:before="0" w:line="276"/>
        <w:jc w:val="left"/>
      </w:pPr>
      <w:r>
        <w:rPr>
          <w:rFonts w:ascii="Arial" w:cs="Arial" w:eastAsia="Arial" w:hAnsi="Arial"/>
          <w:b/>
          <w:bCs/>
          <w:sz w:val="22"/>
          <w:szCs w:val="22"/>
        </w:rPr>
        <w:t xml:space="preserve">interact()</w:t>
      </w:r>
      <w:r>
        <w:rPr>
          <w:rFonts w:ascii="Arial" w:cs="Arial" w:eastAsia="Arial" w:hAnsi="Arial"/>
          <w:sz w:val="22"/>
          <w:szCs w:val="22"/>
        </w:rPr>
        <w:t xml:space="preserve"> — passes outputs to downstream agents (material flow) and receives inputs from upstream agents, creating the cascade dynamics that drive emergent behavior.</w:t>
      </w:r>
    </w:p>
    <w:p>
      <w:pPr>
        <w:pStyle w:val="Heading2"/>
      </w:pPr>
      <w:r>
        <w:t xml:space="preserve">3.2 Six Use Cases and Their Mathematical Formulations</w:t>
      </w:r>
    </w:p>
    <w:p>
      <w:pPr>
        <w:spacing w:after="220" w:before="0" w:line="276"/>
        <w:jc w:val="left"/>
      </w:pPr>
      <w:r>
        <w:rPr>
          <w:rFonts w:ascii="Arial" w:cs="Arial" w:eastAsia="Arial" w:hAnsi="Arial"/>
          <w:b/>
          <w:bCs/>
          <w:sz w:val="22"/>
          <w:szCs w:val="22"/>
        </w:rPr>
        <w:t xml:space="preserve">UC1 — Vulnerability Mapping. </w:t>
      </w:r>
      <w:r>
        <w:rPr>
          <w:rFonts w:ascii="Arial" w:cs="Arial" w:eastAsia="Arial" w:hAnsi="Arial"/>
          <w:sz w:val="22"/>
          <w:szCs w:val="22"/>
        </w:rPr>
        <w:t xml:space="preserve">Betweenness centrality C_B(v) is computed via Brandes’ algorithm in O(VE) time. Network fragmentation is assessed by iteratively removing high-centrality nodes and counting connected components. Regional concentration risk is quantified as HHI = Σ(s_i²), where s_i is region i’s share of total supplier count. An HHI above 0.25 indicates dangerous concentration.</w:t>
      </w:r>
    </w:p>
    <w:p>
      <w:pPr>
        <w:spacing w:after="220" w:before="0" w:line="276"/>
        <w:jc w:val="left"/>
      </w:pPr>
      <w:r>
        <w:rPr>
          <w:rFonts w:ascii="Arial" w:cs="Arial" w:eastAsia="Arial" w:hAnsi="Arial"/>
          <w:b/>
          <w:bCs/>
          <w:sz w:val="22"/>
          <w:szCs w:val="22"/>
        </w:rPr>
        <w:t xml:space="preserve">UC2 — Scenario Testing. </w:t>
      </w:r>
      <w:r>
        <w:rPr>
          <w:rFonts w:ascii="Arial" w:cs="Arial" w:eastAsia="Arial" w:hAnsi="Arial"/>
          <w:sz w:val="22"/>
          <w:szCs w:val="22"/>
        </w:rPr>
        <w:t xml:space="preserve">Five pre-configured disruption scenarios inject shocks at specific tiers with defined severity α (fraction of agents disrupted, 0.2–0.5) and duration τ (4–16 weeks). Disrupted agents operate at 25% capacity (rate × 0.25) and recover at 15% per week: capacity(t) = min(1.0, capacity(t-1) × 1.15). Monte Carlo analysis (30 seeds) generates P5/P25/P50/P75/P95 percentile bands for service level and inventory trajectories.</w:t>
      </w:r>
    </w:p>
    <w:p>
      <w:pPr>
        <w:spacing w:after="220" w:before="0" w:line="276"/>
        <w:jc w:val="left"/>
      </w:pPr>
      <w:r>
        <w:rPr>
          <w:rFonts w:ascii="Arial" w:cs="Arial" w:eastAsia="Arial" w:hAnsi="Arial"/>
          <w:b/>
          <w:bCs/>
          <w:sz w:val="22"/>
          <w:szCs w:val="22"/>
        </w:rPr>
        <w:t xml:space="preserve">UC3 — Shortage Prediction. </w:t>
      </w:r>
      <w:r>
        <w:rPr>
          <w:rFonts w:ascii="Arial" w:cs="Arial" w:eastAsia="Arial" w:hAnsi="Arial"/>
          <w:sz w:val="22"/>
          <w:szCs w:val="22"/>
        </w:rPr>
        <w:t xml:space="preserve">AI-augmented forecasting models demand as D(t) = D_base × Seasonality(t mod 12) × (1 + ε), where ε ~ N(0, MAPE). The AI agent reduces MAPE from 0.117 to 0.060, halving forecast error. When days-of-supply = Inventory / (Daily_Demand) falls below 14, the system issues a shortage alert and activates contingency protocols.</w:t>
      </w:r>
    </w:p>
    <w:p>
      <w:pPr>
        <w:spacing w:after="220" w:before="0" w:line="276"/>
        <w:jc w:val="left"/>
      </w:pPr>
      <w:r>
        <w:rPr>
          <w:rFonts w:ascii="Arial" w:cs="Arial" w:eastAsia="Arial" w:hAnsi="Arial"/>
          <w:b/>
          <w:bCs/>
          <w:sz w:val="22"/>
          <w:szCs w:val="22"/>
        </w:rPr>
        <w:t xml:space="preserve">UC4 — Inventory Balancing. </w:t>
      </w:r>
      <w:r>
        <w:rPr>
          <w:rFonts w:ascii="Arial" w:cs="Arial" w:eastAsia="Arial" w:hAnsi="Arial"/>
          <w:sz w:val="22"/>
          <w:szCs w:val="22"/>
        </w:rPr>
        <w:t xml:space="preserve">An autonomous inventory agent monitors days-of-supply across all distributors. When any distributor falls below 7 days, the agent identifies surplus nodes (&gt;21 days) and executes lateral transfers of up to 15% of surplus inventory. Transfer volume is capped at min(Surplus × 0.15, Deficit_Forecast × 7) to prevent over-correction.</w:t>
      </w:r>
    </w:p>
    <w:p>
      <w:pPr>
        <w:spacing w:after="220" w:before="0" w:line="276"/>
        <w:jc w:val="left"/>
      </w:pPr>
      <w:r>
        <w:rPr>
          <w:rFonts w:ascii="Arial" w:cs="Arial" w:eastAsia="Arial" w:hAnsi="Arial"/>
          <w:b/>
          <w:bCs/>
          <w:sz w:val="22"/>
          <w:szCs w:val="22"/>
        </w:rPr>
        <w:t xml:space="preserve">UC5 — Cold Chain Monitoring. </w:t>
      </w:r>
      <w:r>
        <w:rPr>
          <w:rFonts w:ascii="Arial" w:cs="Arial" w:eastAsia="Arial" w:hAnsi="Arial"/>
          <w:sz w:val="22"/>
          <w:szCs w:val="22"/>
        </w:rPr>
        <w:t xml:space="preserve">Temperature-sensitive shipments are subject to stochastic breach events with probability P_breach. Without AI: P_breach = 0.10, spoilage_rate = 0.30. With AI-enabled IoT monitoring: P_breach = 0.04, spoilage_rate = 0.08. The expected spoilage per shipment is E[Spoilage] = P_breach × spoilage_rate × shipment_volume. AI reduces expected spoilage by 84.7% across all scenarios.</w:t>
      </w:r>
    </w:p>
    <w:p>
      <w:pPr>
        <w:spacing w:after="220" w:before="0" w:line="276"/>
        <w:jc w:val="left"/>
      </w:pPr>
      <w:r>
        <w:rPr>
          <w:rFonts w:ascii="Arial" w:cs="Arial" w:eastAsia="Arial" w:hAnsi="Arial"/>
          <w:b/>
          <w:bCs/>
          <w:sz w:val="22"/>
          <w:szCs w:val="22"/>
        </w:rPr>
        <w:t xml:space="preserve">UC6 — Compliance Automation. </w:t>
      </w:r>
      <w:r>
        <w:rPr>
          <w:rFonts w:ascii="Arial" w:cs="Arial" w:eastAsia="Arial" w:hAnsi="Arial"/>
          <w:sz w:val="22"/>
          <w:szCs w:val="22"/>
        </w:rPr>
        <w:t xml:space="preserve">RBE reduces batch review time from 8 to 2 hours (75% reduction). The AI quality system catches 97% of deviations versus 75% manually. The batch failure rate is modeled as P_fail = 1 − P_QC_pass, where P_QC_pass = 0.97 (RBE) vs. 0.75 (manual). Predictive maintenance resets equipment health at 55% threshold, preventing cascading failures. The regulator agent audits every 4 weeks; violations trigger capacity penalties and, above threshold, product recalls.</w:t>
      </w:r>
    </w:p>
    <w:p>
      <w:r>
        <w:br w:type="page"/>
      </w:r>
    </w:p>
    <w:p>
      <w:pPr>
        <w:pStyle w:val="Heading1"/>
      </w:pPr>
      <w:r>
        <w:t xml:space="preserve">4. Architecture: Browser-Native Engine with Cloud-Scale Monte Carlo</w:t>
      </w:r>
    </w:p>
    <w:p>
      <w:pPr>
        <w:pStyle w:val="Heading2"/>
      </w:pPr>
      <w:r>
        <w:t xml:space="preserve">4.1 Client-Side Simulation Engine</w:t>
      </w:r>
    </w:p>
    <w:p>
      <w:pPr>
        <w:spacing w:after="220" w:before="0" w:line="276"/>
        <w:jc w:val="left"/>
      </w:pPr>
      <w:r>
        <w:rPr>
          <w:rFonts w:ascii="Arial" w:cs="Arial" w:eastAsia="Arial" w:hAnsi="Arial"/>
          <w:sz w:val="22"/>
          <w:szCs w:val="22"/>
        </w:rPr>
        <w:t xml:space="preserve">The core ABM is implemented in </w:t>
      </w:r>
      <w:r>
        <w:rPr>
          <w:rFonts w:ascii="Arial" w:cs="Arial" w:eastAsia="Arial" w:hAnsi="Arial"/>
          <w:b/>
          <w:bCs/>
          <w:sz w:val="22"/>
          <w:szCs w:val="22"/>
        </w:rPr>
        <w:t xml:space="preserve">TypeScript (~900 lines)</w:t>
      </w:r>
      <w:r>
        <w:rPr>
          <w:rFonts w:ascii="Arial" w:cs="Arial" w:eastAsia="Arial" w:hAnsi="Arial"/>
          <w:sz w:val="22"/>
          <w:szCs w:val="22"/>
        </w:rPr>
        <w:t xml:space="preserve"> running entirely in-browser on a React 18 / Vite / Tailwind CSS stack. Key architectural decisions:</w:t>
      </w:r>
    </w:p>
    <w:p>
      <w:pPr>
        <w:spacing w:after="220" w:before="0" w:line="276"/>
        <w:jc w:val="left"/>
      </w:pPr>
      <w:r>
        <w:rPr>
          <w:rFonts w:ascii="Arial" w:cs="Arial" w:eastAsia="Arial" w:hAnsi="Arial"/>
          <w:b/>
          <w:bCs/>
          <w:sz w:val="22"/>
          <w:szCs w:val="22"/>
        </w:rPr>
        <w:t xml:space="preserve">Seeded PRNG. </w:t>
      </w:r>
      <w:r>
        <w:rPr>
          <w:rFonts w:ascii="Arial" w:cs="Arial" w:eastAsia="Arial" w:hAnsi="Arial"/>
          <w:sz w:val="22"/>
          <w:szCs w:val="22"/>
        </w:rPr>
        <w:t xml:space="preserve">A Mulberry32-pattern pseudo-random number generator ensures bitwise-identical reproducibility across runs. Each Monte Carlo seed produces identical agent initializations, disruption events, and stochastic outcomes, enabling rigorous A/B comparison between AI-on and AI-off configurations.</w:t>
      </w:r>
    </w:p>
    <w:p>
      <w:pPr>
        <w:spacing w:after="220" w:before="0" w:line="276"/>
        <w:jc w:val="left"/>
      </w:pPr>
      <w:r>
        <w:rPr>
          <w:rFonts w:ascii="Arial" w:cs="Arial" w:eastAsia="Arial" w:hAnsi="Arial"/>
          <w:b/>
          <w:bCs/>
          <w:sz w:val="22"/>
          <w:szCs w:val="22"/>
        </w:rPr>
        <w:t xml:space="preserve">Zero-dependency simulation. </w:t>
      </w:r>
      <w:r>
        <w:rPr>
          <w:rFonts w:ascii="Arial" w:cs="Arial" w:eastAsia="Arial" w:hAnsi="Arial"/>
          <w:sz w:val="22"/>
          <w:szCs w:val="22"/>
        </w:rPr>
        <w:t xml:space="preserve">The ABM has no external runtime dependencies—no Python, no NumPy, no server. A single-scenario 52-week simulation completes in under 200ms on consumer hardware, enabling real-time parameter exploration through interactive sliders.</w:t>
      </w:r>
    </w:p>
    <w:p>
      <w:pPr>
        <w:spacing w:after="220" w:before="0" w:line="276"/>
        <w:jc w:val="left"/>
      </w:pPr>
      <w:r>
        <w:rPr>
          <w:rFonts w:ascii="Arial" w:cs="Arial" w:eastAsia="Arial" w:hAnsi="Arial"/>
          <w:b/>
          <w:bCs/>
          <w:sz w:val="22"/>
          <w:szCs w:val="22"/>
        </w:rPr>
        <w:t xml:space="preserve">Four-tab visualization dashboard. </w:t>
      </w:r>
      <w:r>
        <w:rPr>
          <w:rFonts w:ascii="Arial" w:cs="Arial" w:eastAsia="Arial" w:hAnsi="Arial"/>
          <w:sz w:val="22"/>
          <w:szCs w:val="22"/>
        </w:rPr>
        <w:t xml:space="preserve">Recharts-powered visualizations organized into Overview (KPIs + time series), Monte Carlo (percentile band charts + histograms), Agents (drill-down tables per snapshot week), and Network (topology flow diagram with disruption overlays).</w:t>
      </w:r>
    </w:p>
    <w:p>
      <w:pPr>
        <w:pStyle w:val="Heading2"/>
      </w:pPr>
      <w:r>
        <w:t xml:space="preserve">4.2 Cloud-Scale Execution (AWS Reference Architecture)</w:t>
      </w:r>
    </w:p>
    <w:p>
      <w:pPr>
        <w:spacing w:after="220" w:before="0" w:line="276"/>
        <w:jc w:val="left"/>
      </w:pPr>
      <w:r>
        <w:rPr>
          <w:rFonts w:ascii="Arial" w:cs="Arial" w:eastAsia="Arial" w:hAnsi="Arial"/>
          <w:sz w:val="22"/>
          <w:szCs w:val="22"/>
        </w:rPr>
        <w:t xml:space="preserve">For enterprise deployment, the architecture scales via AWS managed services:</w:t>
      </w:r>
    </w:p>
    <w:p>
      <w:pPr>
        <w:spacing w:after="220" w:before="0" w:line="276"/>
        <w:jc w:val="left"/>
      </w:pPr>
      <w:r>
        <w:rPr>
          <w:rFonts w:ascii="Arial" w:cs="Arial" w:eastAsia="Arial" w:hAnsi="Arial"/>
          <w:b/>
          <w:bCs/>
          <w:sz w:val="22"/>
          <w:szCs w:val="22"/>
        </w:rPr>
        <w:t xml:space="preserve">Ingestion. </w:t>
      </w:r>
      <w:r>
        <w:rPr>
          <w:rFonts w:ascii="Arial" w:cs="Arial" w:eastAsia="Arial" w:hAnsi="Arial"/>
          <w:sz w:val="22"/>
          <w:szCs w:val="22"/>
        </w:rPr>
        <w:t xml:space="preserve">Calibration data (GDELT geopolitical risk feeds, FDA drug shortage databases, enterprise ERP signals) lands in Amazon S3. An AWS Glue ETL job normalizes regional risk scores and event probabilities into the simulation’s calibration format.</w:t>
      </w:r>
    </w:p>
    <w:p>
      <w:pPr>
        <w:spacing w:after="220" w:before="0" w:line="276"/>
        <w:jc w:val="left"/>
      </w:pPr>
      <w:r>
        <w:rPr>
          <w:rFonts w:ascii="Arial" w:cs="Arial" w:eastAsia="Arial" w:hAnsi="Arial"/>
          <w:b/>
          <w:bCs/>
          <w:sz w:val="22"/>
          <w:szCs w:val="22"/>
        </w:rPr>
        <w:t xml:space="preserve">Queueing. </w:t>
      </w:r>
      <w:r>
        <w:rPr>
          <w:rFonts w:ascii="Arial" w:cs="Arial" w:eastAsia="Arial" w:hAnsi="Arial"/>
          <w:sz w:val="22"/>
          <w:szCs w:val="22"/>
        </w:rPr>
        <w:t xml:space="preserve">Simulation requests are submitted to Amazon SQS within a private VPC—no internet-facing endpoints. Each message specifies a scenario configuration and a range of Monte Carlo seeds.</w:t>
      </w:r>
    </w:p>
    <w:p>
      <w:pPr>
        <w:spacing w:after="220" w:before="0" w:line="276"/>
        <w:jc w:val="left"/>
      </w:pPr>
      <w:r>
        <w:rPr>
          <w:rFonts w:ascii="Arial" w:cs="Arial" w:eastAsia="Arial" w:hAnsi="Arial"/>
          <w:b/>
          <w:bCs/>
          <w:sz w:val="22"/>
          <w:szCs w:val="22"/>
        </w:rPr>
        <w:t xml:space="preserve">Compute. </w:t>
      </w:r>
      <w:r>
        <w:rPr>
          <w:rFonts w:ascii="Arial" w:cs="Arial" w:eastAsia="Arial" w:hAnsi="Arial"/>
          <w:sz w:val="22"/>
          <w:szCs w:val="22"/>
        </w:rPr>
        <w:t xml:space="preserve">Amazon EventBridge monitors the SQS queue and triggers Amazon ECS Fargate tasks. Each task runs a containerized TypeScript simulation process executing 10–50 stochastic replications. For full Monte Carlo sweeps (200+ runs), AWS Batch elastically provisions parallel compute, completing 200 replications in under 60 seconds.</w:t>
      </w:r>
    </w:p>
    <w:p>
      <w:pPr>
        <w:spacing w:after="220" w:before="0" w:line="276"/>
        <w:jc w:val="left"/>
      </w:pPr>
      <w:r>
        <w:rPr>
          <w:rFonts w:ascii="Arial" w:cs="Arial" w:eastAsia="Arial" w:hAnsi="Arial"/>
          <w:b/>
          <w:bCs/>
          <w:sz w:val="22"/>
          <w:szCs w:val="22"/>
        </w:rPr>
        <w:t xml:space="preserve">AI Integration. </w:t>
      </w:r>
      <w:r>
        <w:rPr>
          <w:rFonts w:ascii="Arial" w:cs="Arial" w:eastAsia="Arial" w:hAnsi="Arial"/>
          <w:sz w:val="22"/>
          <w:szCs w:val="22"/>
        </w:rPr>
        <w:t xml:space="preserve">Amazon Bedrock hosts a knowledge base built from uploaded calibration documents (FDA guidance, GDELT analyses, internal supply chain reports) using Retrieval-Augmented Generation (RAG). Domain experts query in natural language (“What’s the risk of India restricting API exports in monsoon season?”) and receive probability adjustments that feed directly into simulation parameters. Claude models generate executive summaries from raw simulation output.</w:t>
      </w:r>
    </w:p>
    <w:p>
      <w:pPr>
        <w:spacing w:after="220" w:before="0" w:line="276"/>
        <w:jc w:val="left"/>
      </w:pPr>
      <w:r>
        <w:rPr>
          <w:rFonts w:ascii="Arial" w:cs="Arial" w:eastAsia="Arial" w:hAnsi="Arial"/>
          <w:b/>
          <w:bCs/>
          <w:sz w:val="22"/>
          <w:szCs w:val="22"/>
        </w:rPr>
        <w:t xml:space="preserve">Results. </w:t>
      </w:r>
      <w:r>
        <w:rPr>
          <w:rFonts w:ascii="Arial" w:cs="Arial" w:eastAsia="Arial" w:hAnsi="Arial"/>
          <w:sz w:val="22"/>
          <w:szCs w:val="22"/>
        </w:rPr>
        <w:t xml:space="preserve">Aggregated percentile distributions and summary KPIs are written back to S3 and served to the client dashboard via API Gateway + CloudFront.</w:t>
      </w:r>
    </w:p>
    <w:p>
      <w:r>
        <w:br w:type="page"/>
      </w:r>
    </w:p>
    <w:p>
      <w:pPr>
        <w:pStyle w:val="Heading1"/>
      </w:pPr>
      <w:r>
        <w:t xml:space="preserve">5. Case Studies and Results</w:t>
      </w:r>
    </w:p>
    <w:p>
      <w:pPr>
        <w:spacing w:after="220" w:before="0" w:line="276"/>
        <w:jc w:val="left"/>
      </w:pPr>
      <w:r>
        <w:rPr>
          <w:rFonts w:ascii="Arial" w:cs="Arial" w:eastAsia="Arial" w:hAnsi="Arial"/>
          <w:sz w:val="22"/>
          <w:szCs w:val="22"/>
        </w:rPr>
        <w:t xml:space="preserve">We validated the ABM across </w:t>
      </w:r>
      <w:r>
        <w:rPr>
          <w:rFonts w:ascii="Arial" w:cs="Arial" w:eastAsia="Arial" w:hAnsi="Arial"/>
          <w:b/>
          <w:bCs/>
          <w:sz w:val="22"/>
          <w:szCs w:val="22"/>
        </w:rPr>
        <w:t xml:space="preserve">five disruption scenarios</w:t>
      </w:r>
      <w:r>
        <w:rPr>
          <w:rFonts w:ascii="Arial" w:cs="Arial" w:eastAsia="Arial" w:hAnsi="Arial"/>
          <w:sz w:val="22"/>
          <w:szCs w:val="22"/>
        </w:rPr>
        <w:t xml:space="preserve">, each representing a documented real-world risk pattern. Every scenario was run 30 times with different random seeds in two configurations: </w:t>
      </w:r>
      <w:r>
        <w:rPr>
          <w:rFonts w:ascii="Arial" w:cs="Arial" w:eastAsia="Arial" w:hAnsi="Arial"/>
          <w:b/>
          <w:bCs/>
          <w:sz w:val="22"/>
          <w:szCs w:val="22"/>
        </w:rPr>
        <w:t xml:space="preserve">AI Off</w:t>
      </w:r>
      <w:r>
        <w:rPr>
          <w:rFonts w:ascii="Arial" w:cs="Arial" w:eastAsia="Arial" w:hAnsi="Arial"/>
          <w:sz w:val="22"/>
          <w:szCs w:val="22"/>
        </w:rPr>
        <w:t xml:space="preserve"> (no forecasting, no RBE, no predictive maintenance, no cold-chain AI, no autonomous inventory) and </w:t>
      </w:r>
      <w:r>
        <w:rPr>
          <w:rFonts w:ascii="Arial" w:cs="Arial" w:eastAsia="Arial" w:hAnsi="Arial"/>
          <w:b/>
          <w:bCs/>
          <w:sz w:val="22"/>
          <w:szCs w:val="22"/>
        </w:rPr>
        <w:t xml:space="preserve">AI On</w:t>
      </w:r>
      <w:r>
        <w:rPr>
          <w:rFonts w:ascii="Arial" w:cs="Arial" w:eastAsia="Arial" w:hAnsi="Arial"/>
          <w:sz w:val="22"/>
          <w:szCs w:val="22"/>
        </w:rPr>
        <w:t xml:space="preserve"> (all five AI agents active). Total: 300 simulation runs.</w:t>
      </w:r>
    </w:p>
    <w:p>
      <w:pPr>
        <w:pStyle w:val="Heading2"/>
      </w:pPr>
      <w:r>
        <w:t xml:space="preserve">5.1 Aggregate Results</w:t>
      </w:r>
    </w:p>
    <w:p>
      <w:pPr>
        <w:spacing w:after="220" w:before="0" w:line="276"/>
        <w:jc w:val="left"/>
      </w:pPr>
      <w:r>
        <w:rPr>
          <w:rFonts w:ascii="Arial" w:cs="Arial" w:eastAsia="Arial" w:hAnsi="Arial"/>
          <w:sz w:val="22"/>
          <w:szCs w:val="22"/>
        </w:rPr>
        <w:t xml:space="preserve">The table below presents the cross-scenario mean across all 150 runs per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700"/>
        <w:gridCol w:w="1560"/>
        <w:gridCol w:w="160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AI</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AI Enabled</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Δ Change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 Case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sz w:val="20"/>
                <w:szCs w:val="20"/>
              </w:rPr>
              <w:t xml:space="preserve">Avg Service Level</w:t>
            </w:r>
          </w:p>
        </w:tc>
        <w:tc>
          <w:tcPr>
            <w:tcW w:type="dxa" w:w="1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sz w:val="20"/>
                <w:szCs w:val="20"/>
              </w:rPr>
              <w:t xml:space="preserve">57.7%</w:t>
            </w:r>
          </w:p>
        </w:tc>
        <w:tc>
          <w:tcPr>
            <w:tcW w:type="dxa" w:w="1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D7C3E"/>
                <w:sz w:val="20"/>
                <w:szCs w:val="20"/>
              </w:rPr>
              <w:t xml:space="preserve">84.0%</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sz w:val="20"/>
                <w:szCs w:val="20"/>
              </w:rPr>
              <w:t xml:space="preserve">+26.3 pp</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color w:val="666666"/>
                <w:sz w:val="18"/>
                <w:szCs w:val="18"/>
              </w:rPr>
              <w:t xml:space="preserve">UC1–2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Min Service Level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8.4%</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D7C3E"/>
                <w:sz w:val="20"/>
                <w:szCs w:val="20"/>
              </w:rPr>
              <w:t xml:space="preserve">42.4%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+34.0 pp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666666"/>
                <w:sz w:val="18"/>
                <w:szCs w:val="18"/>
              </w:rPr>
              <w:t xml:space="preserve">UC1</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sz w:val="20"/>
                <w:szCs w:val="20"/>
              </w:rPr>
              <w:t xml:space="preserve">Total Stockouts</w:t>
            </w:r>
          </w:p>
        </w:tc>
        <w:tc>
          <w:tcPr>
            <w:tcW w:type="dxa" w:w="1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sz w:val="20"/>
                <w:szCs w:val="20"/>
              </w:rPr>
              <w:t xml:space="preserve">244</w:t>
            </w:r>
          </w:p>
        </w:tc>
        <w:tc>
          <w:tcPr>
            <w:tcW w:type="dxa" w:w="1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D7C3E"/>
                <w:sz w:val="20"/>
                <w:szCs w:val="20"/>
              </w:rPr>
              <w:t xml:space="preserve">168</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sz w:val="20"/>
                <w:szCs w:val="20"/>
              </w:rPr>
              <w:t xml:space="preserve">−31.5%</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color w:val="666666"/>
                <w:sz w:val="18"/>
                <w:szCs w:val="18"/>
              </w:rPr>
              <w:t xml:space="preserve">UC2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Forecast MAPE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9.3%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D7C3E"/>
                <w:sz w:val="20"/>
                <w:szCs w:val="20"/>
              </w:rPr>
              <w:t xml:space="preserve">4.8%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−48.7%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666666"/>
                <w:sz w:val="18"/>
                <w:szCs w:val="18"/>
              </w:rPr>
              <w:t xml:space="preserve">UC3</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sz w:val="20"/>
                <w:szCs w:val="20"/>
              </w:rPr>
              <w:t xml:space="preserve">Unfilled Prescriptions</w:t>
            </w:r>
          </w:p>
        </w:tc>
        <w:tc>
          <w:tcPr>
            <w:tcW w:type="dxa" w:w="1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sz w:val="20"/>
                <w:szCs w:val="20"/>
              </w:rPr>
              <w:t xml:space="preserve">34,644</w:t>
            </w:r>
          </w:p>
        </w:tc>
        <w:tc>
          <w:tcPr>
            <w:tcW w:type="dxa" w:w="1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D7C3E"/>
                <w:sz w:val="20"/>
                <w:szCs w:val="20"/>
              </w:rPr>
              <w:t xml:space="preserve">13,223</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sz w:val="20"/>
                <w:szCs w:val="20"/>
              </w:rPr>
              <w:t xml:space="preserve">−61.8%</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color w:val="666666"/>
                <w:sz w:val="18"/>
                <w:szCs w:val="18"/>
              </w:rPr>
              <w:t xml:space="preserve">UC3–4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Spoiled Units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1,252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D7C3E"/>
                <w:sz w:val="20"/>
                <w:szCs w:val="20"/>
              </w:rPr>
              <w:t xml:space="preserve">191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−84.7%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666666"/>
                <w:sz w:val="18"/>
                <w:szCs w:val="18"/>
              </w:rPr>
              <w:t xml:space="preserve">UC5</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sz w:val="20"/>
                <w:szCs w:val="20"/>
              </w:rPr>
              <w:t xml:space="preserve">Batch Failure Rate</w:t>
            </w:r>
          </w:p>
        </w:tc>
        <w:tc>
          <w:tcPr>
            <w:tcW w:type="dxa" w:w="1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sz w:val="20"/>
                <w:szCs w:val="20"/>
              </w:rPr>
              <w:t xml:space="preserve">24.6%</w:t>
            </w:r>
          </w:p>
        </w:tc>
        <w:tc>
          <w:tcPr>
            <w:tcW w:type="dxa" w:w="1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D7C3E"/>
                <w:sz w:val="20"/>
                <w:szCs w:val="20"/>
              </w:rPr>
              <w:t xml:space="preserve">2.6%</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sz w:val="20"/>
                <w:szCs w:val="20"/>
              </w:rPr>
              <w:t xml:space="preserve">−89.3%</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color w:val="666666"/>
                <w:sz w:val="18"/>
                <w:szCs w:val="18"/>
              </w:rPr>
              <w:t xml:space="preserve">UC6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Compliance Violations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35.5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D7C3E"/>
                <w:sz w:val="20"/>
                <w:szCs w:val="20"/>
              </w:rPr>
              <w:t xml:space="preserve">6.3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−82.2%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666666"/>
                <w:sz w:val="18"/>
                <w:szCs w:val="18"/>
              </w:rPr>
              <w:t xml:space="preserve">UC6</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sz w:val="20"/>
                <w:szCs w:val="20"/>
              </w:rPr>
              <w:t xml:space="preserve">Product Recalls</w:t>
            </w:r>
          </w:p>
        </w:tc>
        <w:tc>
          <w:tcPr>
            <w:tcW w:type="dxa" w:w="1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sz w:val="20"/>
                <w:szCs w:val="20"/>
              </w:rPr>
              <w:t xml:space="preserve">34.5</w:t>
            </w:r>
          </w:p>
        </w:tc>
        <w:tc>
          <w:tcPr>
            <w:tcW w:type="dxa" w:w="1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D7C3E"/>
                <w:sz w:val="20"/>
                <w:szCs w:val="20"/>
              </w:rPr>
              <w:t xml:space="preserve">2.0</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sz w:val="20"/>
                <w:szCs w:val="20"/>
              </w:rPr>
              <w:t xml:space="preserve">−94.3%</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color w:val="666666"/>
                <w:sz w:val="18"/>
                <w:szCs w:val="18"/>
              </w:rPr>
              <w:t xml:space="preserve">UC6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Review Hours / Year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1,248</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D7C3E"/>
                <w:sz w:val="20"/>
                <w:szCs w:val="20"/>
              </w:rPr>
              <w:t xml:space="preserve">312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−75.0%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666666"/>
                <w:sz w:val="18"/>
                <w:szCs w:val="18"/>
              </w:rPr>
              <w:t xml:space="preserve">UC6</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sz w:val="20"/>
                <w:szCs w:val="20"/>
              </w:rPr>
              <w:t xml:space="preserve">Recovery Time</w:t>
            </w:r>
          </w:p>
        </w:tc>
        <w:tc>
          <w:tcPr>
            <w:tcW w:type="dxa" w:w="1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sz w:val="20"/>
                <w:szCs w:val="20"/>
              </w:rPr>
              <w:t xml:space="preserve">Week 11.4</w:t>
            </w:r>
          </w:p>
        </w:tc>
        <w:tc>
          <w:tcPr>
            <w:tcW w:type="dxa" w:w="1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D7C3E"/>
                <w:sz w:val="20"/>
                <w:szCs w:val="20"/>
              </w:rPr>
              <w:t xml:space="preserve">Week 9.0</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sz w:val="20"/>
                <w:szCs w:val="20"/>
              </w:rPr>
              <w:t xml:space="preserve">2.4 wks faster</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color w:val="666666"/>
                <w:sz w:val="18"/>
                <w:szCs w:val="18"/>
              </w:rPr>
              <w:t xml:space="preserve">UC2–4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Avg Equipment Health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71.0%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D7C3E"/>
                <w:sz w:val="20"/>
                <w:szCs w:val="20"/>
              </w:rPr>
              <w:t xml:space="preserve">78.4%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+10.5%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666666"/>
                <w:sz w:val="18"/>
                <w:szCs w:val="18"/>
              </w:rPr>
              <w:t xml:space="preserve">UC6</w:t>
            </w:r>
          </w:p>
        </w:tc>
      </w:tr>
    </w:tbl>
    <w:p>
      <w:pPr>
        <w:spacing w:after="300" w:before="0" w:line="276"/>
        <w:jc w:val="left"/>
      </w:pPr>
      <w:r>
        <w:rPr>
          <w:rFonts w:ascii="Arial" w:cs="Arial" w:eastAsia="Arial" w:hAnsi="Arial"/>
          <w:i/>
          <w:iCs/>
          <w:color w:val="888888"/>
          <w:sz w:val="18"/>
          <w:szCs w:val="18"/>
        </w:rPr>
        <w:t xml:space="preserve">Table 1. Cross-scenario aggregate results (mean of 300 simulation runs). UC = Use Case number.</w:t>
      </w:r>
    </w:p>
    <w:p>
      <w:pPr>
        <w:pStyle w:val="Heading2"/>
      </w:pPr>
      <w:r>
        <w:t xml:space="preserve">5.2 Scenario Deep Dives</w:t>
      </w:r>
    </w:p>
    <w:p>
      <w:pPr>
        <w:pStyle w:val="Heading3"/>
      </w:pPr>
      <w:r>
        <w:t xml:space="preserve">India API Export Ban (Tier 2, 50% severity, 12 weeks)</w:t>
      </w:r>
    </w:p>
    <w:p>
      <w:pPr>
        <w:spacing w:after="220" w:before="0" w:line="276"/>
        <w:jc w:val="left"/>
      </w:pPr>
      <w:r>
        <w:rPr>
          <w:rFonts w:ascii="Arial" w:cs="Arial" w:eastAsia="Arial" w:hAnsi="Arial"/>
          <w:sz w:val="22"/>
          <w:szCs w:val="22"/>
        </w:rPr>
        <w:t xml:space="preserve">This scenario models India’s documented export restriction pattern applied to active pharmaceutical ingredients—mirroring the 2020 paracetamol and hydroxychloroquine export bans. With 50% of Tier 2 suppliers offline for 12 weeks, the traditional supply chain’s service-level floor drops to </w:t>
      </w:r>
      <w:r>
        <w:rPr>
          <w:rFonts w:ascii="Arial" w:cs="Arial" w:eastAsia="Arial" w:hAnsi="Arial"/>
          <w:b/>
          <w:bCs/>
          <w:sz w:val="22"/>
          <w:szCs w:val="22"/>
        </w:rPr>
        <w:t xml:space="preserve">8.3%</w:t>
      </w:r>
      <w:r>
        <w:rPr>
          <w:rFonts w:ascii="Arial" w:cs="Arial" w:eastAsia="Arial" w:hAnsi="Arial"/>
          <w:sz w:val="22"/>
          <w:szCs w:val="22"/>
        </w:rPr>
        <w:t xml:space="preserve">. AI intervention lifts this floor to </w:t>
      </w:r>
      <w:r>
        <w:rPr>
          <w:rFonts w:ascii="Arial" w:cs="Arial" w:eastAsia="Arial" w:hAnsi="Arial"/>
          <w:b/>
          <w:bCs/>
          <w:color w:val="0D7C3E"/>
          <w:sz w:val="22"/>
          <w:szCs w:val="22"/>
        </w:rPr>
        <w:t xml:space="preserve">44.2%</w:t>
      </w:r>
      <w:r>
        <w:rPr>
          <w:rFonts w:ascii="Arial" w:cs="Arial" w:eastAsia="Arial" w:hAnsi="Arial"/>
          <w:sz w:val="22"/>
          <w:szCs w:val="22"/>
        </w:rPr>
        <w:t xml:space="preserve">—a 36 percentage-point improvement. The AI forecasting agent detects the supply-wave trough 2–3 weeks before it reaches distributors, issuing 190 shortage alerts that trigger proactive procurement. Spoilage drops from 1,293 to 197 units (</w:t>
      </w:r>
      <w:r>
        <w:rPr>
          <w:rFonts w:ascii="Arial" w:cs="Arial" w:eastAsia="Arial" w:hAnsi="Arial"/>
          <w:b/>
          <w:bCs/>
          <w:color w:val="0D7C3E"/>
          <w:sz w:val="22"/>
          <w:szCs w:val="22"/>
        </w:rPr>
        <w:t xml:space="preserve">−85%</w:t>
      </w:r>
      <w:r>
        <w:rPr>
          <w:rFonts w:ascii="Arial" w:cs="Arial" w:eastAsia="Arial" w:hAnsi="Arial"/>
          <w:sz w:val="22"/>
          <w:szCs w:val="22"/>
        </w:rPr>
        <w:t xml:space="preserve">), and compliance violations fall from 35.5 to 5.5 (</w:t>
      </w:r>
      <w:r>
        <w:rPr>
          <w:rFonts w:ascii="Arial" w:cs="Arial" w:eastAsia="Arial" w:hAnsi="Arial"/>
          <w:b/>
          <w:bCs/>
          <w:color w:val="0D7C3E"/>
          <w:sz w:val="22"/>
          <w:szCs w:val="22"/>
        </w:rPr>
        <w:t xml:space="preserve">−84%</w:t>
      </w:r>
      <w:r>
        <w:rPr>
          <w:rFonts w:ascii="Arial" w:cs="Arial" w:eastAsia="Arial" w:hAnsi="Arial"/>
          <w:sz w:val="22"/>
          <w:szCs w:val="22"/>
        </w:rPr>
        <w:t xml:space="preserve">). Unfilled prescriptions decline from 34,624 to 13,144—</w:t>
      </w:r>
      <w:r>
        <w:rPr>
          <w:rFonts w:ascii="Arial" w:cs="Arial" w:eastAsia="Arial" w:hAnsi="Arial"/>
          <w:b/>
          <w:bCs/>
          <w:sz w:val="22"/>
          <w:szCs w:val="22"/>
        </w:rPr>
        <w:t xml:space="preserve">21,480 additional patients served.</w:t>
      </w:r>
    </w:p>
    <w:p>
      <w:pPr>
        <w:pStyle w:val="Heading3"/>
      </w:pPr>
      <w:r>
        <w:t xml:space="preserve">China Raw Material Lockdown (Tier 3, 40% severity, 8 weeks)</w:t>
      </w:r>
    </w:p>
    <w:p>
      <w:pPr>
        <w:spacing w:after="220" w:before="0" w:line="276"/>
        <w:jc w:val="left"/>
      </w:pPr>
      <w:r>
        <w:rPr>
          <w:rFonts w:ascii="Arial" w:cs="Arial" w:eastAsia="Arial" w:hAnsi="Arial"/>
          <w:sz w:val="22"/>
          <w:szCs w:val="22"/>
        </w:rPr>
        <w:t xml:space="preserve">Modeling a COVID-style pandemic shutdown of upstream raw chemical suppliers, this scenario tests cascade propagation through the deepest tiers. Despite originating three tiers upstream from pharmacies, effects manifest within 2–3 weeks. The AI system’s primary value here is </w:t>
      </w:r>
      <w:r>
        <w:rPr>
          <w:rFonts w:ascii="Arial" w:cs="Arial" w:eastAsia="Arial" w:hAnsi="Arial"/>
          <w:b/>
          <w:bCs/>
          <w:sz w:val="22"/>
          <w:szCs w:val="22"/>
        </w:rPr>
        <w:t xml:space="preserve">early detection</w:t>
      </w:r>
      <w:r>
        <w:rPr>
          <w:rFonts w:ascii="Arial" w:cs="Arial" w:eastAsia="Arial" w:hAnsi="Arial"/>
          <w:sz w:val="22"/>
          <w:szCs w:val="22"/>
        </w:rPr>
        <w:t xml:space="preserve">: the shortage prediction agent identifies falling days-of-supply before human analysts would notice the signal in aggregate dashboards. Cold-chain AI reduces spoilage from 1,262 to 185 units (</w:t>
      </w:r>
      <w:r>
        <w:rPr>
          <w:rFonts w:ascii="Arial" w:cs="Arial" w:eastAsia="Arial" w:hAnsi="Arial"/>
          <w:b/>
          <w:bCs/>
          <w:color w:val="0D7C3E"/>
          <w:sz w:val="22"/>
          <w:szCs w:val="22"/>
        </w:rPr>
        <w:t xml:space="preserve">−85%</w:t>
      </w:r>
      <w:r>
        <w:rPr>
          <w:rFonts w:ascii="Arial" w:cs="Arial" w:eastAsia="Arial" w:hAnsi="Arial"/>
          <w:sz w:val="22"/>
          <w:szCs w:val="22"/>
        </w:rPr>
        <w:t xml:space="preserve">), protecting the limited supply that does flow through. RBE reduces recalls from 34.7 to 1.8 (</w:t>
      </w:r>
      <w:r>
        <w:rPr>
          <w:rFonts w:ascii="Arial" w:cs="Arial" w:eastAsia="Arial" w:hAnsi="Arial"/>
          <w:b/>
          <w:bCs/>
          <w:color w:val="0D7C3E"/>
          <w:sz w:val="22"/>
          <w:szCs w:val="22"/>
        </w:rPr>
        <w:t xml:space="preserve">−95%</w:t>
      </w:r>
      <w:r>
        <w:rPr>
          <w:rFonts w:ascii="Arial" w:cs="Arial" w:eastAsia="Arial" w:hAnsi="Arial"/>
          <w:sz w:val="22"/>
          <w:szCs w:val="22"/>
        </w:rPr>
        <w:t xml:space="preserve">), preventing secondary supply destruction from quality-driven inventory quarantine.</w:t>
      </w:r>
    </w:p>
    <w:p>
      <w:pPr>
        <w:pStyle w:val="Heading3"/>
      </w:pPr>
      <w:r>
        <w:t xml:space="preserve">US Hurricane (Tier 1, 30% severity, 6 weeks)</w:t>
      </w:r>
    </w:p>
    <w:p>
      <w:pPr>
        <w:spacing w:after="220" w:before="0" w:line="276"/>
        <w:jc w:val="left"/>
      </w:pPr>
      <w:r>
        <w:rPr>
          <w:rFonts w:ascii="Arial" w:cs="Arial" w:eastAsia="Arial" w:hAnsi="Arial"/>
          <w:sz w:val="22"/>
          <w:szCs w:val="22"/>
        </w:rPr>
        <w:t xml:space="preserve">A natural disaster hitting finished-API producers has the most immediate downstream impact because Tier 1 directly feeds manufacturers. The AI system’s </w:t>
      </w:r>
      <w:r>
        <w:rPr>
          <w:rFonts w:ascii="Arial" w:cs="Arial" w:eastAsia="Arial" w:hAnsi="Arial"/>
          <w:b/>
          <w:bCs/>
          <w:sz w:val="22"/>
          <w:szCs w:val="22"/>
        </w:rPr>
        <w:t xml:space="preserve">predictive maintenance</w:t>
      </w:r>
      <w:r>
        <w:rPr>
          <w:rFonts w:ascii="Arial" w:cs="Arial" w:eastAsia="Arial" w:hAnsi="Arial"/>
          <w:sz w:val="22"/>
          <w:szCs w:val="22"/>
        </w:rPr>
        <w:t xml:space="preserve"> proves decisive here: average equipment health stays at 78.4% versus 70.8%, preventing secondary batch failures that would compound the primary disruption. The batch failure rate drops from 24.2% to 2.6%—meaning the reduced supply that does reach manufacturers is converted to finished product at near-maximum yield rather than being wasted on failed batches. Recovery accelerates by 2.1 weeks.</w:t>
      </w:r>
    </w:p>
    <w:p>
      <w:pPr>
        <w:pStyle w:val="Heading3"/>
      </w:pPr>
      <w:r>
        <w:t xml:space="preserve">Cyber Attack (Tier 1, 20% severity, 4 weeks)</w:t>
      </w:r>
    </w:p>
    <w:p>
      <w:pPr>
        <w:spacing w:after="220" w:before="0" w:line="276"/>
        <w:jc w:val="left"/>
      </w:pPr>
      <w:r>
        <w:rPr>
          <w:rFonts w:ascii="Arial" w:cs="Arial" w:eastAsia="Arial" w:hAnsi="Arial"/>
          <w:sz w:val="22"/>
          <w:szCs w:val="22"/>
        </w:rPr>
        <w:t xml:space="preserve">Though narrower in scope (only 20% of Tier 1 disrupted for 4 weeks), this scenario demonstrates that even modest disruptions produce outsized effects when they hit </w:t>
      </w:r>
      <w:r>
        <w:rPr>
          <w:rFonts w:ascii="Arial" w:cs="Arial" w:eastAsia="Arial" w:hAnsi="Arial"/>
          <w:b/>
          <w:bCs/>
          <w:sz w:val="22"/>
          <w:szCs w:val="22"/>
        </w:rPr>
        <w:t xml:space="preserve">high-centrality nodes</w:t>
      </w:r>
      <w:r>
        <w:rPr>
          <w:rFonts w:ascii="Arial" w:cs="Arial" w:eastAsia="Arial" w:hAnsi="Arial"/>
          <w:sz w:val="22"/>
          <w:szCs w:val="22"/>
        </w:rPr>
        <w:t xml:space="preserve">. The betweenness centrality analysis (UC1) identifies exactly which nodes create network fragmentation—information unavailable from traditional risk matrices. The AI system achieves the largest recall reduction of any scenario (</w:t>
      </w:r>
      <w:r>
        <w:rPr>
          <w:rFonts w:ascii="Arial" w:cs="Arial" w:eastAsia="Arial" w:hAnsi="Arial"/>
          <w:b/>
          <w:bCs/>
          <w:color w:val="0D7C3E"/>
          <w:sz w:val="22"/>
          <w:szCs w:val="22"/>
        </w:rPr>
        <w:t xml:space="preserve">−96.4%</w:t>
      </w:r>
      <w:r>
        <w:rPr>
          <w:rFonts w:ascii="Arial" w:cs="Arial" w:eastAsia="Arial" w:hAnsi="Arial"/>
          <w:sz w:val="22"/>
          <w:szCs w:val="22"/>
        </w:rPr>
        <w:t xml:space="preserve">: from 34.8 to 1.3), reflecting how RBE’s higher quality-catch rate prevents contamination-driven cascading failures. Recovery accelerates by 3.2 weeks—the fastest recovery improvement across all scenarios.</w:t>
      </w:r>
    </w:p>
    <w:p>
      <w:pPr>
        <w:pStyle w:val="Heading3"/>
      </w:pPr>
      <w:r>
        <w:t xml:space="preserve">Quality Crisis (Tier 2, 20% severity, 16 weeks)</w:t>
      </w:r>
    </w:p>
    <w:p>
      <w:pPr>
        <w:spacing w:after="220" w:before="0" w:line="276"/>
        <w:jc w:val="left"/>
      </w:pPr>
      <w:r>
        <w:rPr>
          <w:rFonts w:ascii="Arial" w:cs="Arial" w:eastAsia="Arial" w:hAnsi="Arial"/>
          <w:sz w:val="22"/>
          <w:szCs w:val="22"/>
        </w:rPr>
        <w:t xml:space="preserve">The longest-duration scenario tests sustained low-grade disruption. Over 16 weeks of degraded Tier 2 output, the traditional system accumulates 35.6 compliance violations and 34.5 recalls—a regulatory catastrophe. The AI system holds violations to 7.8 and recalls to 2.7 (</w:t>
      </w:r>
      <w:r>
        <w:rPr>
          <w:rFonts w:ascii="Arial" w:cs="Arial" w:eastAsia="Arial" w:hAnsi="Arial"/>
          <w:b/>
          <w:bCs/>
          <w:color w:val="0D7C3E"/>
          <w:sz w:val="22"/>
          <w:szCs w:val="22"/>
        </w:rPr>
        <w:t xml:space="preserve">−92%</w:t>
      </w:r>
      <w:r>
        <w:rPr>
          <w:rFonts w:ascii="Arial" w:cs="Arial" w:eastAsia="Arial" w:hAnsi="Arial"/>
          <w:sz w:val="22"/>
          <w:szCs w:val="22"/>
        </w:rPr>
        <w:t xml:space="preserve">). The 75% reduction in batch review hours (1,248 to 312 annually) translates to approximately </w:t>
      </w:r>
      <w:r>
        <w:rPr>
          <w:rFonts w:ascii="Arial" w:cs="Arial" w:eastAsia="Arial" w:hAnsi="Arial"/>
          <w:b/>
          <w:bCs/>
          <w:sz w:val="22"/>
          <w:szCs w:val="22"/>
        </w:rPr>
        <w:t xml:space="preserve">$187,200 in annual labor cost savings</w:t>
      </w:r>
      <w:r>
        <w:rPr>
          <w:rFonts w:ascii="Arial" w:cs="Arial" w:eastAsia="Arial" w:hAnsi="Arial"/>
          <w:sz w:val="22"/>
          <w:szCs w:val="22"/>
        </w:rPr>
        <w:t xml:space="preserve"> at $200/hour fully loaded analyst cost—a direct, quantifiable ROI independent of disruption prevention.</w:t>
      </w:r>
    </w:p>
    <w:p>
      <w:r>
        <w:br w:type="page"/>
      </w:r>
    </w:p>
    <w:p>
      <w:pPr>
        <w:pStyle w:val="Heading1"/>
      </w:pPr>
      <w:r>
        <w:t xml:space="preserve">6. Conclusion and Future Applications</w:t>
      </w:r>
    </w:p>
    <w:p>
      <w:pPr>
        <w:pStyle w:val="Heading2"/>
      </w:pPr>
      <w:r>
        <w:t xml:space="preserve">6.1 Summary of Results</w:t>
      </w:r>
    </w:p>
    <w:p>
      <w:pPr>
        <w:spacing w:after="220" w:before="0" w:line="276"/>
        <w:jc w:val="left"/>
      </w:pPr>
      <w:r>
        <w:rPr>
          <w:rFonts w:ascii="Arial" w:cs="Arial" w:eastAsia="Arial" w:hAnsi="Arial"/>
          <w:sz w:val="22"/>
          <w:szCs w:val="22"/>
        </w:rPr>
        <w:t xml:space="preserve">Across 300 Monte Carlo simulation runs spanning five distinct crisis scenarios, the AI-augmented ABM demonstrates transformative improvements in every measured dimension of pharmaceutical supply chain performance. The three headline results are: </w:t>
      </w:r>
      <w:r>
        <w:rPr>
          <w:rFonts w:ascii="Arial" w:cs="Arial" w:eastAsia="Arial" w:hAnsi="Arial"/>
          <w:b/>
          <w:bCs/>
          <w:sz w:val="22"/>
          <w:szCs w:val="22"/>
        </w:rPr>
        <w:t xml:space="preserve">service level improvement from 57.7% to 84.0% (+26 pp)</w:t>
      </w:r>
      <w:r>
        <w:rPr>
          <w:rFonts w:ascii="Arial" w:cs="Arial" w:eastAsia="Arial" w:hAnsi="Arial"/>
          <w:sz w:val="22"/>
          <w:szCs w:val="22"/>
        </w:rPr>
        <w:t xml:space="preserve">, </w:t>
      </w:r>
      <w:r>
        <w:rPr>
          <w:rFonts w:ascii="Arial" w:cs="Arial" w:eastAsia="Arial" w:hAnsi="Arial"/>
          <w:b/>
          <w:bCs/>
          <w:sz w:val="22"/>
          <w:szCs w:val="22"/>
        </w:rPr>
        <w:t xml:space="preserve">cold-chain spoilage reduction of 84.7%</w:t>
      </w:r>
      <w:r>
        <w:rPr>
          <w:rFonts w:ascii="Arial" w:cs="Arial" w:eastAsia="Arial" w:hAnsi="Arial"/>
          <w:sz w:val="22"/>
          <w:szCs w:val="22"/>
        </w:rPr>
        <w:t xml:space="preserve"> (1,252 to 191 units), and </w:t>
      </w:r>
      <w:r>
        <w:rPr>
          <w:rFonts w:ascii="Arial" w:cs="Arial" w:eastAsia="Arial" w:hAnsi="Arial"/>
          <w:b/>
          <w:bCs/>
          <w:sz w:val="22"/>
          <w:szCs w:val="22"/>
        </w:rPr>
        <w:t xml:space="preserve">compliance violation reduction of 82.2%</w:t>
      </w:r>
      <w:r>
        <w:rPr>
          <w:rFonts w:ascii="Arial" w:cs="Arial" w:eastAsia="Arial" w:hAnsi="Arial"/>
          <w:sz w:val="22"/>
          <w:szCs w:val="22"/>
        </w:rPr>
        <w:t xml:space="preserve"> (35.5 to 6.3). These improvements compound: fewer spoiled units mean more available inventory; fewer violations mean fewer recalls; fewer recalls mean more supply reaching patients. The net result is a </w:t>
      </w:r>
      <w:r>
        <w:rPr>
          <w:rFonts w:ascii="Arial" w:cs="Arial" w:eastAsia="Arial" w:hAnsi="Arial"/>
          <w:b/>
          <w:bCs/>
          <w:sz w:val="22"/>
          <w:szCs w:val="22"/>
        </w:rPr>
        <w:t xml:space="preserve">61.8% reduction in unfilled prescriptions</w:t>
      </w:r>
      <w:r>
        <w:rPr>
          <w:rFonts w:ascii="Arial" w:cs="Arial" w:eastAsia="Arial" w:hAnsi="Arial"/>
          <w:sz w:val="22"/>
          <w:szCs w:val="22"/>
        </w:rPr>
        <w:t xml:space="preserve">—over 21,000 additional patients served per year in our model network.</w:t>
      </w:r>
    </w:p>
    <w:p>
      <w:pPr>
        <w:pStyle w:val="Heading2"/>
      </w:pPr>
      <w:r>
        <w:t xml:space="preserve">6.2 Future Applications</w:t>
      </w:r>
    </w:p>
    <w:p>
      <w:pPr>
        <w:spacing w:after="220" w:before="0" w:line="276"/>
        <w:jc w:val="left"/>
      </w:pPr>
      <w:r>
        <w:rPr>
          <w:rFonts w:ascii="Arial" w:cs="Arial" w:eastAsia="Arial" w:hAnsi="Arial"/>
          <w:b/>
          <w:bCs/>
          <w:sz w:val="22"/>
          <w:szCs w:val="22"/>
        </w:rPr>
        <w:t xml:space="preserve">Compound crisis simulation. </w:t>
      </w:r>
      <w:r>
        <w:rPr>
          <w:rFonts w:ascii="Arial" w:cs="Arial" w:eastAsia="Arial" w:hAnsi="Arial"/>
          <w:sz w:val="22"/>
          <w:szCs w:val="22"/>
        </w:rPr>
        <w:t xml:space="preserve">The current engine evaluates one disruption at a time. Real-world supply chains face correlated multi-vector crises—a pandemic wave coinciding with a trade dispute, or a quality failure during hurricane season. The next version will support multi-vector disruption injection with correlated probability distributions, enabling “perfect storm” stress testing analogous to the macroprudential MACROPRU framework used in financial system stability analysis.</w:t>
      </w:r>
    </w:p>
    <w:p>
      <w:pPr>
        <w:spacing w:after="220" w:before="0" w:line="276"/>
        <w:jc w:val="left"/>
      </w:pPr>
      <w:r>
        <w:rPr>
          <w:rFonts w:ascii="Arial" w:cs="Arial" w:eastAsia="Arial" w:hAnsi="Arial"/>
          <w:b/>
          <w:bCs/>
          <w:sz w:val="22"/>
          <w:szCs w:val="22"/>
        </w:rPr>
        <w:t xml:space="preserve">Outbound logistics and patient-equity modeling. </w:t>
      </w:r>
      <w:r>
        <w:rPr>
          <w:rFonts w:ascii="Arial" w:cs="Arial" w:eastAsia="Arial" w:hAnsi="Arial"/>
          <w:sz w:val="22"/>
          <w:szCs w:val="22"/>
        </w:rPr>
        <w:t xml:space="preserve">The current model stops at the pharmacy level. Extending the ABM to model individual patient cohorts—adherence patterns, therapeutic substitution, and geographic access disparities—would enable health-equity-aware supply chain optimization. This mirrors the trajectory in logistics where Amazon’s inbound supply network ABM is being extended to outbound fulfillment-to-customer simulation.</w:t>
      </w:r>
    </w:p>
    <w:p>
      <w:pPr>
        <w:spacing w:after="220" w:before="0" w:line="276"/>
        <w:jc w:val="left"/>
      </w:pPr>
      <w:r>
        <w:rPr>
          <w:rFonts w:ascii="Arial" w:cs="Arial" w:eastAsia="Arial" w:hAnsi="Arial"/>
          <w:b/>
          <w:bCs/>
          <w:sz w:val="22"/>
          <w:szCs w:val="22"/>
        </w:rPr>
        <w:t xml:space="preserve">Real-time digital twin. </w:t>
      </w:r>
      <w:r>
        <w:rPr>
          <w:rFonts w:ascii="Arial" w:cs="Arial" w:eastAsia="Arial" w:hAnsi="Arial"/>
          <w:sz w:val="22"/>
          <w:szCs w:val="22"/>
        </w:rPr>
        <w:t xml:space="preserve">By connecting the ABM to live data feeds—GDELT geopolitical risk indices updated every 15 minutes, FDA shortage database APIs, IoT cold-chain telemetry streams, and enterprise ERP transactions—the simulation transitions from a planning tool to a continuous digital twin. Agents would assimilate live data into their state variables, enabling the system to detect disruptions as they emerge and recommend intervention strategies within hours rather than weeks.</w:t>
      </w:r>
    </w:p>
    <w:p>
      <w:pPr>
        <w:spacing w:after="220" w:before="0" w:line="276"/>
        <w:jc w:val="left"/>
      </w:pPr>
      <w:r>
        <w:rPr>
          <w:rFonts w:ascii="Arial" w:cs="Arial" w:eastAsia="Arial" w:hAnsi="Arial"/>
          <w:b/>
          <w:bCs/>
          <w:sz w:val="22"/>
          <w:szCs w:val="22"/>
        </w:rPr>
        <w:t xml:space="preserve">Generative AI scenario design. </w:t>
      </w:r>
      <w:r>
        <w:rPr>
          <w:rFonts w:ascii="Arial" w:cs="Arial" w:eastAsia="Arial" w:hAnsi="Arial"/>
          <w:sz w:val="22"/>
          <w:szCs w:val="22"/>
        </w:rPr>
        <w:t xml:space="preserve">Using Amazon Bedrock’s RAG-augmented Claude models, supply chain analysts could describe disruption scenarios in natural language (“What happens if India restricts API exports during monsoon season while a quality investigation is underway at our Irish manufacturing site?”) and receive immediately runnable simulation configurations. This democratizes scenario testing beyond quantitative analysts to C-suite decision-makers.</w:t>
      </w:r>
    </w:p>
    <w:p>
      <w:pPr>
        <w:spacing w:after="220" w:before="0" w:line="276"/>
        <w:jc w:val="left"/>
      </w:pPr>
      <w:r>
        <w:rPr>
          <w:rFonts w:ascii="Arial" w:cs="Arial" w:eastAsia="Arial" w:hAnsi="Arial"/>
          <w:b/>
          <w:bCs/>
          <w:sz w:val="22"/>
          <w:szCs w:val="22"/>
        </w:rPr>
        <w:t xml:space="preserve">Carbon-aware supply chain optimization. </w:t>
      </w:r>
      <w:r>
        <w:rPr>
          <w:rFonts w:ascii="Arial" w:cs="Arial" w:eastAsia="Arial" w:hAnsi="Arial"/>
          <w:sz w:val="22"/>
          <w:szCs w:val="22"/>
        </w:rPr>
        <w:t xml:space="preserve">Extending the agent decision logic to incorporate carbon intensity of shipping routes, manufacturing energy sources, and cold-chain refrigerant choices would enable pharmaceutical companies to simultaneously optimize for resilience, cost, and environmental impact—meeting emerging ESG disclosure requirements while maintaining patient access.</w:t>
      </w:r>
    </w:p>
    <w:p>
      <w:pPr>
        <w:spacing w:after="200" w:before="0" w:line="276"/>
        <w:jc w:val="left"/>
      </w:pPr>
      <w:r>
        <w:rPr>
          <w:rFonts w:ascii="Arial" w:cs="Arial" w:eastAsia="Arial" w:hAnsi="Arial"/>
          <w:sz w:val="22"/>
          <w:szCs w:val="22"/>
        </w:rPr>
        <w:t xml:space="preserve"/>
      </w:r>
    </w:p>
    <w:p>
      <w:pPr>
        <w:spacing w:after="220" w:before="0" w:line="276"/>
        <w:jc w:val="left"/>
      </w:pPr>
      <w:r>
        <w:rPr>
          <w:rFonts w:ascii="Arial" w:cs="Arial" w:eastAsia="Arial" w:hAnsi="Arial"/>
          <w:sz w:val="22"/>
          <w:szCs w:val="22"/>
        </w:rPr>
        <w:t xml:space="preserve">Ultimately, integrating agent-based simulation with predictive AI empowers pharmaceutical organizations to transcend reactive crisis management. Instead of responding to shortages after patients are affected, companies can </w:t>
      </w:r>
      <w:r>
        <w:rPr>
          <w:rFonts w:ascii="Arial" w:cs="Arial" w:eastAsia="Arial" w:hAnsi="Arial"/>
          <w:b/>
          <w:bCs/>
          <w:sz w:val="22"/>
          <w:szCs w:val="22"/>
        </w:rPr>
        <w:t xml:space="preserve">anticipate disruptions, pre-position inventory, and activate contingency suppliers—neutralizing supply chain vulnerabilities before they reach the pharmacy counter.</w:t>
      </w:r>
    </w:p>
    <w:p>
      <w:pPr>
        <w:spacing w:after="600" w:before="0" w:line="276"/>
        <w:jc w:val="left"/>
      </w:pPr>
      <w:r>
        <w:rPr>
          <w:rFonts w:ascii="Arial" w:cs="Arial" w:eastAsia="Arial" w:hAnsi="Arial"/>
          <w:sz w:val="22"/>
          <w:szCs w:val="22"/>
        </w:rPr>
        <w:t xml:space="preserve"/>
      </w:r>
    </w:p>
    <w:p>
      <w:pPr>
        <w:spacing w:after="220" w:before="0" w:line="276"/>
        <w:jc w:val="left"/>
      </w:pPr>
      <w:r>
        <w:rPr>
          <w:rFonts w:ascii="Arial" w:cs="Arial" w:eastAsia="Arial" w:hAnsi="Arial"/>
          <w:b/>
          <w:bCs/>
          <w:i/>
          <w:iCs/>
          <w:sz w:val="22"/>
          <w:szCs w:val="22"/>
        </w:rPr>
        <w:t xml:space="preserve">Methodology note. </w:t>
      </w:r>
      <w:r>
        <w:rPr>
          <w:rFonts w:ascii="Arial" w:cs="Arial" w:eastAsia="Arial" w:hAnsi="Arial"/>
          <w:i/>
          <w:iCs/>
          <w:color w:val="888888"/>
          <w:sz w:val="17"/>
          <w:szCs w:val="17"/>
        </w:rPr>
        <w:t xml:space="preserve">All results generated by Pharma Supply Chain Navigator ABM v2.0 (TypeScript, browser-native). Network: 59 agents across 6 tiers calibrated with GDELT regional risk scores and FDA baseline shortage rates. Monte Carlo: 30 seeds per scenario; all improvements exceed 2 standard errors of the mean difference (p &lt; 0.01). Simulation source code: ~900 lines TypeScript, zero external dependencies.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888888"/>
        <w:sz w:val="18"/>
        <w:szCs w:val="18"/>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1"/>
      </w:pBdr>
      <w:jc w:val="right"/>
    </w:pPr>
    <w:r>
      <w:rPr>
        <w:rFonts w:ascii="Arial" w:cs="Arial" w:eastAsia="Arial" w:hAnsi="Arial"/>
        <w:i/>
        <w:iCs/>
        <w:color w:val="888888"/>
        <w:sz w:val="18"/>
        <w:szCs w:val="18"/>
      </w:rPr>
      <w:t xml:space="preserve">Pharma Supply Chain Navigator  |  ABM Technical Blog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80" w:before="280"/>
      <w:outlineLvl w:val="1"/>
    </w:pPr>
    <w:rPr>
      <w:rFonts w:ascii="Arial" w:cs="Arial" w:eastAsia="Arial" w:hAnsi="Arial"/>
      <w:b/>
      <w:bCs/>
      <w:color w:val="1B3A5C"/>
      <w:sz w:val="26"/>
      <w:szCs w:val="26"/>
    </w:rPr>
  </w:style>
  <w:style w:type="paragraph" w:styleId="Heading3">
    <w:name w:val="Heading 3"/>
    <w:basedOn w:val="Normal"/>
    <w:next w:val="Normal"/>
    <w:qFormat/>
    <w:pPr>
      <w:spacing w:after="140" w:before="200"/>
      <w:outlineLvl w:val="2"/>
    </w:pPr>
    <w:rPr>
      <w:rFonts w:ascii="Arial" w:cs="Arial" w:eastAsia="Arial" w:hAnsi="Arial"/>
      <w:b/>
      <w:bCs/>
      <w:color w:val="2E598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2026-04-09T20:20:22.237Z</dcterms:created>
  <dcterms:modified xsi:type="dcterms:W3CDTF">2026-04-09T20:20:22.237Z</dcterms:modified>
</cp:coreProperties>
</file>

<file path=docProps/custom.xml><?xml version="1.0" encoding="utf-8"?>
<Properties xmlns="http://schemas.openxmlformats.org/officeDocument/2006/custom-properties" xmlns:vt="http://schemas.openxmlformats.org/officeDocument/2006/docPropsVTypes"/>
</file>